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80" w:after="180" w:line="360" w:lineRule="auto"/>
        <w:ind w:left="0" w:right="0" w:firstLine="0"/>
        <w:jc w:val="center"/>
        <w:rPr>
          <w:rFonts w:hint="eastAsia" w:ascii="微软雅黑" w:hAnsi="微软雅黑" w:eastAsia="仿宋"/>
          <w:color w:val="333333"/>
          <w:sz w:val="22"/>
          <w:szCs w:val="22"/>
          <w:lang w:eastAsia="zh-CN"/>
        </w:rPr>
      </w:pPr>
      <w:r>
        <w:rPr>
          <w:rFonts w:hint="eastAsia" w:ascii="仿宋" w:hAnsi="仿宋" w:eastAsia="仿宋" w:cs="仿宋"/>
          <w:b/>
          <w:bCs/>
          <w:kern w:val="0"/>
          <w:sz w:val="36"/>
          <w:szCs w:val="36"/>
          <w:lang w:val="en-US" w:eastAsia="zh-CN" w:bidi="ar"/>
        </w:rPr>
        <w:t>“十五运会”场馆维修（蒙古族中学体育馆）</w:t>
      </w:r>
    </w:p>
    <w:p>
      <w:pPr>
        <w:pStyle w:val="5"/>
        <w:keepNext w:val="0"/>
        <w:keepLines w:val="0"/>
        <w:pageBreakBefore w:val="0"/>
        <w:widowControl/>
        <w:kinsoku/>
        <w:wordWrap/>
        <w:overflowPunct/>
        <w:topLinePunct w:val="0"/>
        <w:autoSpaceDE/>
        <w:autoSpaceDN/>
        <w:bidi w:val="0"/>
        <w:adjustRightInd/>
        <w:spacing w:before="180" w:beforeAutospacing="0" w:after="180" w:afterAutospacing="0" w:line="360" w:lineRule="auto"/>
        <w:jc w:val="center"/>
        <w:rPr>
          <w:rFonts w:ascii="仿宋" w:hAnsi="仿宋" w:eastAsia="仿宋" w:cs="仿宋"/>
          <w:b/>
          <w:bCs/>
          <w:color w:val="auto"/>
          <w:sz w:val="36"/>
          <w:szCs w:val="36"/>
        </w:rPr>
      </w:pPr>
      <w:r>
        <w:rPr>
          <w:rFonts w:hint="eastAsia" w:ascii="仿宋" w:hAnsi="仿宋" w:eastAsia="仿宋" w:cs="仿宋"/>
          <w:b/>
          <w:bCs/>
          <w:color w:val="auto"/>
          <w:sz w:val="36"/>
          <w:szCs w:val="36"/>
          <w:lang w:val="en-US" w:eastAsia="zh-CN" w:bidi="ar"/>
        </w:rPr>
        <w:t>工程量清单</w:t>
      </w:r>
      <w:r>
        <w:rPr>
          <w:rFonts w:hint="eastAsia" w:ascii="仿宋" w:hAnsi="仿宋" w:eastAsia="仿宋" w:cs="仿宋"/>
          <w:b/>
          <w:bCs/>
          <w:color w:val="auto"/>
          <w:sz w:val="36"/>
          <w:szCs w:val="36"/>
        </w:rPr>
        <w:t>编制说明</w:t>
      </w:r>
    </w:p>
    <w:p>
      <w:pPr>
        <w:pStyle w:val="5"/>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360" w:lineRule="auto"/>
        <w:ind w:firstLine="643"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编制范围</w:t>
      </w:r>
      <w:r>
        <w:rPr>
          <w:rFonts w:hint="eastAsia" w:ascii="仿宋" w:hAnsi="仿宋" w:eastAsia="仿宋" w:cs="仿宋"/>
          <w:b/>
          <w:bCs/>
          <w:sz w:val="32"/>
          <w:szCs w:val="32"/>
        </w:rPr>
        <w:t>：</w:t>
      </w:r>
    </w:p>
    <w:p>
      <w:pPr>
        <w:numPr>
          <w:ilvl w:val="0"/>
          <w:numId w:val="0"/>
        </w:numPr>
        <w:snapToGrid w:val="0"/>
        <w:spacing w:before="0" w:after="0" w:line="360" w:lineRule="auto"/>
        <w:ind w:right="0" w:rightChars="0" w:firstLine="640" w:firstLineChars="200"/>
        <w:jc w:val="left"/>
        <w:rPr>
          <w:rFonts w:hint="eastAsia" w:ascii="仿宋" w:hAnsi="仿宋" w:eastAsia="仿宋" w:cs="仿宋"/>
          <w:color w:val="auto"/>
          <w:sz w:val="32"/>
          <w:szCs w:val="32"/>
          <w:lang w:eastAsia="zh-CN"/>
        </w:rPr>
      </w:pPr>
      <w:r>
        <w:rPr>
          <w:rFonts w:hint="eastAsia" w:ascii="仿宋" w:hAnsi="仿宋" w:eastAsia="仿宋" w:cs="仿宋"/>
          <w:b w:val="0"/>
          <w:bCs w:val="0"/>
          <w:sz w:val="32"/>
          <w:szCs w:val="32"/>
          <w:lang w:val="en-US" w:eastAsia="zh-CN"/>
        </w:rPr>
        <w:t xml:space="preserve"> 1、</w:t>
      </w:r>
      <w:r>
        <w:rPr>
          <w:rFonts w:hint="eastAsia" w:ascii="仿宋" w:hAnsi="仿宋" w:eastAsia="仿宋" w:cs="仿宋"/>
          <w:color w:val="auto"/>
          <w:sz w:val="32"/>
          <w:szCs w:val="32"/>
        </w:rPr>
        <w:t>室内维修工程：</w:t>
      </w:r>
      <w:r>
        <w:rPr>
          <w:rFonts w:hint="eastAsia" w:ascii="仿宋" w:hAnsi="仿宋" w:eastAsia="仿宋" w:cs="仿宋"/>
          <w:color w:val="auto"/>
          <w:sz w:val="32"/>
          <w:szCs w:val="32"/>
          <w:lang w:eastAsia="zh-CN"/>
        </w:rPr>
        <w:t>拆除墙裙区域硅藻泥墙面，镶贴陶瓷薄板墙裙，</w:t>
      </w:r>
      <w:r>
        <w:rPr>
          <w:rFonts w:hint="eastAsia" w:ascii="仿宋" w:hAnsi="仿宋" w:eastAsia="仿宋" w:cs="仿宋"/>
          <w:b w:val="0"/>
          <w:bCs w:val="0"/>
          <w:color w:val="auto"/>
          <w:sz w:val="32"/>
          <w:szCs w:val="32"/>
          <w:lang w:eastAsia="zh-CN"/>
        </w:rPr>
        <w:t>控制室地面拆除新做及增加门联窗；</w:t>
      </w:r>
    </w:p>
    <w:p>
      <w:pPr>
        <w:snapToGrid w:val="0"/>
        <w:spacing w:before="0" w:after="0" w:line="360" w:lineRule="auto"/>
        <w:ind w:right="0" w:firstLine="640" w:firstLineChars="200"/>
        <w:jc w:val="left"/>
        <w:rPr>
          <w:rFonts w:hint="eastAsia" w:ascii="仿宋" w:hAnsi="仿宋" w:eastAsia="仿宋" w:cs="仿宋"/>
          <w:color w:val="auto"/>
          <w:sz w:val="32"/>
          <w:szCs w:val="32"/>
        </w:rPr>
      </w:pPr>
      <w:r>
        <w:rPr>
          <w:rFonts w:hint="eastAsia" w:ascii="仿宋" w:hAnsi="仿宋" w:eastAsia="仿宋" w:cs="仿宋"/>
          <w:b w:val="0"/>
          <w:bCs w:val="0"/>
          <w:sz w:val="32"/>
          <w:szCs w:val="32"/>
          <w:lang w:val="en-US" w:eastAsia="zh-CN"/>
        </w:rPr>
        <w:t xml:space="preserve"> 2、</w:t>
      </w:r>
      <w:r>
        <w:rPr>
          <w:rFonts w:hint="eastAsia" w:ascii="仿宋" w:hAnsi="仿宋" w:eastAsia="仿宋" w:cs="仿宋"/>
          <w:color w:val="auto"/>
          <w:sz w:val="32"/>
          <w:szCs w:val="32"/>
          <w:lang w:val="en-US" w:eastAsia="zh-CN"/>
        </w:rPr>
        <w:t>LED显示屏更换</w:t>
      </w:r>
      <w:r>
        <w:rPr>
          <w:rFonts w:hint="eastAsia" w:ascii="仿宋" w:hAnsi="仿宋" w:eastAsia="仿宋" w:cs="仿宋"/>
          <w:color w:val="auto"/>
          <w:sz w:val="32"/>
          <w:szCs w:val="32"/>
        </w:rPr>
        <w:t>工程：</w:t>
      </w:r>
      <w:r>
        <w:rPr>
          <w:rFonts w:hint="eastAsia" w:ascii="仿宋" w:hAnsi="仿宋" w:eastAsia="仿宋" w:cs="仿宋"/>
          <w:color w:val="auto"/>
          <w:sz w:val="32"/>
          <w:szCs w:val="32"/>
          <w:lang w:eastAsia="zh-CN"/>
        </w:rPr>
        <w:t>篮球馆</w:t>
      </w:r>
      <w:r>
        <w:rPr>
          <w:rFonts w:hint="eastAsia" w:ascii="仿宋" w:hAnsi="仿宋" w:eastAsia="仿宋" w:cs="仿宋"/>
          <w:color w:val="auto"/>
          <w:sz w:val="32"/>
          <w:szCs w:val="32"/>
          <w:lang w:val="en-US" w:eastAsia="zh-CN"/>
        </w:rPr>
        <w:t>LED显示屏2块、排球馆LED显示屏1块拆除新做</w:t>
      </w:r>
      <w:r>
        <w:rPr>
          <w:rFonts w:hint="eastAsia" w:ascii="仿宋" w:hAnsi="仿宋" w:eastAsia="仿宋" w:cs="仿宋"/>
          <w:color w:val="auto"/>
          <w:sz w:val="32"/>
          <w:szCs w:val="32"/>
        </w:rPr>
        <w:t>;</w:t>
      </w:r>
    </w:p>
    <w:p>
      <w:pPr>
        <w:pStyle w:val="5"/>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rPr>
          <w:rFonts w:hint="default" w:ascii="仿宋" w:hAnsi="仿宋" w:eastAsia="仿宋" w:cs="仿宋"/>
          <w:color w:val="auto"/>
          <w:sz w:val="32"/>
          <w:szCs w:val="32"/>
          <w:lang w:val="en-US" w:eastAsia="zh-CN"/>
        </w:rPr>
      </w:pPr>
      <w:r>
        <w:rPr>
          <w:rFonts w:hint="eastAsia" w:ascii="仿宋" w:hAnsi="仿宋" w:eastAsia="仿宋" w:cs="仿宋"/>
          <w:b w:val="0"/>
          <w:bCs w:val="0"/>
          <w:sz w:val="32"/>
          <w:szCs w:val="32"/>
          <w:lang w:val="en-US" w:eastAsia="zh-CN"/>
        </w:rPr>
        <w:t xml:space="preserve">     3、</w:t>
      </w:r>
      <w:r>
        <w:rPr>
          <w:rFonts w:hint="eastAsia" w:ascii="仿宋" w:hAnsi="仿宋" w:eastAsia="仿宋" w:cs="仿宋"/>
          <w:color w:val="auto"/>
          <w:sz w:val="32"/>
          <w:szCs w:val="32"/>
          <w:lang w:eastAsia="zh-CN"/>
        </w:rPr>
        <w:t>二楼卫生间维修</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卫生间</w:t>
      </w:r>
      <w:r>
        <w:rPr>
          <w:rFonts w:hint="eastAsia" w:ascii="仿宋" w:hAnsi="仿宋" w:eastAsia="仿宋" w:cs="仿宋"/>
          <w:color w:val="auto"/>
          <w:sz w:val="32"/>
          <w:szCs w:val="32"/>
        </w:rPr>
        <w:t>墙</w:t>
      </w:r>
      <w:r>
        <w:rPr>
          <w:rFonts w:hint="eastAsia" w:ascii="仿宋" w:hAnsi="仿宋" w:eastAsia="仿宋" w:cs="仿宋"/>
          <w:color w:val="auto"/>
          <w:sz w:val="32"/>
          <w:szCs w:val="32"/>
          <w:lang w:eastAsia="zh-CN"/>
        </w:rPr>
        <w:t>地</w:t>
      </w:r>
      <w:r>
        <w:rPr>
          <w:rFonts w:hint="eastAsia" w:ascii="仿宋" w:hAnsi="仿宋" w:eastAsia="仿宋" w:cs="仿宋"/>
          <w:color w:val="auto"/>
          <w:sz w:val="32"/>
          <w:szCs w:val="32"/>
        </w:rPr>
        <w:t>面瓷砖</w:t>
      </w:r>
      <w:r>
        <w:rPr>
          <w:rFonts w:hint="eastAsia" w:ascii="仿宋" w:hAnsi="仿宋" w:eastAsia="仿宋" w:cs="仿宋"/>
          <w:color w:val="auto"/>
          <w:sz w:val="32"/>
          <w:szCs w:val="32"/>
          <w:lang w:eastAsia="zh-CN"/>
        </w:rPr>
        <w:t>及吊顶</w:t>
      </w:r>
      <w:r>
        <w:rPr>
          <w:rFonts w:hint="eastAsia" w:ascii="仿宋" w:hAnsi="仿宋" w:eastAsia="仿宋" w:cs="仿宋"/>
          <w:color w:val="auto"/>
          <w:sz w:val="32"/>
          <w:szCs w:val="32"/>
        </w:rPr>
        <w:t>全部拆除新做</w:t>
      </w:r>
      <w:r>
        <w:rPr>
          <w:rFonts w:hint="eastAsia" w:ascii="仿宋" w:hAnsi="仿宋" w:eastAsia="仿宋" w:cs="仿宋"/>
          <w:color w:val="auto"/>
          <w:sz w:val="32"/>
          <w:szCs w:val="32"/>
          <w:lang w:eastAsia="zh-CN"/>
        </w:rPr>
        <w:t>，给排水系统管道支管全部拆除新做，卫生器具全部更换。</w:t>
      </w:r>
    </w:p>
    <w:p>
      <w:pPr>
        <w:pStyle w:val="5"/>
        <w:keepNext w:val="0"/>
        <w:keepLines w:val="0"/>
        <w:pageBreakBefore w:val="0"/>
        <w:widowControl/>
        <w:kinsoku/>
        <w:wordWrap/>
        <w:overflowPunct/>
        <w:topLinePunct w:val="0"/>
        <w:autoSpaceDE/>
        <w:autoSpaceDN/>
        <w:bidi w:val="0"/>
        <w:adjustRightInd/>
        <w:snapToGrid/>
        <w:spacing w:before="180" w:beforeAutospacing="0" w:after="180" w:afterAutospacing="0" w:line="360" w:lineRule="auto"/>
        <w:ind w:firstLine="643" w:firstLineChars="200"/>
        <w:textAlignment w:val="baseline"/>
        <w:rPr>
          <w:rFonts w:hint="eastAsia" w:ascii="仿宋" w:hAnsi="仿宋" w:eastAsia="仿宋" w:cs="仿宋"/>
          <w:b/>
          <w:color w:val="auto"/>
          <w:sz w:val="32"/>
          <w:szCs w:val="32"/>
        </w:rPr>
      </w:pPr>
      <w:r>
        <w:rPr>
          <w:rFonts w:hint="eastAsia" w:ascii="仿宋" w:hAnsi="仿宋" w:eastAsia="仿宋" w:cs="仿宋"/>
          <w:b/>
          <w:color w:val="auto"/>
          <w:sz w:val="32"/>
          <w:szCs w:val="32"/>
          <w:lang w:val="en-US" w:eastAsia="zh-CN"/>
        </w:rPr>
        <w:t>二、</w:t>
      </w:r>
      <w:r>
        <w:rPr>
          <w:rFonts w:hint="eastAsia" w:ascii="仿宋" w:hAnsi="仿宋" w:eastAsia="仿宋" w:cs="仿宋"/>
          <w:b/>
          <w:color w:val="auto"/>
          <w:sz w:val="32"/>
          <w:szCs w:val="32"/>
        </w:rPr>
        <w:t>编制依据：</w:t>
      </w:r>
    </w:p>
    <w:p>
      <w:pPr>
        <w:snapToGrid w:val="0"/>
        <w:spacing w:before="0" w:after="0" w:line="360" w:lineRule="auto"/>
        <w:ind w:left="0" w:right="0" w:firstLineChars="200"/>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1、工程量依据202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月电子版施工图纸及</w:t>
      </w:r>
      <w:r>
        <w:rPr>
          <w:rFonts w:hint="eastAsia" w:ascii="仿宋" w:hAnsi="仿宋" w:eastAsia="仿宋" w:cs="仿宋"/>
          <w:color w:val="auto"/>
          <w:sz w:val="32"/>
          <w:szCs w:val="32"/>
          <w:shd w:val="clear" w:fill="FFFFFF"/>
        </w:rPr>
        <w:t>202</w:t>
      </w:r>
      <w:r>
        <w:rPr>
          <w:rFonts w:hint="eastAsia" w:ascii="仿宋" w:hAnsi="仿宋" w:eastAsia="仿宋" w:cs="仿宋"/>
          <w:color w:val="auto"/>
          <w:sz w:val="32"/>
          <w:szCs w:val="32"/>
          <w:shd w:val="clear" w:fill="FFFFFF"/>
          <w:lang w:val="en-US" w:eastAsia="zh-CN"/>
        </w:rPr>
        <w:t>3</w:t>
      </w:r>
      <w:r>
        <w:rPr>
          <w:rFonts w:hint="eastAsia" w:ascii="仿宋" w:hAnsi="仿宋" w:eastAsia="仿宋" w:cs="仿宋"/>
          <w:color w:val="auto"/>
          <w:sz w:val="32"/>
          <w:szCs w:val="32"/>
          <w:shd w:val="clear" w:fill="FFFFFF"/>
        </w:rPr>
        <w:t>年</w:t>
      </w:r>
      <w:r>
        <w:rPr>
          <w:rFonts w:hint="eastAsia" w:ascii="仿宋" w:hAnsi="仿宋" w:eastAsia="仿宋" w:cs="仿宋"/>
          <w:color w:val="auto"/>
          <w:sz w:val="32"/>
          <w:szCs w:val="32"/>
          <w:shd w:val="clear" w:fill="FFFFFF"/>
          <w:lang w:val="en-US" w:eastAsia="zh-CN"/>
        </w:rPr>
        <w:t>3</w:t>
      </w:r>
      <w:r>
        <w:rPr>
          <w:rFonts w:hint="eastAsia" w:ascii="仿宋" w:hAnsi="仿宋" w:eastAsia="仿宋" w:cs="仿宋"/>
          <w:color w:val="auto"/>
          <w:sz w:val="32"/>
          <w:szCs w:val="32"/>
          <w:shd w:val="clear" w:fill="FFFFFF"/>
        </w:rPr>
        <w:t>月</w:t>
      </w:r>
      <w:r>
        <w:rPr>
          <w:rFonts w:hint="eastAsia" w:ascii="仿宋" w:hAnsi="仿宋" w:eastAsia="仿宋" w:cs="仿宋"/>
          <w:color w:val="auto"/>
          <w:sz w:val="32"/>
          <w:szCs w:val="32"/>
          <w:shd w:val="clear" w:fill="FFFFFF"/>
          <w:lang w:val="en-US" w:eastAsia="zh-CN"/>
        </w:rPr>
        <w:t>17</w:t>
      </w:r>
      <w:r>
        <w:rPr>
          <w:rFonts w:hint="eastAsia" w:ascii="仿宋" w:hAnsi="仿宋" w:eastAsia="仿宋" w:cs="仿宋"/>
          <w:color w:val="auto"/>
          <w:sz w:val="32"/>
          <w:szCs w:val="32"/>
          <w:shd w:val="clear" w:fill="FFFFFF"/>
        </w:rPr>
        <w:t>日</w:t>
      </w:r>
      <w:r>
        <w:rPr>
          <w:rFonts w:hint="eastAsia" w:ascii="仿宋" w:hAnsi="仿宋" w:eastAsia="仿宋" w:cs="仿宋"/>
          <w:color w:val="auto"/>
          <w:sz w:val="32"/>
          <w:szCs w:val="32"/>
          <w:lang w:eastAsia="zh-CN"/>
        </w:rPr>
        <w:t>“十五运会”场馆维修（蒙古族中学体育馆）</w:t>
      </w:r>
      <w:r>
        <w:rPr>
          <w:rFonts w:hint="eastAsia" w:ascii="仿宋" w:hAnsi="仿宋" w:eastAsia="仿宋" w:cs="仿宋"/>
          <w:color w:val="auto"/>
          <w:sz w:val="32"/>
          <w:szCs w:val="32"/>
        </w:rPr>
        <w:t>工程图纸问题回复进行计算</w:t>
      </w:r>
      <w:r>
        <w:rPr>
          <w:rFonts w:hint="eastAsia" w:ascii="仿宋" w:hAnsi="仿宋" w:eastAsia="仿宋" w:cs="仿宋"/>
          <w:color w:val="auto"/>
          <w:sz w:val="32"/>
          <w:szCs w:val="32"/>
          <w:lang w:eastAsia="zh-CN"/>
        </w:rPr>
        <w:t>；</w:t>
      </w:r>
    </w:p>
    <w:p>
      <w:pPr>
        <w:snapToGrid w:val="0"/>
        <w:spacing w:before="0" w:after="0" w:line="360" w:lineRule="auto"/>
        <w:ind w:left="0" w:right="0" w:firstLine="640" w:firstLineChars="0"/>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rPr>
        <w:t>2、工程量清单计价执行GB50500-2013《建设工程工程量清单计价规范》、GB50854-2013《房屋建筑与装饰工程工程量计算规范》、GB5085</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-2013《通用安装工程工程量计算规范》</w:t>
      </w:r>
      <w:r>
        <w:rPr>
          <w:rFonts w:hint="eastAsia" w:ascii="仿宋" w:hAnsi="仿宋" w:eastAsia="仿宋" w:cs="仿宋"/>
          <w:color w:val="auto"/>
          <w:sz w:val="32"/>
          <w:szCs w:val="32"/>
          <w:lang w:eastAsia="zh-CN"/>
        </w:rPr>
        <w:t>；</w:t>
      </w:r>
    </w:p>
    <w:p>
      <w:pPr>
        <w:snapToGrid w:val="0"/>
        <w:spacing w:before="0" w:after="0" w:line="360" w:lineRule="auto"/>
        <w:ind w:right="0" w:firstLine="640" w:firstLineChars="200"/>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建筑及安装工程规费执行内建标函【2019】468号文件，按19%计取</w:t>
      </w:r>
      <w:r>
        <w:rPr>
          <w:rFonts w:hint="eastAsia" w:ascii="仿宋" w:hAnsi="仿宋" w:eastAsia="仿宋" w:cs="仿宋"/>
          <w:color w:val="auto"/>
          <w:sz w:val="32"/>
          <w:szCs w:val="32"/>
          <w:lang w:eastAsia="zh-CN"/>
        </w:rPr>
        <w:t>；</w:t>
      </w:r>
    </w:p>
    <w:p>
      <w:pPr>
        <w:snapToGrid w:val="0"/>
        <w:spacing w:before="0" w:after="0" w:line="360" w:lineRule="auto"/>
        <w:ind w:left="0" w:right="0" w:firstLineChars="200"/>
        <w:jc w:val="left"/>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、税金执行内建标【2019】113号文件,税率按9%计取</w:t>
      </w:r>
      <w:r>
        <w:rPr>
          <w:rFonts w:hint="eastAsia" w:ascii="仿宋" w:hAnsi="仿宋" w:eastAsia="仿宋" w:cs="仿宋"/>
          <w:color w:val="auto"/>
          <w:sz w:val="32"/>
          <w:szCs w:val="32"/>
          <w:lang w:eastAsia="zh-CN"/>
        </w:rPr>
        <w:t>；</w:t>
      </w:r>
    </w:p>
    <w:p>
      <w:pPr>
        <w:pStyle w:val="5"/>
        <w:keepNext w:val="0"/>
        <w:keepLines w:val="0"/>
        <w:pageBreakBefore w:val="0"/>
        <w:widowControl/>
        <w:kinsoku/>
        <w:wordWrap/>
        <w:overflowPunct/>
        <w:topLinePunct w:val="0"/>
        <w:autoSpaceDE/>
        <w:autoSpaceDN/>
        <w:bidi w:val="0"/>
        <w:adjustRightInd/>
        <w:snapToGrid/>
        <w:spacing w:before="180" w:beforeAutospacing="0" w:after="180" w:afterAutospacing="0" w:line="360" w:lineRule="auto"/>
        <w:ind w:firstLine="643" w:firstLineChars="200"/>
        <w:textAlignment w:val="baseline"/>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lang w:val="en-US" w:eastAsia="zh-CN"/>
        </w:rPr>
        <w:t>三、工程量清单编制说明</w:t>
      </w:r>
    </w:p>
    <w:p>
      <w:pPr>
        <w:pStyle w:val="5"/>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1、编织袋装垃圾，人工搬运到指定堆放地点，装车外运及运距，投标人报价时自行考虑，结算时不予调整；</w:t>
      </w:r>
    </w:p>
    <w:p>
      <w:pPr>
        <w:pStyle w:val="5"/>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2、LED屏、</w:t>
      </w:r>
      <w:bookmarkStart w:id="0" w:name="_GoBack"/>
      <w:bookmarkEnd w:id="0"/>
      <w:r>
        <w:rPr>
          <w:rFonts w:hint="eastAsia" w:ascii="仿宋_GB2312" w:hAnsi="仿宋_GB2312" w:eastAsia="仿宋_GB2312" w:cs="仿宋_GB2312"/>
          <w:color w:val="auto"/>
          <w:kern w:val="2"/>
          <w:sz w:val="32"/>
          <w:szCs w:val="32"/>
          <w:highlight w:val="none"/>
          <w:lang w:val="en-US" w:eastAsia="zh-CN" w:bidi="ar-SA"/>
        </w:rPr>
        <w:t>有价值的设备（材料）拆除均为保护性拆除，拆除的设备及材料移交使用单位，并运到指定地点，办理移交手续；</w:t>
      </w:r>
    </w:p>
    <w:p>
      <w:pPr>
        <w:keepNext w:val="0"/>
        <w:keepLines w:val="0"/>
        <w:pageBreakBefore w:val="0"/>
        <w:widowControl w:val="0"/>
        <w:tabs>
          <w:tab w:val="left" w:pos="6156"/>
        </w:tabs>
        <w:kinsoku/>
        <w:wordWrap/>
        <w:overflowPunct/>
        <w:topLinePunct w:val="0"/>
        <w:autoSpaceDE/>
        <w:autoSpaceDN/>
        <w:bidi w:val="0"/>
        <w:adjustRightInd/>
        <w:snapToGrid w:val="0"/>
        <w:spacing w:before="0" w:after="0" w:line="360" w:lineRule="auto"/>
        <w:ind w:right="0" w:firstLine="640" w:firstLineChars="200"/>
        <w:jc w:val="left"/>
        <w:textAlignment w:val="auto"/>
        <w:rPr>
          <w:rFonts w:hint="eastAsia" w:ascii="仿宋" w:hAnsi="仿宋" w:eastAsia="仿宋" w:cs="仿宋"/>
          <w:color w:val="auto"/>
          <w:sz w:val="32"/>
          <w:szCs w:val="32"/>
          <w:u w:val="none"/>
          <w:lang w:val="en-US" w:eastAsia="zh-CN"/>
        </w:rPr>
      </w:pPr>
      <w:r>
        <w:rPr>
          <w:rFonts w:hint="eastAsia" w:ascii="仿宋_GB2312" w:hAnsi="仿宋_GB2312" w:eastAsia="仿宋_GB2312" w:cs="仿宋_GB2312"/>
          <w:color w:val="auto"/>
          <w:kern w:val="2"/>
          <w:sz w:val="32"/>
          <w:szCs w:val="32"/>
          <w:highlight w:val="none"/>
          <w:lang w:val="en-US" w:eastAsia="zh-CN" w:bidi="ar-SA"/>
        </w:rPr>
        <w:t>4、</w:t>
      </w:r>
      <w:r>
        <w:rPr>
          <w:rFonts w:hint="eastAsia" w:ascii="仿宋" w:hAnsi="仿宋" w:eastAsia="仿宋" w:cs="仿宋"/>
          <w:color w:val="auto"/>
          <w:sz w:val="32"/>
          <w:szCs w:val="32"/>
          <w:u w:val="none"/>
          <w:lang w:val="en-US" w:eastAsia="zh-CN"/>
        </w:rPr>
        <w:t>暂列金360000元（含税金）；</w:t>
      </w:r>
      <w:r>
        <w:rPr>
          <w:rFonts w:hint="eastAsia" w:ascii="仿宋" w:hAnsi="仿宋" w:eastAsia="仿宋" w:cs="仿宋"/>
          <w:color w:val="auto"/>
          <w:sz w:val="32"/>
          <w:szCs w:val="32"/>
          <w:u w:val="none"/>
          <w:lang w:val="en-US" w:eastAsia="zh-CN"/>
        </w:rPr>
        <w:tab/>
      </w:r>
    </w:p>
    <w:p>
      <w:pPr>
        <w:keepNext w:val="0"/>
        <w:keepLines w:val="0"/>
        <w:pageBreakBefore w:val="0"/>
        <w:widowControl w:val="0"/>
        <w:tabs>
          <w:tab w:val="left" w:pos="6156"/>
          <w:tab w:val="left" w:pos="8481"/>
        </w:tabs>
        <w:kinsoku/>
        <w:wordWrap/>
        <w:overflowPunct/>
        <w:topLinePunct w:val="0"/>
        <w:autoSpaceDE/>
        <w:autoSpaceDN/>
        <w:bidi w:val="0"/>
        <w:adjustRightInd/>
        <w:snapToGrid w:val="0"/>
        <w:spacing w:before="0" w:after="0" w:line="360" w:lineRule="auto"/>
        <w:ind w:right="0" w:firstLine="640" w:firstLineChars="200"/>
        <w:jc w:val="left"/>
        <w:textAlignment w:val="auto"/>
        <w:rPr>
          <w:rFonts w:hint="default" w:ascii="仿宋" w:hAnsi="仿宋" w:eastAsia="仿宋" w:cs="仿宋"/>
          <w:color w:val="auto"/>
          <w:sz w:val="32"/>
          <w:szCs w:val="32"/>
          <w:u w:val="none"/>
          <w:lang w:val="en-US" w:eastAsia="zh-CN"/>
        </w:rPr>
      </w:pPr>
      <w:r>
        <w:rPr>
          <w:rFonts w:hint="eastAsia" w:ascii="仿宋" w:hAnsi="仿宋" w:eastAsia="仿宋" w:cs="仿宋"/>
          <w:color w:val="auto"/>
          <w:sz w:val="32"/>
          <w:szCs w:val="32"/>
          <w:u w:val="none"/>
          <w:lang w:val="en-US" w:eastAsia="zh-CN"/>
        </w:rPr>
        <w:t>5、搭设脚手架需对地面进行保护、材料搬运及上料等，投标人报价时自行考虑，结算时不予调整；</w:t>
      </w:r>
    </w:p>
    <w:p>
      <w:pPr>
        <w:pStyle w:val="5"/>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643" w:firstLineChars="200"/>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lang w:val="en-US" w:eastAsia="zh-CN"/>
        </w:rPr>
        <w:t>四、主要材料品牌推荐表（备注：此表中材料设备要求投标方必须填报品牌，否则中标后发包人可以在推荐品牌中任意选择某一品牌），后附表：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801"/>
        <w:gridCol w:w="2158"/>
        <w:gridCol w:w="717"/>
        <w:gridCol w:w="4800"/>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93" w:hRule="atLeast"/>
        </w:trPr>
        <w:tc>
          <w:tcPr>
            <w:tcW w:w="801"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序号</w:t>
            </w:r>
          </w:p>
        </w:tc>
        <w:tc>
          <w:tcPr>
            <w:tcW w:w="2158"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名称</w:t>
            </w:r>
          </w:p>
        </w:tc>
        <w:tc>
          <w:tcPr>
            <w:tcW w:w="717"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单位</w:t>
            </w:r>
          </w:p>
        </w:tc>
        <w:tc>
          <w:tcPr>
            <w:tcW w:w="480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品牌推荐</w:t>
            </w:r>
          </w:p>
        </w:tc>
        <w:tc>
          <w:tcPr>
            <w:tcW w:w="1083"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i w:val="0"/>
                <w:iCs w:val="0"/>
                <w:color w:val="auto"/>
                <w:kern w:val="0"/>
                <w:sz w:val="20"/>
                <w:szCs w:val="20"/>
                <w:u w:val="none"/>
                <w:lang w:val="en-US" w:eastAsia="zh-CN" w:bidi="ar"/>
              </w:rPr>
              <w:t>投标品牌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38" w:hRule="atLeast"/>
        </w:trPr>
        <w:tc>
          <w:tcPr>
            <w:tcW w:w="801"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w:t>
            </w:r>
          </w:p>
        </w:tc>
        <w:tc>
          <w:tcPr>
            <w:tcW w:w="2158"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eastAsia="zh-CN"/>
              </w:rPr>
              <w:t>陶瓷薄板</w:t>
            </w:r>
          </w:p>
        </w:tc>
        <w:tc>
          <w:tcPr>
            <w:tcW w:w="717"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m2</w:t>
            </w:r>
          </w:p>
        </w:tc>
        <w:tc>
          <w:tcPr>
            <w:tcW w:w="480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相当于</w:t>
            </w:r>
            <w:r>
              <w:rPr>
                <w:rFonts w:hint="eastAsia" w:ascii="仿宋" w:hAnsi="仿宋" w:eastAsia="仿宋" w:cs="仿宋"/>
                <w:color w:val="auto"/>
                <w:sz w:val="21"/>
                <w:szCs w:val="21"/>
                <w:lang w:eastAsia="zh-CN"/>
              </w:rPr>
              <w:t>诺贝尔、箭牌、顺辉</w:t>
            </w:r>
            <w:r>
              <w:rPr>
                <w:rFonts w:hint="eastAsia" w:ascii="仿宋" w:hAnsi="仿宋" w:eastAsia="仿宋" w:cs="仿宋"/>
                <w:color w:val="auto"/>
                <w:sz w:val="21"/>
                <w:szCs w:val="21"/>
              </w:rPr>
              <w:t>中档及以上品牌</w:t>
            </w:r>
          </w:p>
        </w:tc>
        <w:tc>
          <w:tcPr>
            <w:tcW w:w="1083"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68" w:hRule="atLeast"/>
        </w:trPr>
        <w:tc>
          <w:tcPr>
            <w:tcW w:w="801"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w:t>
            </w:r>
          </w:p>
        </w:tc>
        <w:tc>
          <w:tcPr>
            <w:tcW w:w="2158"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360" w:lineRule="auto"/>
              <w:ind w:left="0" w:leftChars="0" w:right="0" w:rightChars="0"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eastAsia="zh-CN"/>
              </w:rPr>
              <w:t>乳胶漆</w:t>
            </w:r>
          </w:p>
        </w:tc>
        <w:tc>
          <w:tcPr>
            <w:tcW w:w="717"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Kg</w:t>
            </w:r>
          </w:p>
        </w:tc>
        <w:tc>
          <w:tcPr>
            <w:tcW w:w="480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相当于</w:t>
            </w:r>
            <w:r>
              <w:rPr>
                <w:rFonts w:hint="eastAsia" w:ascii="仿宋" w:hAnsi="仿宋" w:eastAsia="仿宋" w:cs="仿宋"/>
                <w:color w:val="auto"/>
                <w:sz w:val="21"/>
                <w:szCs w:val="21"/>
                <w:lang w:eastAsia="zh-CN"/>
              </w:rPr>
              <w:t>立邦、嘉宝莉、三棵树</w:t>
            </w:r>
            <w:r>
              <w:rPr>
                <w:rFonts w:hint="eastAsia" w:ascii="仿宋" w:hAnsi="仿宋" w:eastAsia="仿宋" w:cs="仿宋"/>
                <w:color w:val="auto"/>
                <w:sz w:val="21"/>
                <w:szCs w:val="21"/>
              </w:rPr>
              <w:t>中档及以上品牌</w:t>
            </w:r>
          </w:p>
        </w:tc>
        <w:tc>
          <w:tcPr>
            <w:tcW w:w="1083"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80" w:hRule="atLeast"/>
        </w:trPr>
        <w:tc>
          <w:tcPr>
            <w:tcW w:w="801"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w:t>
            </w:r>
          </w:p>
        </w:tc>
        <w:tc>
          <w:tcPr>
            <w:tcW w:w="2158"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lang w:eastAsia="zh-CN"/>
              </w:rPr>
              <w:t>陶瓷墙、地面砖</w:t>
            </w:r>
          </w:p>
        </w:tc>
        <w:tc>
          <w:tcPr>
            <w:tcW w:w="717"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m2</w:t>
            </w:r>
          </w:p>
        </w:tc>
        <w:tc>
          <w:tcPr>
            <w:tcW w:w="480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相当于</w:t>
            </w:r>
            <w:r>
              <w:rPr>
                <w:rFonts w:hint="eastAsia" w:ascii="仿宋" w:hAnsi="仿宋" w:eastAsia="仿宋" w:cs="仿宋"/>
                <w:color w:val="auto"/>
                <w:sz w:val="21"/>
                <w:szCs w:val="21"/>
                <w:lang w:eastAsia="zh-CN"/>
              </w:rPr>
              <w:t>诺贝尔、箭牌、顺辉</w:t>
            </w:r>
            <w:r>
              <w:rPr>
                <w:rFonts w:hint="eastAsia" w:ascii="仿宋" w:hAnsi="仿宋" w:eastAsia="仿宋" w:cs="仿宋"/>
                <w:color w:val="auto"/>
                <w:sz w:val="21"/>
                <w:szCs w:val="21"/>
              </w:rPr>
              <w:t>中档及以上品牌</w:t>
            </w:r>
          </w:p>
        </w:tc>
        <w:tc>
          <w:tcPr>
            <w:tcW w:w="1083"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80" w:hRule="atLeast"/>
        </w:trPr>
        <w:tc>
          <w:tcPr>
            <w:tcW w:w="801"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w:t>
            </w:r>
          </w:p>
        </w:tc>
        <w:tc>
          <w:tcPr>
            <w:tcW w:w="2158"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LED显示屏</w:t>
            </w:r>
          </w:p>
        </w:tc>
        <w:tc>
          <w:tcPr>
            <w:tcW w:w="717"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m2</w:t>
            </w:r>
          </w:p>
        </w:tc>
        <w:tc>
          <w:tcPr>
            <w:tcW w:w="480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sz w:val="21"/>
                <w:szCs w:val="21"/>
              </w:rPr>
            </w:pPr>
            <w:r>
              <w:rPr>
                <w:rFonts w:hint="eastAsia" w:ascii="仿宋" w:hAnsi="仿宋" w:eastAsia="仿宋" w:cs="仿宋"/>
                <w:color w:val="auto"/>
                <w:sz w:val="21"/>
                <w:szCs w:val="21"/>
              </w:rPr>
              <w:t>相当于</w:t>
            </w:r>
            <w:r>
              <w:rPr>
                <w:rFonts w:hint="eastAsia" w:ascii="仿宋" w:hAnsi="仿宋" w:eastAsia="仿宋" w:cs="仿宋"/>
                <w:color w:val="auto"/>
                <w:sz w:val="21"/>
                <w:szCs w:val="21"/>
                <w:lang w:eastAsia="zh-CN"/>
              </w:rPr>
              <w:t>利亚德</w:t>
            </w:r>
            <w:r>
              <w:rPr>
                <w:rFonts w:hint="eastAsia" w:ascii="仿宋" w:hAnsi="仿宋" w:eastAsia="仿宋" w:cs="仿宋"/>
                <w:color w:val="auto"/>
                <w:sz w:val="21"/>
                <w:szCs w:val="21"/>
              </w:rPr>
              <w:t>、</w:t>
            </w:r>
            <w:r>
              <w:rPr>
                <w:rFonts w:hint="eastAsia" w:ascii="仿宋" w:hAnsi="仿宋" w:eastAsia="仿宋" w:cs="仿宋"/>
                <w:color w:val="auto"/>
                <w:sz w:val="21"/>
                <w:szCs w:val="21"/>
                <w:lang w:eastAsia="zh-CN"/>
              </w:rPr>
              <w:t>联建、艾比森</w:t>
            </w:r>
            <w:r>
              <w:rPr>
                <w:rFonts w:hint="eastAsia" w:ascii="仿宋" w:hAnsi="仿宋" w:eastAsia="仿宋" w:cs="仿宋"/>
                <w:color w:val="auto"/>
                <w:sz w:val="21"/>
                <w:szCs w:val="21"/>
              </w:rPr>
              <w:t>中档及以上品牌</w:t>
            </w:r>
          </w:p>
        </w:tc>
        <w:tc>
          <w:tcPr>
            <w:tcW w:w="1083"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80" w:hRule="atLeast"/>
        </w:trPr>
        <w:tc>
          <w:tcPr>
            <w:tcW w:w="801"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w:t>
            </w:r>
          </w:p>
        </w:tc>
        <w:tc>
          <w:tcPr>
            <w:tcW w:w="2158" w:type="dxa"/>
            <w:tcBorders>
              <w:top w:val="single" w:color="000000" w:sz="8" w:space="0"/>
              <w:left w:val="single" w:color="000000" w:sz="8" w:space="0"/>
              <w:bottom w:val="single" w:color="000000" w:sz="8" w:space="0"/>
              <w:right w:val="single" w:color="000000" w:sz="8" w:space="0"/>
            </w:tcBorders>
            <w:vAlign w:val="center"/>
          </w:tcPr>
          <w:p>
            <w:pPr>
              <w:snapToGrid w:val="0"/>
              <w:spacing w:before="0" w:after="0" w:line="360" w:lineRule="auto"/>
              <w:ind w:left="0" w:right="0" w:firstLine="0"/>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脚踏式蹲</w:t>
            </w:r>
            <w:r>
              <w:rPr>
                <w:rFonts w:hint="eastAsia" w:ascii="仿宋" w:hAnsi="仿宋" w:eastAsia="仿宋" w:cs="仿宋"/>
                <w:color w:val="auto"/>
                <w:sz w:val="21"/>
                <w:szCs w:val="21"/>
              </w:rPr>
              <w:t>便器</w:t>
            </w:r>
            <w:r>
              <w:rPr>
                <w:rFonts w:hint="eastAsia" w:ascii="仿宋" w:hAnsi="仿宋" w:eastAsia="仿宋" w:cs="仿宋"/>
                <w:color w:val="auto"/>
                <w:sz w:val="21"/>
                <w:szCs w:val="21"/>
                <w:lang w:eastAsia="zh-CN"/>
              </w:rPr>
              <w:t>、感应挂式</w:t>
            </w:r>
            <w:r>
              <w:rPr>
                <w:rFonts w:hint="eastAsia" w:ascii="仿宋" w:hAnsi="仿宋" w:eastAsia="仿宋" w:cs="仿宋"/>
                <w:color w:val="auto"/>
                <w:sz w:val="21"/>
                <w:szCs w:val="21"/>
              </w:rPr>
              <w:t>小便器</w:t>
            </w:r>
            <w:r>
              <w:rPr>
                <w:rFonts w:hint="eastAsia" w:ascii="仿宋" w:hAnsi="仿宋" w:eastAsia="仿宋" w:cs="仿宋"/>
                <w:color w:val="auto"/>
                <w:sz w:val="21"/>
                <w:szCs w:val="21"/>
                <w:lang w:eastAsia="zh-CN"/>
              </w:rPr>
              <w:t>、台下</w:t>
            </w:r>
            <w:r>
              <w:rPr>
                <w:rFonts w:hint="eastAsia" w:ascii="仿宋" w:hAnsi="仿宋" w:eastAsia="仿宋" w:cs="仿宋"/>
                <w:color w:val="auto"/>
                <w:sz w:val="21"/>
                <w:szCs w:val="21"/>
              </w:rPr>
              <w:t>式洗脸盆</w:t>
            </w:r>
            <w:r>
              <w:rPr>
                <w:rFonts w:hint="eastAsia" w:ascii="仿宋" w:hAnsi="仿宋" w:eastAsia="仿宋" w:cs="仿宋"/>
                <w:color w:val="auto"/>
                <w:sz w:val="21"/>
                <w:szCs w:val="21"/>
                <w:lang w:eastAsia="zh-CN"/>
              </w:rPr>
              <w:t>、感应式水龙头</w:t>
            </w:r>
          </w:p>
        </w:tc>
        <w:tc>
          <w:tcPr>
            <w:tcW w:w="717"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套</w:t>
            </w:r>
          </w:p>
        </w:tc>
        <w:tc>
          <w:tcPr>
            <w:tcW w:w="480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sz w:val="21"/>
                <w:szCs w:val="21"/>
              </w:rPr>
            </w:pPr>
            <w:r>
              <w:rPr>
                <w:rFonts w:hint="eastAsia" w:ascii="仿宋" w:hAnsi="仿宋" w:eastAsia="仿宋" w:cs="仿宋"/>
                <w:color w:val="auto"/>
                <w:sz w:val="21"/>
                <w:szCs w:val="21"/>
              </w:rPr>
              <w:t>相当于箭牌、恒洁、</w:t>
            </w:r>
            <w:r>
              <w:rPr>
                <w:rFonts w:hint="eastAsia" w:ascii="仿宋" w:hAnsi="仿宋" w:eastAsia="仿宋" w:cs="仿宋"/>
                <w:color w:val="auto"/>
                <w:sz w:val="21"/>
                <w:szCs w:val="21"/>
                <w:lang w:eastAsia="zh-CN"/>
              </w:rPr>
              <w:t>安华</w:t>
            </w:r>
            <w:r>
              <w:rPr>
                <w:rFonts w:hint="eastAsia" w:ascii="仿宋" w:hAnsi="仿宋" w:eastAsia="仿宋" w:cs="仿宋"/>
                <w:color w:val="auto"/>
                <w:sz w:val="21"/>
                <w:szCs w:val="21"/>
              </w:rPr>
              <w:t>中档及以上品牌</w:t>
            </w:r>
          </w:p>
        </w:tc>
        <w:tc>
          <w:tcPr>
            <w:tcW w:w="1083"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p>
        </w:tc>
      </w:tr>
    </w:tbl>
    <w:p>
      <w:pPr>
        <w:pStyle w:val="5"/>
        <w:keepNext w:val="0"/>
        <w:keepLines w:val="0"/>
        <w:pageBreakBefore w:val="0"/>
        <w:widowControl/>
        <w:kinsoku/>
        <w:wordWrap/>
        <w:overflowPunct/>
        <w:topLinePunct w:val="0"/>
        <w:autoSpaceDE/>
        <w:autoSpaceDN/>
        <w:bidi w:val="0"/>
        <w:adjustRightInd/>
        <w:snapToGrid/>
        <w:spacing w:before="180" w:beforeAutospacing="0" w:after="180" w:afterAutospacing="0" w:line="360" w:lineRule="auto"/>
        <w:ind w:firstLine="643" w:firstLineChars="200"/>
        <w:textAlignment w:val="baseline"/>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lang w:val="en-US" w:eastAsia="zh-CN"/>
        </w:rPr>
        <w:t>五、主要材料价格公示表（备注：主要材料设备的投标报价与此表中公示的材料价和设备价格的负偏差不得超过5%，否则中标后发包人可根据公示价格选择材料、设备的品牌及档次标准。采购标准及参数需要以图纸及清单所提标准为基准，不得低于该使用标准），见附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726"/>
        <w:gridCol w:w="2730"/>
        <w:gridCol w:w="780"/>
        <w:gridCol w:w="1260"/>
        <w:gridCol w:w="2310"/>
        <w:gridCol w:w="1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80" w:hRule="atLeast"/>
        </w:trPr>
        <w:tc>
          <w:tcPr>
            <w:tcW w:w="726"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序号</w:t>
            </w:r>
          </w:p>
        </w:tc>
        <w:tc>
          <w:tcPr>
            <w:tcW w:w="273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名称</w:t>
            </w:r>
          </w:p>
        </w:tc>
        <w:tc>
          <w:tcPr>
            <w:tcW w:w="78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单位</w:t>
            </w:r>
          </w:p>
        </w:tc>
        <w:tc>
          <w:tcPr>
            <w:tcW w:w="126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i w:val="0"/>
                <w:iCs w:val="0"/>
                <w:color w:val="auto"/>
                <w:kern w:val="0"/>
                <w:sz w:val="20"/>
                <w:szCs w:val="20"/>
                <w:u w:val="none"/>
                <w:lang w:val="en-US" w:eastAsia="zh-CN" w:bidi="ar"/>
              </w:rPr>
              <w:t>公示价（元）不含税</w:t>
            </w:r>
          </w:p>
        </w:tc>
        <w:tc>
          <w:tcPr>
            <w:tcW w:w="231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i w:val="0"/>
                <w:iCs w:val="0"/>
                <w:color w:val="auto"/>
                <w:kern w:val="0"/>
                <w:sz w:val="20"/>
                <w:szCs w:val="20"/>
                <w:u w:val="none"/>
                <w:lang w:val="en-US" w:eastAsia="zh-CN" w:bidi="ar"/>
              </w:rPr>
              <w:t>投标报价（元）  不含税</w:t>
            </w:r>
          </w:p>
        </w:tc>
        <w:tc>
          <w:tcPr>
            <w:tcW w:w="1875"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95" w:hRule="atLeast"/>
        </w:trPr>
        <w:tc>
          <w:tcPr>
            <w:tcW w:w="726"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w:t>
            </w:r>
          </w:p>
        </w:tc>
        <w:tc>
          <w:tcPr>
            <w:tcW w:w="2730" w:type="dxa"/>
            <w:tcBorders>
              <w:top w:val="single" w:color="000000" w:sz="8" w:space="0"/>
              <w:left w:val="single" w:color="000000" w:sz="8" w:space="0"/>
              <w:bottom w:val="single" w:color="000000" w:sz="8" w:space="0"/>
              <w:right w:val="single" w:color="000000" w:sz="8" w:space="0"/>
            </w:tcBorders>
            <w:vAlign w:val="center"/>
          </w:tcPr>
          <w:p>
            <w:pPr>
              <w:pStyle w:val="5"/>
              <w:keepNext w:val="0"/>
              <w:keepLines w:val="0"/>
              <w:widowControl/>
              <w:suppressLineNumbers w:val="0"/>
              <w:spacing w:before="0" w:beforeAutospacing="0" w:after="0" w:afterAutospacing="0" w:line="360" w:lineRule="auto"/>
              <w:ind w:left="0" w:right="0" w:firstLine="0"/>
              <w:jc w:val="center"/>
              <w:rPr>
                <w:rFonts w:hint="eastAsia" w:ascii="仿宋" w:hAnsi="仿宋" w:eastAsia="仿宋" w:cs="仿宋"/>
                <w:color w:val="333333"/>
                <w:sz w:val="21"/>
                <w:szCs w:val="21"/>
                <w:lang w:val="en-US" w:eastAsia="zh-CN"/>
              </w:rPr>
            </w:pPr>
            <w:r>
              <w:rPr>
                <w:rFonts w:hint="eastAsia" w:ascii="仿宋" w:hAnsi="仿宋" w:eastAsia="仿宋" w:cs="仿宋"/>
                <w:color w:val="auto"/>
                <w:sz w:val="21"/>
                <w:szCs w:val="21"/>
                <w:lang w:eastAsia="zh-CN"/>
              </w:rPr>
              <w:t>陶瓷薄板</w:t>
            </w:r>
          </w:p>
        </w:tc>
        <w:tc>
          <w:tcPr>
            <w:tcW w:w="78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m2</w:t>
            </w:r>
          </w:p>
        </w:tc>
        <w:tc>
          <w:tcPr>
            <w:tcW w:w="126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333333"/>
                <w:sz w:val="21"/>
                <w:szCs w:val="21"/>
                <w:lang w:val="en-US" w:eastAsia="zh-CN"/>
              </w:rPr>
            </w:pPr>
            <w:r>
              <w:rPr>
                <w:rFonts w:hint="eastAsia" w:ascii="仿宋" w:hAnsi="仿宋" w:eastAsia="仿宋" w:cs="仿宋"/>
                <w:color w:val="333333"/>
                <w:sz w:val="21"/>
                <w:szCs w:val="21"/>
                <w:lang w:val="en-US" w:eastAsia="zh-CN"/>
              </w:rPr>
              <w:t>140</w:t>
            </w:r>
          </w:p>
        </w:tc>
        <w:tc>
          <w:tcPr>
            <w:tcW w:w="231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sz w:val="21"/>
                <w:szCs w:val="21"/>
              </w:rPr>
            </w:pPr>
          </w:p>
        </w:tc>
        <w:tc>
          <w:tcPr>
            <w:tcW w:w="1875"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材料价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95" w:hRule="atLeast"/>
        </w:trPr>
        <w:tc>
          <w:tcPr>
            <w:tcW w:w="726"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w:t>
            </w:r>
          </w:p>
        </w:tc>
        <w:tc>
          <w:tcPr>
            <w:tcW w:w="2730" w:type="dxa"/>
            <w:tcBorders>
              <w:top w:val="single" w:color="000000" w:sz="8" w:space="0"/>
              <w:left w:val="single" w:color="000000" w:sz="8" w:space="0"/>
              <w:bottom w:val="single" w:color="000000" w:sz="8" w:space="0"/>
              <w:right w:val="single" w:color="000000" w:sz="8" w:space="0"/>
            </w:tcBorders>
            <w:vAlign w:val="center"/>
          </w:tcPr>
          <w:p>
            <w:pPr>
              <w:pStyle w:val="5"/>
              <w:keepNext w:val="0"/>
              <w:keepLines w:val="0"/>
              <w:widowControl/>
              <w:suppressLineNumbers w:val="0"/>
              <w:spacing w:before="0" w:beforeAutospacing="0" w:after="0" w:afterAutospacing="0" w:line="360" w:lineRule="auto"/>
              <w:ind w:left="0" w:right="0" w:firstLine="0"/>
              <w:jc w:val="center"/>
              <w:rPr>
                <w:rFonts w:hint="eastAsia" w:ascii="仿宋" w:hAnsi="仿宋" w:eastAsia="仿宋" w:cs="仿宋"/>
                <w:color w:val="333333"/>
                <w:sz w:val="21"/>
                <w:szCs w:val="21"/>
                <w:lang w:val="en-US" w:eastAsia="zh-CN"/>
              </w:rPr>
            </w:pPr>
            <w:r>
              <w:rPr>
                <w:rFonts w:hint="eastAsia" w:ascii="仿宋" w:hAnsi="仿宋" w:eastAsia="仿宋" w:cs="仿宋"/>
                <w:color w:val="auto"/>
                <w:sz w:val="21"/>
                <w:szCs w:val="21"/>
                <w:lang w:eastAsia="zh-CN"/>
              </w:rPr>
              <w:t>陶瓷墙面砖</w:t>
            </w:r>
          </w:p>
        </w:tc>
        <w:tc>
          <w:tcPr>
            <w:tcW w:w="78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m2</w:t>
            </w:r>
          </w:p>
        </w:tc>
        <w:tc>
          <w:tcPr>
            <w:tcW w:w="126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333333"/>
                <w:sz w:val="21"/>
                <w:szCs w:val="21"/>
                <w:lang w:val="en-US" w:eastAsia="zh-CN"/>
              </w:rPr>
            </w:pPr>
            <w:r>
              <w:rPr>
                <w:rFonts w:hint="eastAsia" w:ascii="仿宋" w:hAnsi="仿宋" w:eastAsia="仿宋" w:cs="仿宋"/>
                <w:color w:val="333333"/>
                <w:sz w:val="21"/>
                <w:szCs w:val="21"/>
                <w:lang w:val="en-US" w:eastAsia="zh-CN"/>
              </w:rPr>
              <w:t>75</w:t>
            </w:r>
          </w:p>
        </w:tc>
        <w:tc>
          <w:tcPr>
            <w:tcW w:w="231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sz w:val="21"/>
                <w:szCs w:val="21"/>
              </w:rPr>
            </w:pPr>
          </w:p>
        </w:tc>
        <w:tc>
          <w:tcPr>
            <w:tcW w:w="1875"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材料价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95" w:hRule="atLeast"/>
        </w:trPr>
        <w:tc>
          <w:tcPr>
            <w:tcW w:w="726"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w:t>
            </w:r>
          </w:p>
        </w:tc>
        <w:tc>
          <w:tcPr>
            <w:tcW w:w="2730" w:type="dxa"/>
            <w:tcBorders>
              <w:top w:val="single" w:color="000000" w:sz="8" w:space="0"/>
              <w:left w:val="single" w:color="000000" w:sz="8" w:space="0"/>
              <w:bottom w:val="single" w:color="000000" w:sz="8" w:space="0"/>
              <w:right w:val="single" w:color="000000" w:sz="8" w:space="0"/>
            </w:tcBorders>
            <w:vAlign w:val="center"/>
          </w:tcPr>
          <w:p>
            <w:pPr>
              <w:pStyle w:val="5"/>
              <w:keepNext w:val="0"/>
              <w:keepLines w:val="0"/>
              <w:widowControl/>
              <w:suppressLineNumbers w:val="0"/>
              <w:spacing w:before="0" w:beforeAutospacing="0" w:after="0" w:afterAutospacing="0" w:line="360" w:lineRule="auto"/>
              <w:ind w:left="0" w:right="0" w:firstLine="0"/>
              <w:jc w:val="center"/>
              <w:rPr>
                <w:rFonts w:hint="eastAsia" w:ascii="仿宋" w:hAnsi="仿宋" w:eastAsia="仿宋" w:cs="仿宋"/>
                <w:color w:val="333333"/>
                <w:sz w:val="21"/>
                <w:szCs w:val="21"/>
                <w:lang w:val="en-US" w:eastAsia="zh-CN"/>
              </w:rPr>
            </w:pPr>
            <w:r>
              <w:rPr>
                <w:rFonts w:hint="eastAsia" w:ascii="仿宋" w:hAnsi="仿宋" w:eastAsia="仿宋" w:cs="仿宋"/>
                <w:color w:val="auto"/>
                <w:sz w:val="21"/>
                <w:szCs w:val="21"/>
                <w:lang w:eastAsia="zh-CN"/>
              </w:rPr>
              <w:t>陶瓷地面砖</w:t>
            </w:r>
          </w:p>
        </w:tc>
        <w:tc>
          <w:tcPr>
            <w:tcW w:w="78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m2</w:t>
            </w:r>
          </w:p>
        </w:tc>
        <w:tc>
          <w:tcPr>
            <w:tcW w:w="126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333333"/>
                <w:sz w:val="21"/>
                <w:szCs w:val="21"/>
                <w:lang w:val="en-US" w:eastAsia="zh-CN"/>
              </w:rPr>
            </w:pPr>
            <w:r>
              <w:rPr>
                <w:rFonts w:hint="eastAsia" w:ascii="仿宋" w:hAnsi="仿宋" w:eastAsia="仿宋" w:cs="仿宋"/>
                <w:color w:val="333333"/>
                <w:sz w:val="21"/>
                <w:szCs w:val="21"/>
                <w:lang w:val="en-US" w:eastAsia="zh-CN"/>
              </w:rPr>
              <w:t>119</w:t>
            </w:r>
          </w:p>
        </w:tc>
        <w:tc>
          <w:tcPr>
            <w:tcW w:w="231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sz w:val="21"/>
                <w:szCs w:val="21"/>
              </w:rPr>
            </w:pPr>
          </w:p>
        </w:tc>
        <w:tc>
          <w:tcPr>
            <w:tcW w:w="1875"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材料价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95" w:hRule="atLeast"/>
        </w:trPr>
        <w:tc>
          <w:tcPr>
            <w:tcW w:w="726"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w:t>
            </w:r>
          </w:p>
        </w:tc>
        <w:tc>
          <w:tcPr>
            <w:tcW w:w="2730" w:type="dxa"/>
            <w:tcBorders>
              <w:top w:val="single" w:color="000000" w:sz="8" w:space="0"/>
              <w:left w:val="single" w:color="000000" w:sz="8" w:space="0"/>
              <w:bottom w:val="single" w:color="000000" w:sz="8" w:space="0"/>
              <w:right w:val="single" w:color="000000" w:sz="8" w:space="0"/>
            </w:tcBorders>
            <w:vAlign w:val="center"/>
          </w:tcPr>
          <w:p>
            <w:pPr>
              <w:pStyle w:val="5"/>
              <w:keepNext w:val="0"/>
              <w:keepLines w:val="0"/>
              <w:widowControl/>
              <w:suppressLineNumbers w:val="0"/>
              <w:spacing w:before="0" w:beforeAutospacing="0" w:after="0" w:afterAutospacing="0" w:line="360" w:lineRule="auto"/>
              <w:ind w:left="0" w:right="0" w:firstLine="0"/>
              <w:jc w:val="center"/>
              <w:rPr>
                <w:rFonts w:hint="eastAsia" w:ascii="仿宋" w:hAnsi="仿宋" w:eastAsia="仿宋" w:cs="仿宋"/>
                <w:color w:val="333333"/>
                <w:sz w:val="21"/>
                <w:szCs w:val="21"/>
                <w:lang w:val="en-US" w:eastAsia="zh-CN"/>
              </w:rPr>
            </w:pPr>
            <w:r>
              <w:rPr>
                <w:rFonts w:hint="eastAsia" w:ascii="仿宋" w:hAnsi="仿宋" w:eastAsia="仿宋" w:cs="仿宋"/>
                <w:color w:val="333333"/>
                <w:sz w:val="21"/>
                <w:szCs w:val="21"/>
                <w:lang w:val="en-US" w:eastAsia="zh-CN"/>
              </w:rPr>
              <w:t>铝扣板天棚</w:t>
            </w:r>
          </w:p>
        </w:tc>
        <w:tc>
          <w:tcPr>
            <w:tcW w:w="78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m2</w:t>
            </w:r>
          </w:p>
        </w:tc>
        <w:tc>
          <w:tcPr>
            <w:tcW w:w="126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333333"/>
                <w:sz w:val="21"/>
                <w:szCs w:val="21"/>
                <w:lang w:val="en-US" w:eastAsia="zh-CN"/>
              </w:rPr>
            </w:pPr>
            <w:r>
              <w:rPr>
                <w:rFonts w:hint="eastAsia" w:ascii="仿宋" w:hAnsi="仿宋" w:eastAsia="仿宋" w:cs="仿宋"/>
                <w:color w:val="333333"/>
                <w:sz w:val="21"/>
                <w:szCs w:val="21"/>
                <w:lang w:val="en-US" w:eastAsia="zh-CN"/>
              </w:rPr>
              <w:t>134.09</w:t>
            </w:r>
          </w:p>
        </w:tc>
        <w:tc>
          <w:tcPr>
            <w:tcW w:w="231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sz w:val="21"/>
                <w:szCs w:val="21"/>
              </w:rPr>
            </w:pPr>
          </w:p>
        </w:tc>
        <w:tc>
          <w:tcPr>
            <w:tcW w:w="1875"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综合单价（含龙骨）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95" w:hRule="atLeast"/>
        </w:trPr>
        <w:tc>
          <w:tcPr>
            <w:tcW w:w="726"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w:t>
            </w:r>
          </w:p>
        </w:tc>
        <w:tc>
          <w:tcPr>
            <w:tcW w:w="2730" w:type="dxa"/>
            <w:tcBorders>
              <w:top w:val="single" w:color="000000" w:sz="8" w:space="0"/>
              <w:left w:val="single" w:color="000000" w:sz="8" w:space="0"/>
              <w:bottom w:val="single" w:color="000000" w:sz="8" w:space="0"/>
              <w:right w:val="single" w:color="000000" w:sz="8" w:space="0"/>
            </w:tcBorders>
            <w:vAlign w:val="center"/>
          </w:tcPr>
          <w:p>
            <w:pPr>
              <w:pStyle w:val="5"/>
              <w:keepNext w:val="0"/>
              <w:keepLines w:val="0"/>
              <w:widowControl/>
              <w:suppressLineNumbers w:val="0"/>
              <w:spacing w:before="0" w:beforeAutospacing="0" w:after="0" w:afterAutospacing="0" w:line="360" w:lineRule="auto"/>
              <w:ind w:left="0" w:right="0" w:firstLine="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333333"/>
                <w:sz w:val="21"/>
                <w:szCs w:val="21"/>
                <w:lang w:val="en-US" w:eastAsia="zh-CN"/>
              </w:rPr>
              <w:t>LED显示屏</w:t>
            </w:r>
          </w:p>
        </w:tc>
        <w:tc>
          <w:tcPr>
            <w:tcW w:w="78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m2</w:t>
            </w:r>
          </w:p>
        </w:tc>
        <w:tc>
          <w:tcPr>
            <w:tcW w:w="126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333333"/>
                <w:sz w:val="21"/>
                <w:szCs w:val="21"/>
                <w:lang w:val="en-US" w:eastAsia="zh-CN"/>
              </w:rPr>
              <w:t>19772</w:t>
            </w:r>
          </w:p>
        </w:tc>
        <w:tc>
          <w:tcPr>
            <w:tcW w:w="231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sz w:val="21"/>
                <w:szCs w:val="21"/>
              </w:rPr>
            </w:pPr>
          </w:p>
        </w:tc>
        <w:tc>
          <w:tcPr>
            <w:tcW w:w="1875" w:type="dxa"/>
            <w:tcBorders>
              <w:top w:val="single" w:color="000000" w:sz="8" w:space="0"/>
              <w:left w:val="single" w:color="000000" w:sz="8" w:space="0"/>
              <w:bottom w:val="single" w:color="000000" w:sz="8" w:space="0"/>
              <w:right w:val="single" w:color="000000" w:sz="8" w:space="0"/>
            </w:tcBorders>
            <w:vAlign w:val="center"/>
          </w:tcPr>
          <w:p>
            <w:pPr>
              <w:pStyle w:val="5"/>
              <w:keepNext w:val="0"/>
              <w:keepLines w:val="0"/>
              <w:widowControl/>
              <w:suppressLineNumbers w:val="0"/>
              <w:spacing w:before="0" w:beforeAutospacing="0" w:after="0" w:afterAutospacing="0"/>
              <w:ind w:left="0" w:right="0" w:firstLine="0"/>
            </w:pPr>
            <w:r>
              <w:rPr>
                <w:rFonts w:hint="eastAsia" w:ascii="仿宋" w:hAnsi="仿宋" w:eastAsia="仿宋" w:cs="仿宋"/>
                <w:color w:val="333333"/>
                <w:sz w:val="21"/>
                <w:szCs w:val="21"/>
                <w:lang w:val="en-US" w:eastAsia="zh-CN"/>
              </w:rPr>
              <w:t>材料价（</w:t>
            </w:r>
            <w:r>
              <w:rPr>
                <w:rFonts w:hint="eastAsia" w:ascii="仿宋" w:hAnsi="仿宋" w:eastAsia="仿宋" w:cs="仿宋"/>
                <w:color w:val="333333"/>
                <w:kern w:val="2"/>
                <w:sz w:val="21"/>
                <w:szCs w:val="21"/>
                <w:lang w:val="en-US" w:eastAsia="zh-CN" w:bidi="ar-SA"/>
              </w:rPr>
              <w:t>含屏体及配件、压铸铝箱体、供电系统，控制系统、支撑结构等配套安装辅材）</w:t>
            </w:r>
          </w:p>
          <w:p>
            <w:pPr>
              <w:snapToGrid w:val="0"/>
              <w:spacing w:before="60" w:after="60" w:line="360" w:lineRule="auto"/>
              <w:jc w:val="center"/>
              <w:rPr>
                <w:rFonts w:hint="eastAsia" w:ascii="仿宋" w:hAnsi="仿宋" w:eastAsia="仿宋" w:cs="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95" w:hRule="atLeast"/>
        </w:trPr>
        <w:tc>
          <w:tcPr>
            <w:tcW w:w="726"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6</w:t>
            </w:r>
          </w:p>
        </w:tc>
        <w:tc>
          <w:tcPr>
            <w:tcW w:w="2730" w:type="dxa"/>
            <w:tcBorders>
              <w:top w:val="single" w:color="000000" w:sz="8" w:space="0"/>
              <w:left w:val="single" w:color="000000" w:sz="8" w:space="0"/>
              <w:bottom w:val="single" w:color="000000" w:sz="8" w:space="0"/>
              <w:right w:val="single" w:color="000000" w:sz="8" w:space="0"/>
            </w:tcBorders>
            <w:vAlign w:val="center"/>
          </w:tcPr>
          <w:p>
            <w:pPr>
              <w:pStyle w:val="5"/>
              <w:keepNext w:val="0"/>
              <w:keepLines w:val="0"/>
              <w:widowControl/>
              <w:suppressLineNumbers w:val="0"/>
              <w:spacing w:before="0" w:beforeAutospacing="0" w:after="0" w:afterAutospacing="0" w:line="360" w:lineRule="auto"/>
              <w:ind w:left="0" w:right="0" w:firstLine="0"/>
              <w:jc w:val="center"/>
              <w:rPr>
                <w:rFonts w:hint="eastAsia" w:ascii="仿宋" w:hAnsi="仿宋" w:eastAsia="仿宋" w:cs="仿宋"/>
                <w:color w:val="333333"/>
                <w:sz w:val="21"/>
                <w:szCs w:val="21"/>
                <w:lang w:val="en-US" w:eastAsia="zh-CN"/>
              </w:rPr>
            </w:pPr>
            <w:r>
              <w:rPr>
                <w:rFonts w:hint="eastAsia" w:ascii="仿宋" w:hAnsi="仿宋" w:eastAsia="仿宋" w:cs="仿宋"/>
                <w:color w:val="333333"/>
                <w:sz w:val="21"/>
                <w:szCs w:val="21"/>
                <w:lang w:val="en-US" w:eastAsia="zh-CN"/>
              </w:rPr>
              <w:t>感应式水龙头</w:t>
            </w:r>
          </w:p>
        </w:tc>
        <w:tc>
          <w:tcPr>
            <w:tcW w:w="78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套</w:t>
            </w:r>
          </w:p>
        </w:tc>
        <w:tc>
          <w:tcPr>
            <w:tcW w:w="126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333333"/>
                <w:sz w:val="21"/>
                <w:szCs w:val="21"/>
                <w:lang w:val="en-US" w:eastAsia="zh-CN"/>
              </w:rPr>
            </w:pPr>
            <w:r>
              <w:rPr>
                <w:rFonts w:hint="eastAsia" w:ascii="仿宋" w:hAnsi="仿宋" w:eastAsia="仿宋" w:cs="仿宋"/>
                <w:color w:val="333333"/>
                <w:sz w:val="21"/>
                <w:szCs w:val="21"/>
                <w:lang w:val="en-US" w:eastAsia="zh-CN"/>
              </w:rPr>
              <w:t>771</w:t>
            </w:r>
          </w:p>
        </w:tc>
        <w:tc>
          <w:tcPr>
            <w:tcW w:w="231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sz w:val="21"/>
                <w:szCs w:val="21"/>
              </w:rPr>
            </w:pPr>
          </w:p>
        </w:tc>
        <w:tc>
          <w:tcPr>
            <w:tcW w:w="1875"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材料价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95" w:hRule="atLeast"/>
        </w:trPr>
        <w:tc>
          <w:tcPr>
            <w:tcW w:w="726"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7</w:t>
            </w:r>
          </w:p>
        </w:tc>
        <w:tc>
          <w:tcPr>
            <w:tcW w:w="2730" w:type="dxa"/>
            <w:tcBorders>
              <w:top w:val="single" w:color="000000" w:sz="8" w:space="0"/>
              <w:left w:val="single" w:color="000000" w:sz="8" w:space="0"/>
              <w:bottom w:val="single" w:color="000000" w:sz="8" w:space="0"/>
              <w:right w:val="single" w:color="000000" w:sz="8" w:space="0"/>
            </w:tcBorders>
            <w:vAlign w:val="center"/>
          </w:tcPr>
          <w:p>
            <w:pPr>
              <w:pStyle w:val="5"/>
              <w:keepNext w:val="0"/>
              <w:keepLines w:val="0"/>
              <w:widowControl/>
              <w:suppressLineNumbers w:val="0"/>
              <w:spacing w:before="0" w:beforeAutospacing="0" w:after="0" w:afterAutospacing="0" w:line="360" w:lineRule="auto"/>
              <w:ind w:left="0" w:right="0" w:firstLine="0"/>
              <w:jc w:val="center"/>
              <w:rPr>
                <w:rFonts w:hint="eastAsia" w:ascii="仿宋" w:hAnsi="仿宋" w:eastAsia="仿宋" w:cs="仿宋"/>
                <w:color w:val="333333"/>
                <w:sz w:val="21"/>
                <w:szCs w:val="21"/>
                <w:lang w:val="en-US" w:eastAsia="zh-CN"/>
              </w:rPr>
            </w:pPr>
            <w:r>
              <w:rPr>
                <w:rFonts w:hint="eastAsia" w:ascii="仿宋" w:hAnsi="仿宋" w:eastAsia="仿宋" w:cs="仿宋"/>
                <w:color w:val="333333"/>
                <w:sz w:val="21"/>
                <w:szCs w:val="21"/>
                <w:lang w:val="en-US" w:eastAsia="zh-CN"/>
              </w:rPr>
              <w:t>感应式小便</w:t>
            </w:r>
            <w:r>
              <w:rPr>
                <w:rFonts w:hint="eastAsia" w:ascii="仿宋" w:hAnsi="仿宋" w:eastAsia="仿宋" w:cs="仿宋"/>
                <w:color w:val="auto"/>
                <w:sz w:val="21"/>
                <w:szCs w:val="21"/>
                <w:lang w:val="en-US" w:eastAsia="zh-CN"/>
              </w:rPr>
              <w:t>器</w:t>
            </w:r>
          </w:p>
        </w:tc>
        <w:tc>
          <w:tcPr>
            <w:tcW w:w="78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套</w:t>
            </w:r>
          </w:p>
        </w:tc>
        <w:tc>
          <w:tcPr>
            <w:tcW w:w="1260" w:type="dxa"/>
            <w:tcBorders>
              <w:top w:val="single" w:color="000000" w:sz="8" w:space="0"/>
              <w:left w:val="single" w:color="000000" w:sz="8" w:space="0"/>
              <w:bottom w:val="single" w:color="000000" w:sz="8" w:space="0"/>
              <w:right w:val="single" w:color="000000" w:sz="8" w:space="0"/>
            </w:tcBorders>
            <w:vAlign w:val="center"/>
          </w:tcPr>
          <w:p>
            <w:pPr>
              <w:tabs>
                <w:tab w:val="left" w:pos="480"/>
              </w:tabs>
              <w:snapToGrid w:val="0"/>
              <w:spacing w:before="60" w:after="60" w:line="360" w:lineRule="auto"/>
              <w:ind w:firstLine="420" w:firstLineChars="200"/>
              <w:jc w:val="left"/>
              <w:rPr>
                <w:rFonts w:hint="default" w:ascii="仿宋" w:hAnsi="仿宋" w:eastAsia="仿宋" w:cs="仿宋"/>
                <w:color w:val="333333"/>
                <w:sz w:val="21"/>
                <w:szCs w:val="21"/>
                <w:lang w:val="en-US" w:eastAsia="zh-CN"/>
              </w:rPr>
            </w:pPr>
            <w:r>
              <w:rPr>
                <w:rFonts w:hint="eastAsia" w:ascii="仿宋" w:hAnsi="仿宋" w:eastAsia="仿宋" w:cs="仿宋"/>
                <w:color w:val="333333"/>
                <w:sz w:val="21"/>
                <w:szCs w:val="21"/>
                <w:lang w:val="en-US" w:eastAsia="zh-CN"/>
              </w:rPr>
              <w:t>1079</w:t>
            </w:r>
          </w:p>
        </w:tc>
        <w:tc>
          <w:tcPr>
            <w:tcW w:w="231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sz w:val="21"/>
                <w:szCs w:val="21"/>
              </w:rPr>
            </w:pPr>
          </w:p>
        </w:tc>
        <w:tc>
          <w:tcPr>
            <w:tcW w:w="1875"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含小便器、感应器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95" w:hRule="atLeast"/>
        </w:trPr>
        <w:tc>
          <w:tcPr>
            <w:tcW w:w="726"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8</w:t>
            </w:r>
          </w:p>
        </w:tc>
        <w:tc>
          <w:tcPr>
            <w:tcW w:w="2730" w:type="dxa"/>
            <w:tcBorders>
              <w:top w:val="single" w:color="000000" w:sz="8" w:space="0"/>
              <w:left w:val="single" w:color="000000" w:sz="8" w:space="0"/>
              <w:bottom w:val="single" w:color="000000" w:sz="8" w:space="0"/>
              <w:right w:val="single" w:color="000000" w:sz="8" w:space="0"/>
            </w:tcBorders>
            <w:vAlign w:val="center"/>
          </w:tcPr>
          <w:p>
            <w:pPr>
              <w:pStyle w:val="5"/>
              <w:keepNext w:val="0"/>
              <w:keepLines w:val="0"/>
              <w:widowControl/>
              <w:suppressLineNumbers w:val="0"/>
              <w:spacing w:before="0" w:beforeAutospacing="0" w:after="0" w:afterAutospacing="0" w:line="360" w:lineRule="auto"/>
              <w:ind w:left="0" w:right="0" w:firstLine="0"/>
              <w:jc w:val="center"/>
              <w:rPr>
                <w:rFonts w:hint="eastAsia" w:ascii="仿宋" w:hAnsi="仿宋" w:eastAsia="仿宋" w:cs="仿宋"/>
                <w:color w:val="333333"/>
                <w:sz w:val="21"/>
                <w:szCs w:val="21"/>
                <w:lang w:val="en-US" w:eastAsia="zh-CN"/>
              </w:rPr>
            </w:pPr>
            <w:r>
              <w:rPr>
                <w:rFonts w:hint="eastAsia" w:ascii="仿宋" w:hAnsi="仿宋" w:eastAsia="仿宋" w:cs="仿宋"/>
                <w:color w:val="333333"/>
                <w:sz w:val="21"/>
                <w:szCs w:val="21"/>
                <w:lang w:val="en-US" w:eastAsia="zh-CN"/>
              </w:rPr>
              <w:t>蹲便器</w:t>
            </w:r>
          </w:p>
        </w:tc>
        <w:tc>
          <w:tcPr>
            <w:tcW w:w="78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套</w:t>
            </w:r>
          </w:p>
        </w:tc>
        <w:tc>
          <w:tcPr>
            <w:tcW w:w="126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default" w:ascii="仿宋" w:hAnsi="仿宋" w:eastAsia="仿宋" w:cs="仿宋"/>
                <w:color w:val="333333"/>
                <w:sz w:val="21"/>
                <w:szCs w:val="21"/>
                <w:lang w:val="en-US" w:eastAsia="zh-CN"/>
              </w:rPr>
            </w:pPr>
            <w:r>
              <w:rPr>
                <w:rFonts w:hint="eastAsia" w:ascii="仿宋" w:hAnsi="仿宋" w:eastAsia="仿宋" w:cs="仿宋"/>
                <w:color w:val="333333"/>
                <w:sz w:val="21"/>
                <w:szCs w:val="21"/>
                <w:lang w:val="en-US" w:eastAsia="zh-CN"/>
              </w:rPr>
              <w:t>360</w:t>
            </w:r>
          </w:p>
        </w:tc>
        <w:tc>
          <w:tcPr>
            <w:tcW w:w="2310"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left"/>
              <w:rPr>
                <w:rFonts w:hint="eastAsia" w:ascii="仿宋" w:hAnsi="仿宋" w:eastAsia="仿宋" w:cs="仿宋"/>
                <w:color w:val="auto"/>
                <w:sz w:val="21"/>
                <w:szCs w:val="21"/>
              </w:rPr>
            </w:pPr>
          </w:p>
        </w:tc>
        <w:tc>
          <w:tcPr>
            <w:tcW w:w="1875" w:type="dxa"/>
            <w:tcBorders>
              <w:top w:val="single" w:color="000000" w:sz="8" w:space="0"/>
              <w:left w:val="single" w:color="000000" w:sz="8" w:space="0"/>
              <w:bottom w:val="single" w:color="000000" w:sz="8" w:space="0"/>
              <w:right w:val="single" w:color="000000" w:sz="8" w:space="0"/>
            </w:tcBorders>
            <w:vAlign w:val="center"/>
          </w:tcPr>
          <w:p>
            <w:pPr>
              <w:snapToGrid w:val="0"/>
              <w:spacing w:before="60" w:after="60" w:line="360" w:lineRule="auto"/>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材料价</w:t>
            </w:r>
          </w:p>
        </w:tc>
      </w:tr>
    </w:tbl>
    <w:p>
      <w:pPr>
        <w:pStyle w:val="5"/>
        <w:keepNext w:val="0"/>
        <w:keepLines w:val="0"/>
        <w:pageBreakBefore w:val="0"/>
        <w:widowControl/>
        <w:kinsoku/>
        <w:wordWrap/>
        <w:overflowPunct/>
        <w:topLinePunct w:val="0"/>
        <w:autoSpaceDE/>
        <w:autoSpaceDN/>
        <w:bidi w:val="0"/>
        <w:adjustRightInd/>
        <w:spacing w:beforeAutospacing="0" w:afterAutospacing="0" w:line="360" w:lineRule="auto"/>
        <w:ind w:firstLine="560" w:firstLineChars="200"/>
        <w:jc w:val="right"/>
        <w:rPr>
          <w:rFonts w:hint="eastAsia" w:ascii="仿宋" w:hAnsi="仿宋" w:eastAsia="仿宋" w:cs="仿宋"/>
          <w:color w:val="auto"/>
          <w:sz w:val="28"/>
          <w:szCs w:val="28"/>
        </w:rPr>
      </w:pPr>
    </w:p>
    <w:p>
      <w:pPr>
        <w:pStyle w:val="5"/>
        <w:keepNext w:val="0"/>
        <w:keepLines w:val="0"/>
        <w:pageBreakBefore w:val="0"/>
        <w:widowControl/>
        <w:kinsoku/>
        <w:wordWrap/>
        <w:overflowPunct/>
        <w:topLinePunct w:val="0"/>
        <w:autoSpaceDE/>
        <w:autoSpaceDN/>
        <w:bidi w:val="0"/>
        <w:adjustRightInd/>
        <w:spacing w:beforeAutospacing="0" w:afterAutospacing="0" w:line="360" w:lineRule="auto"/>
        <w:ind w:firstLine="560" w:firstLineChars="200"/>
        <w:jc w:val="right"/>
        <w:rPr>
          <w:rFonts w:hint="eastAsia" w:ascii="仿宋" w:hAnsi="仿宋" w:eastAsia="仿宋" w:cs="仿宋"/>
          <w:color w:val="auto"/>
          <w:sz w:val="28"/>
          <w:szCs w:val="28"/>
        </w:rPr>
      </w:pPr>
    </w:p>
    <w:p>
      <w:pPr>
        <w:pStyle w:val="5"/>
        <w:keepNext w:val="0"/>
        <w:keepLines w:val="0"/>
        <w:pageBreakBefore w:val="0"/>
        <w:widowControl/>
        <w:kinsoku/>
        <w:wordWrap/>
        <w:overflowPunct/>
        <w:topLinePunct w:val="0"/>
        <w:autoSpaceDE/>
        <w:autoSpaceDN/>
        <w:bidi w:val="0"/>
        <w:adjustRightInd/>
        <w:spacing w:beforeAutospacing="0" w:afterAutospacing="0" w:line="360" w:lineRule="auto"/>
        <w:jc w:val="center"/>
        <w:rPr>
          <w:rFonts w:ascii="仿宋" w:hAnsi="仿宋" w:eastAsia="仿宋" w:cs="仿宋"/>
          <w:color w:val="auto"/>
          <w:sz w:val="32"/>
          <w:szCs w:val="32"/>
        </w:rPr>
      </w:pPr>
    </w:p>
    <w:sectPr>
      <w:footerReference r:id="rId3" w:type="default"/>
      <w:pgSz w:w="11906" w:h="16838"/>
      <w:pgMar w:top="1440" w:right="1080" w:bottom="1440" w:left="108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AC6983"/>
    <w:multiLevelType w:val="singleLevel"/>
    <w:tmpl w:val="67AC698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hMGNjMGJlNmQ4YjVjNmMxYzU3ZTgwZTU2YzkxNDIifQ=="/>
  </w:docVars>
  <w:rsids>
    <w:rsidRoot w:val="78C44E4C"/>
    <w:rsid w:val="002251AD"/>
    <w:rsid w:val="003D5BF3"/>
    <w:rsid w:val="0041581A"/>
    <w:rsid w:val="00735B00"/>
    <w:rsid w:val="009049D8"/>
    <w:rsid w:val="009F4459"/>
    <w:rsid w:val="00B0507A"/>
    <w:rsid w:val="011473B7"/>
    <w:rsid w:val="0123584C"/>
    <w:rsid w:val="014464DA"/>
    <w:rsid w:val="01AE2C48"/>
    <w:rsid w:val="01C24098"/>
    <w:rsid w:val="01DC00DA"/>
    <w:rsid w:val="022049ED"/>
    <w:rsid w:val="027E380D"/>
    <w:rsid w:val="029C3B08"/>
    <w:rsid w:val="02A02D27"/>
    <w:rsid w:val="02C848FD"/>
    <w:rsid w:val="02D1328F"/>
    <w:rsid w:val="03393105"/>
    <w:rsid w:val="03522B78"/>
    <w:rsid w:val="045135B1"/>
    <w:rsid w:val="04CE2F6B"/>
    <w:rsid w:val="04DE3761"/>
    <w:rsid w:val="05946D18"/>
    <w:rsid w:val="05B1208A"/>
    <w:rsid w:val="05C07B0D"/>
    <w:rsid w:val="05E03D0C"/>
    <w:rsid w:val="068E3768"/>
    <w:rsid w:val="06C121B2"/>
    <w:rsid w:val="0780302B"/>
    <w:rsid w:val="087E0618"/>
    <w:rsid w:val="08816B15"/>
    <w:rsid w:val="08BD6586"/>
    <w:rsid w:val="08E753B1"/>
    <w:rsid w:val="091224C6"/>
    <w:rsid w:val="096864F1"/>
    <w:rsid w:val="097739DE"/>
    <w:rsid w:val="09B73163"/>
    <w:rsid w:val="09DC347A"/>
    <w:rsid w:val="0A0C3321"/>
    <w:rsid w:val="0A2628EF"/>
    <w:rsid w:val="0A2E773B"/>
    <w:rsid w:val="0AA8578D"/>
    <w:rsid w:val="0ACB211B"/>
    <w:rsid w:val="0AD61B81"/>
    <w:rsid w:val="0B0D4D1A"/>
    <w:rsid w:val="0B70484F"/>
    <w:rsid w:val="0B81389B"/>
    <w:rsid w:val="0BE864D4"/>
    <w:rsid w:val="0C3C4C12"/>
    <w:rsid w:val="0C554F12"/>
    <w:rsid w:val="0C685366"/>
    <w:rsid w:val="0C6C4A88"/>
    <w:rsid w:val="0CA75583"/>
    <w:rsid w:val="0D0B5B12"/>
    <w:rsid w:val="0D112C29"/>
    <w:rsid w:val="0D690E2A"/>
    <w:rsid w:val="0D9A50E8"/>
    <w:rsid w:val="0DA91770"/>
    <w:rsid w:val="0E096268"/>
    <w:rsid w:val="0E0D7668"/>
    <w:rsid w:val="0E124C7E"/>
    <w:rsid w:val="0EE803ED"/>
    <w:rsid w:val="0EF31B17"/>
    <w:rsid w:val="0EF51B51"/>
    <w:rsid w:val="0F294770"/>
    <w:rsid w:val="0F8A1B84"/>
    <w:rsid w:val="0FE0242A"/>
    <w:rsid w:val="10045682"/>
    <w:rsid w:val="10111073"/>
    <w:rsid w:val="10154101"/>
    <w:rsid w:val="101A606C"/>
    <w:rsid w:val="10B14351"/>
    <w:rsid w:val="1109680C"/>
    <w:rsid w:val="110D737A"/>
    <w:rsid w:val="11120709"/>
    <w:rsid w:val="113640E6"/>
    <w:rsid w:val="1151575F"/>
    <w:rsid w:val="11704116"/>
    <w:rsid w:val="118E1BFB"/>
    <w:rsid w:val="11C90C38"/>
    <w:rsid w:val="1232769D"/>
    <w:rsid w:val="12473C52"/>
    <w:rsid w:val="12722A28"/>
    <w:rsid w:val="128123D2"/>
    <w:rsid w:val="12D11F5D"/>
    <w:rsid w:val="12D152A6"/>
    <w:rsid w:val="12EC1F42"/>
    <w:rsid w:val="131232E2"/>
    <w:rsid w:val="13135720"/>
    <w:rsid w:val="132F1E2E"/>
    <w:rsid w:val="137D297C"/>
    <w:rsid w:val="138D078D"/>
    <w:rsid w:val="13AA7AEA"/>
    <w:rsid w:val="13F217DA"/>
    <w:rsid w:val="13F22942"/>
    <w:rsid w:val="15063063"/>
    <w:rsid w:val="151C4D37"/>
    <w:rsid w:val="153402FB"/>
    <w:rsid w:val="159976FD"/>
    <w:rsid w:val="15AA5C3C"/>
    <w:rsid w:val="160E3046"/>
    <w:rsid w:val="161E4BD3"/>
    <w:rsid w:val="1659264D"/>
    <w:rsid w:val="16B5191F"/>
    <w:rsid w:val="16EF146B"/>
    <w:rsid w:val="170A0BE8"/>
    <w:rsid w:val="173C666A"/>
    <w:rsid w:val="1748342C"/>
    <w:rsid w:val="17EE2964"/>
    <w:rsid w:val="18187335"/>
    <w:rsid w:val="1837112C"/>
    <w:rsid w:val="183D5DB4"/>
    <w:rsid w:val="18616F2E"/>
    <w:rsid w:val="18812024"/>
    <w:rsid w:val="18D14CC0"/>
    <w:rsid w:val="191F6415"/>
    <w:rsid w:val="19454954"/>
    <w:rsid w:val="19516FA3"/>
    <w:rsid w:val="19AA5C80"/>
    <w:rsid w:val="19C07DB8"/>
    <w:rsid w:val="19F14E19"/>
    <w:rsid w:val="19F81DA8"/>
    <w:rsid w:val="1A363FEA"/>
    <w:rsid w:val="1A543308"/>
    <w:rsid w:val="1A5F697C"/>
    <w:rsid w:val="1ACE017F"/>
    <w:rsid w:val="1AD3665F"/>
    <w:rsid w:val="1B190EE1"/>
    <w:rsid w:val="1B4755A2"/>
    <w:rsid w:val="1B7C55A6"/>
    <w:rsid w:val="1B8F3183"/>
    <w:rsid w:val="1BE321FF"/>
    <w:rsid w:val="1C1B3859"/>
    <w:rsid w:val="1CA67605"/>
    <w:rsid w:val="1CA814BB"/>
    <w:rsid w:val="1CE85FA5"/>
    <w:rsid w:val="1D24677C"/>
    <w:rsid w:val="1D4B5DDE"/>
    <w:rsid w:val="1D515756"/>
    <w:rsid w:val="1D816102"/>
    <w:rsid w:val="1E212096"/>
    <w:rsid w:val="1E8775BB"/>
    <w:rsid w:val="1EB458DE"/>
    <w:rsid w:val="1F30420E"/>
    <w:rsid w:val="1F4128E3"/>
    <w:rsid w:val="1F910CF7"/>
    <w:rsid w:val="1FD17A22"/>
    <w:rsid w:val="20302469"/>
    <w:rsid w:val="20531B9F"/>
    <w:rsid w:val="2084196E"/>
    <w:rsid w:val="20926BCA"/>
    <w:rsid w:val="20DD72FF"/>
    <w:rsid w:val="20E92638"/>
    <w:rsid w:val="20E97AC1"/>
    <w:rsid w:val="21045435"/>
    <w:rsid w:val="212062B8"/>
    <w:rsid w:val="21222FD3"/>
    <w:rsid w:val="21396750"/>
    <w:rsid w:val="214B2529"/>
    <w:rsid w:val="215C4736"/>
    <w:rsid w:val="21A5351C"/>
    <w:rsid w:val="21E901E5"/>
    <w:rsid w:val="21EC3153"/>
    <w:rsid w:val="22436610"/>
    <w:rsid w:val="22441767"/>
    <w:rsid w:val="224E154B"/>
    <w:rsid w:val="225A2AED"/>
    <w:rsid w:val="22DC5CBB"/>
    <w:rsid w:val="230F06DB"/>
    <w:rsid w:val="23901B0B"/>
    <w:rsid w:val="23AD469F"/>
    <w:rsid w:val="23F46EA8"/>
    <w:rsid w:val="24537052"/>
    <w:rsid w:val="24861ACA"/>
    <w:rsid w:val="25E533B9"/>
    <w:rsid w:val="25F744D9"/>
    <w:rsid w:val="25F82554"/>
    <w:rsid w:val="264D0AF2"/>
    <w:rsid w:val="26B67465"/>
    <w:rsid w:val="2711233E"/>
    <w:rsid w:val="272B2FF7"/>
    <w:rsid w:val="274A5031"/>
    <w:rsid w:val="277420AE"/>
    <w:rsid w:val="2786340F"/>
    <w:rsid w:val="28272384"/>
    <w:rsid w:val="282970F4"/>
    <w:rsid w:val="28642123"/>
    <w:rsid w:val="28C7684D"/>
    <w:rsid w:val="28D671F7"/>
    <w:rsid w:val="28DB0637"/>
    <w:rsid w:val="28F95E9C"/>
    <w:rsid w:val="299742B8"/>
    <w:rsid w:val="29EB48A9"/>
    <w:rsid w:val="2A7B517C"/>
    <w:rsid w:val="2A9211C9"/>
    <w:rsid w:val="2ACE4D86"/>
    <w:rsid w:val="2AEA62BD"/>
    <w:rsid w:val="2AFB4FC0"/>
    <w:rsid w:val="2B01748F"/>
    <w:rsid w:val="2C08463E"/>
    <w:rsid w:val="2C627A53"/>
    <w:rsid w:val="2C9568A8"/>
    <w:rsid w:val="2CBF0422"/>
    <w:rsid w:val="2D0A715E"/>
    <w:rsid w:val="2DE435CA"/>
    <w:rsid w:val="2F4A0EAD"/>
    <w:rsid w:val="2FAF6379"/>
    <w:rsid w:val="30191A45"/>
    <w:rsid w:val="307355F9"/>
    <w:rsid w:val="30973EB8"/>
    <w:rsid w:val="30AB3992"/>
    <w:rsid w:val="30C61BCC"/>
    <w:rsid w:val="30D51E0F"/>
    <w:rsid w:val="30EE1123"/>
    <w:rsid w:val="31411378"/>
    <w:rsid w:val="31523A9B"/>
    <w:rsid w:val="31767C63"/>
    <w:rsid w:val="31B76CB2"/>
    <w:rsid w:val="321B7CF6"/>
    <w:rsid w:val="339F3AED"/>
    <w:rsid w:val="33D67869"/>
    <w:rsid w:val="33DB3D3B"/>
    <w:rsid w:val="343B2241"/>
    <w:rsid w:val="347541FE"/>
    <w:rsid w:val="349A3E64"/>
    <w:rsid w:val="34AB3AAA"/>
    <w:rsid w:val="35864524"/>
    <w:rsid w:val="358D47C4"/>
    <w:rsid w:val="35C2373A"/>
    <w:rsid w:val="36195514"/>
    <w:rsid w:val="36256AD7"/>
    <w:rsid w:val="36545584"/>
    <w:rsid w:val="365748C2"/>
    <w:rsid w:val="36D24266"/>
    <w:rsid w:val="370676FA"/>
    <w:rsid w:val="37500316"/>
    <w:rsid w:val="378B147A"/>
    <w:rsid w:val="37B60DD3"/>
    <w:rsid w:val="37DC44F4"/>
    <w:rsid w:val="37E93D3D"/>
    <w:rsid w:val="381D0109"/>
    <w:rsid w:val="38912AC0"/>
    <w:rsid w:val="390A1FBC"/>
    <w:rsid w:val="3931359C"/>
    <w:rsid w:val="3935323C"/>
    <w:rsid w:val="395D37D4"/>
    <w:rsid w:val="395F1B47"/>
    <w:rsid w:val="39AD4EAA"/>
    <w:rsid w:val="39C862D4"/>
    <w:rsid w:val="39D02B2E"/>
    <w:rsid w:val="3A4329CB"/>
    <w:rsid w:val="3A4E6414"/>
    <w:rsid w:val="3ABE187E"/>
    <w:rsid w:val="3AE933E0"/>
    <w:rsid w:val="3B407B76"/>
    <w:rsid w:val="3B5E744B"/>
    <w:rsid w:val="3B6461E4"/>
    <w:rsid w:val="3B697D24"/>
    <w:rsid w:val="3BDC1408"/>
    <w:rsid w:val="3BFD1897"/>
    <w:rsid w:val="3C2D6FA3"/>
    <w:rsid w:val="3C6A7C3F"/>
    <w:rsid w:val="3C720E5A"/>
    <w:rsid w:val="3CA46F0C"/>
    <w:rsid w:val="3CD77CE5"/>
    <w:rsid w:val="3D2B75ED"/>
    <w:rsid w:val="3D7B2AA2"/>
    <w:rsid w:val="3D7B5AED"/>
    <w:rsid w:val="3D9877AA"/>
    <w:rsid w:val="3D9D0B53"/>
    <w:rsid w:val="3DCE2E33"/>
    <w:rsid w:val="3E010915"/>
    <w:rsid w:val="3E1B517B"/>
    <w:rsid w:val="3E2B1E22"/>
    <w:rsid w:val="3E416A82"/>
    <w:rsid w:val="3E475EE3"/>
    <w:rsid w:val="3E4F0870"/>
    <w:rsid w:val="3E742B12"/>
    <w:rsid w:val="3E7F291F"/>
    <w:rsid w:val="3ECB7F2A"/>
    <w:rsid w:val="3F3131D2"/>
    <w:rsid w:val="3F3C79DA"/>
    <w:rsid w:val="3F4C14EF"/>
    <w:rsid w:val="3F7D78FA"/>
    <w:rsid w:val="41005ABB"/>
    <w:rsid w:val="410B3981"/>
    <w:rsid w:val="4132311A"/>
    <w:rsid w:val="41496826"/>
    <w:rsid w:val="414F729C"/>
    <w:rsid w:val="418B7181"/>
    <w:rsid w:val="41BF2D3D"/>
    <w:rsid w:val="41EA4FD0"/>
    <w:rsid w:val="41F540C0"/>
    <w:rsid w:val="41F55EC4"/>
    <w:rsid w:val="424702B6"/>
    <w:rsid w:val="42907630"/>
    <w:rsid w:val="42B24BAD"/>
    <w:rsid w:val="42DA63F2"/>
    <w:rsid w:val="433B78D4"/>
    <w:rsid w:val="433D4416"/>
    <w:rsid w:val="43503578"/>
    <w:rsid w:val="44004F9E"/>
    <w:rsid w:val="441B5933"/>
    <w:rsid w:val="44531C67"/>
    <w:rsid w:val="448B20E6"/>
    <w:rsid w:val="44AE49FA"/>
    <w:rsid w:val="44E76803"/>
    <w:rsid w:val="44F92119"/>
    <w:rsid w:val="45446BC0"/>
    <w:rsid w:val="45930768"/>
    <w:rsid w:val="45E83F3B"/>
    <w:rsid w:val="45EA01E3"/>
    <w:rsid w:val="45FC7C2C"/>
    <w:rsid w:val="46216177"/>
    <w:rsid w:val="467B74E1"/>
    <w:rsid w:val="46CC4541"/>
    <w:rsid w:val="46E650A4"/>
    <w:rsid w:val="46FD57C4"/>
    <w:rsid w:val="472745EF"/>
    <w:rsid w:val="475C68DE"/>
    <w:rsid w:val="47737835"/>
    <w:rsid w:val="477D269F"/>
    <w:rsid w:val="47985021"/>
    <w:rsid w:val="479F0BDC"/>
    <w:rsid w:val="47A86955"/>
    <w:rsid w:val="47C00CCC"/>
    <w:rsid w:val="4808522C"/>
    <w:rsid w:val="48147269"/>
    <w:rsid w:val="487A5606"/>
    <w:rsid w:val="489A151D"/>
    <w:rsid w:val="48F366F5"/>
    <w:rsid w:val="491072CC"/>
    <w:rsid w:val="49177011"/>
    <w:rsid w:val="49212AD2"/>
    <w:rsid w:val="49375FF7"/>
    <w:rsid w:val="49491F05"/>
    <w:rsid w:val="498E0588"/>
    <w:rsid w:val="4A396129"/>
    <w:rsid w:val="4A8C102D"/>
    <w:rsid w:val="4ACC4C27"/>
    <w:rsid w:val="4AEE0735"/>
    <w:rsid w:val="4AF82EFE"/>
    <w:rsid w:val="4B111AFA"/>
    <w:rsid w:val="4B4E1E78"/>
    <w:rsid w:val="4B586099"/>
    <w:rsid w:val="4B5B4117"/>
    <w:rsid w:val="4BAD064B"/>
    <w:rsid w:val="4BD3726E"/>
    <w:rsid w:val="4BE60613"/>
    <w:rsid w:val="4BFC6699"/>
    <w:rsid w:val="4C107D48"/>
    <w:rsid w:val="4C2B56A1"/>
    <w:rsid w:val="4C523E3E"/>
    <w:rsid w:val="4C5E233E"/>
    <w:rsid w:val="4C807CB5"/>
    <w:rsid w:val="4CA46E0E"/>
    <w:rsid w:val="4CF96EBC"/>
    <w:rsid w:val="4D1B71F1"/>
    <w:rsid w:val="4D720CBA"/>
    <w:rsid w:val="4D9C05BA"/>
    <w:rsid w:val="4DCD0F9D"/>
    <w:rsid w:val="4E326839"/>
    <w:rsid w:val="4EA93B36"/>
    <w:rsid w:val="4EB470B0"/>
    <w:rsid w:val="4EF5384B"/>
    <w:rsid w:val="4F003E56"/>
    <w:rsid w:val="4F1339B6"/>
    <w:rsid w:val="4F215BA7"/>
    <w:rsid w:val="4F385E57"/>
    <w:rsid w:val="4F3A40D9"/>
    <w:rsid w:val="4F546735"/>
    <w:rsid w:val="4F5522AA"/>
    <w:rsid w:val="4F8446B1"/>
    <w:rsid w:val="4FF23DF7"/>
    <w:rsid w:val="501356D4"/>
    <w:rsid w:val="5023629C"/>
    <w:rsid w:val="50AD2009"/>
    <w:rsid w:val="50D47768"/>
    <w:rsid w:val="50EC59C5"/>
    <w:rsid w:val="510A5D9D"/>
    <w:rsid w:val="5169084C"/>
    <w:rsid w:val="517E3070"/>
    <w:rsid w:val="51BF7A34"/>
    <w:rsid w:val="522B768A"/>
    <w:rsid w:val="529E7E5B"/>
    <w:rsid w:val="52B0193D"/>
    <w:rsid w:val="52B6186F"/>
    <w:rsid w:val="533E41D5"/>
    <w:rsid w:val="534F29DC"/>
    <w:rsid w:val="53BE32DA"/>
    <w:rsid w:val="54163485"/>
    <w:rsid w:val="547A16C0"/>
    <w:rsid w:val="548312ED"/>
    <w:rsid w:val="54882B71"/>
    <w:rsid w:val="54E460D2"/>
    <w:rsid w:val="54F86E70"/>
    <w:rsid w:val="54FF414D"/>
    <w:rsid w:val="55102B67"/>
    <w:rsid w:val="551E7693"/>
    <w:rsid w:val="55286102"/>
    <w:rsid w:val="55691CBB"/>
    <w:rsid w:val="55757711"/>
    <w:rsid w:val="55A251C3"/>
    <w:rsid w:val="55D47525"/>
    <w:rsid w:val="5616651D"/>
    <w:rsid w:val="561936FA"/>
    <w:rsid w:val="56350AD7"/>
    <w:rsid w:val="5650224A"/>
    <w:rsid w:val="56DF1AA6"/>
    <w:rsid w:val="56F15745"/>
    <w:rsid w:val="57783371"/>
    <w:rsid w:val="57875362"/>
    <w:rsid w:val="5797131D"/>
    <w:rsid w:val="57AB007F"/>
    <w:rsid w:val="57C04CDF"/>
    <w:rsid w:val="58410599"/>
    <w:rsid w:val="587F0106"/>
    <w:rsid w:val="58996F62"/>
    <w:rsid w:val="58AB335D"/>
    <w:rsid w:val="591209B2"/>
    <w:rsid w:val="593559A8"/>
    <w:rsid w:val="59617042"/>
    <w:rsid w:val="59C74AA1"/>
    <w:rsid w:val="5ACD563D"/>
    <w:rsid w:val="5AF36B5C"/>
    <w:rsid w:val="5AF77287"/>
    <w:rsid w:val="5B2C7B9B"/>
    <w:rsid w:val="5B680461"/>
    <w:rsid w:val="5B6D2AC1"/>
    <w:rsid w:val="5B7C6B2A"/>
    <w:rsid w:val="5C661A7D"/>
    <w:rsid w:val="5D096819"/>
    <w:rsid w:val="5D2F5053"/>
    <w:rsid w:val="5D4C3FEA"/>
    <w:rsid w:val="5D5E16FE"/>
    <w:rsid w:val="5D9F7EA1"/>
    <w:rsid w:val="5DC12D72"/>
    <w:rsid w:val="5DEA4DF7"/>
    <w:rsid w:val="5E3D4294"/>
    <w:rsid w:val="5F303D09"/>
    <w:rsid w:val="5F611D1E"/>
    <w:rsid w:val="5FD426B7"/>
    <w:rsid w:val="60016CCB"/>
    <w:rsid w:val="60756978"/>
    <w:rsid w:val="60A642AF"/>
    <w:rsid w:val="60A725D1"/>
    <w:rsid w:val="60DC2450"/>
    <w:rsid w:val="60F90953"/>
    <w:rsid w:val="610113C2"/>
    <w:rsid w:val="61960BF6"/>
    <w:rsid w:val="61AD018D"/>
    <w:rsid w:val="61F5302A"/>
    <w:rsid w:val="62005C63"/>
    <w:rsid w:val="62234A74"/>
    <w:rsid w:val="62323F97"/>
    <w:rsid w:val="623F6A5D"/>
    <w:rsid w:val="62466CFE"/>
    <w:rsid w:val="6260512D"/>
    <w:rsid w:val="626F5FE2"/>
    <w:rsid w:val="628B0304"/>
    <w:rsid w:val="62AC3983"/>
    <w:rsid w:val="62C10E48"/>
    <w:rsid w:val="630D48B7"/>
    <w:rsid w:val="63162DE7"/>
    <w:rsid w:val="632B5DAE"/>
    <w:rsid w:val="633446BC"/>
    <w:rsid w:val="636E73D6"/>
    <w:rsid w:val="63705DD4"/>
    <w:rsid w:val="637846F9"/>
    <w:rsid w:val="63F62145"/>
    <w:rsid w:val="646D1D84"/>
    <w:rsid w:val="648C05E0"/>
    <w:rsid w:val="649B069F"/>
    <w:rsid w:val="64CB3001"/>
    <w:rsid w:val="65563222"/>
    <w:rsid w:val="655959F7"/>
    <w:rsid w:val="658265C7"/>
    <w:rsid w:val="658642F0"/>
    <w:rsid w:val="659C0AFB"/>
    <w:rsid w:val="65B53D15"/>
    <w:rsid w:val="65F20792"/>
    <w:rsid w:val="6612591D"/>
    <w:rsid w:val="664605ED"/>
    <w:rsid w:val="6683129E"/>
    <w:rsid w:val="66B56616"/>
    <w:rsid w:val="66EE2624"/>
    <w:rsid w:val="6712276E"/>
    <w:rsid w:val="67185FD7"/>
    <w:rsid w:val="6752567A"/>
    <w:rsid w:val="676E209B"/>
    <w:rsid w:val="677D276D"/>
    <w:rsid w:val="679E2A06"/>
    <w:rsid w:val="67C972D1"/>
    <w:rsid w:val="67D1400D"/>
    <w:rsid w:val="67E40916"/>
    <w:rsid w:val="67E75351"/>
    <w:rsid w:val="67F65A44"/>
    <w:rsid w:val="681F4C10"/>
    <w:rsid w:val="683145E0"/>
    <w:rsid w:val="687D7FB2"/>
    <w:rsid w:val="68ED3493"/>
    <w:rsid w:val="68F74901"/>
    <w:rsid w:val="690E4985"/>
    <w:rsid w:val="692E4967"/>
    <w:rsid w:val="69601EB7"/>
    <w:rsid w:val="697C5BAE"/>
    <w:rsid w:val="69E81C5B"/>
    <w:rsid w:val="6A7056B6"/>
    <w:rsid w:val="6AC30095"/>
    <w:rsid w:val="6AC512A9"/>
    <w:rsid w:val="6AC975E8"/>
    <w:rsid w:val="6AE63945"/>
    <w:rsid w:val="6B2A62D8"/>
    <w:rsid w:val="6B8D63E5"/>
    <w:rsid w:val="6BA50055"/>
    <w:rsid w:val="6BA53BB1"/>
    <w:rsid w:val="6BAE76CF"/>
    <w:rsid w:val="6BD14A70"/>
    <w:rsid w:val="6C984B76"/>
    <w:rsid w:val="6CCF49FE"/>
    <w:rsid w:val="6CD82AB0"/>
    <w:rsid w:val="6D237483"/>
    <w:rsid w:val="6D3E606B"/>
    <w:rsid w:val="6D567859"/>
    <w:rsid w:val="6D682B98"/>
    <w:rsid w:val="6D6F34FA"/>
    <w:rsid w:val="6DB63C27"/>
    <w:rsid w:val="6DD6256A"/>
    <w:rsid w:val="6E234016"/>
    <w:rsid w:val="6E5E0AF2"/>
    <w:rsid w:val="6E8E48C5"/>
    <w:rsid w:val="6E987B5C"/>
    <w:rsid w:val="6F0D3F47"/>
    <w:rsid w:val="6F265009"/>
    <w:rsid w:val="6F2927AF"/>
    <w:rsid w:val="6F7A6A50"/>
    <w:rsid w:val="6F7D50AB"/>
    <w:rsid w:val="6FFA7D14"/>
    <w:rsid w:val="70035BFE"/>
    <w:rsid w:val="700417EE"/>
    <w:rsid w:val="70451231"/>
    <w:rsid w:val="705661ED"/>
    <w:rsid w:val="70D6480D"/>
    <w:rsid w:val="71414E5C"/>
    <w:rsid w:val="717D7256"/>
    <w:rsid w:val="71A968C7"/>
    <w:rsid w:val="71CC34BB"/>
    <w:rsid w:val="71F413EE"/>
    <w:rsid w:val="72117322"/>
    <w:rsid w:val="721C363A"/>
    <w:rsid w:val="72277E7C"/>
    <w:rsid w:val="726E11A1"/>
    <w:rsid w:val="731A30D6"/>
    <w:rsid w:val="73397374"/>
    <w:rsid w:val="736E1587"/>
    <w:rsid w:val="73A1335B"/>
    <w:rsid w:val="747F7695"/>
    <w:rsid w:val="74F66281"/>
    <w:rsid w:val="751D3D93"/>
    <w:rsid w:val="753C37D8"/>
    <w:rsid w:val="75730F30"/>
    <w:rsid w:val="75C26FAB"/>
    <w:rsid w:val="75E10342"/>
    <w:rsid w:val="76980204"/>
    <w:rsid w:val="782562CF"/>
    <w:rsid w:val="78591FAB"/>
    <w:rsid w:val="78B643F3"/>
    <w:rsid w:val="78C44E4C"/>
    <w:rsid w:val="79027264"/>
    <w:rsid w:val="79212F2D"/>
    <w:rsid w:val="7934036D"/>
    <w:rsid w:val="7940316B"/>
    <w:rsid w:val="79412CFB"/>
    <w:rsid w:val="795C289F"/>
    <w:rsid w:val="79711576"/>
    <w:rsid w:val="79840B0F"/>
    <w:rsid w:val="7A2A00A3"/>
    <w:rsid w:val="7A8F1996"/>
    <w:rsid w:val="7A9B31D3"/>
    <w:rsid w:val="7A9B68AB"/>
    <w:rsid w:val="7AA25A60"/>
    <w:rsid w:val="7AF16E13"/>
    <w:rsid w:val="7AF54BE8"/>
    <w:rsid w:val="7B102AEB"/>
    <w:rsid w:val="7B3A0C41"/>
    <w:rsid w:val="7B5F429A"/>
    <w:rsid w:val="7B8B4B71"/>
    <w:rsid w:val="7C8E44ED"/>
    <w:rsid w:val="7CA45077"/>
    <w:rsid w:val="7CD74497"/>
    <w:rsid w:val="7CE03D57"/>
    <w:rsid w:val="7D2C0F6C"/>
    <w:rsid w:val="7D384885"/>
    <w:rsid w:val="7D4C20DE"/>
    <w:rsid w:val="7DBD2A81"/>
    <w:rsid w:val="7E605A20"/>
    <w:rsid w:val="7EA160B0"/>
    <w:rsid w:val="7EAB0D7F"/>
    <w:rsid w:val="7EBC224C"/>
    <w:rsid w:val="7ECA5482"/>
    <w:rsid w:val="7EFB3DBC"/>
    <w:rsid w:val="7F5112E0"/>
    <w:rsid w:val="7FB34386"/>
    <w:rsid w:val="7FE26D2A"/>
    <w:rsid w:val="7FEC1DA9"/>
    <w:rsid w:val="7FF1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oc 1"/>
    <w:basedOn w:val="1"/>
    <w:next w:val="1"/>
    <w:qFormat/>
    <w:uiPriority w:val="39"/>
    <w:pPr>
      <w:spacing w:before="120" w:after="120"/>
      <w:jc w:val="left"/>
    </w:pPr>
    <w:rPr>
      <w:b/>
      <w:caps/>
      <w:sz w:val="20"/>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qFormat/>
    <w:uiPriority w:val="0"/>
    <w:rPr>
      <w:b/>
      <w:bCs/>
    </w:rPr>
  </w:style>
  <w:style w:type="character" w:customStyle="1" w:styleId="10">
    <w:name w:val="font51"/>
    <w:basedOn w:val="8"/>
    <w:qFormat/>
    <w:uiPriority w:val="0"/>
    <w:rPr>
      <w:rFonts w:hint="eastAsia" w:ascii="仿宋" w:hAnsi="仿宋" w:eastAsia="仿宋" w:cs="仿宋"/>
      <w:color w:val="000000"/>
      <w:sz w:val="22"/>
      <w:szCs w:val="22"/>
      <w:u w:val="none"/>
    </w:rPr>
  </w:style>
  <w:style w:type="character" w:customStyle="1" w:styleId="11">
    <w:name w:val="font21"/>
    <w:basedOn w:val="8"/>
    <w:qFormat/>
    <w:uiPriority w:val="0"/>
    <w:rPr>
      <w:rFonts w:hint="eastAsia" w:ascii="宋体" w:hAnsi="宋体" w:eastAsia="宋体" w:cs="宋体"/>
      <w:color w:val="000000"/>
      <w:sz w:val="22"/>
      <w:szCs w:val="22"/>
      <w:u w:val="none"/>
    </w:rPr>
  </w:style>
  <w:style w:type="character" w:customStyle="1" w:styleId="12">
    <w:name w:val="font11"/>
    <w:basedOn w:val="8"/>
    <w:qFormat/>
    <w:uiPriority w:val="0"/>
    <w:rPr>
      <w:rFonts w:ascii="Arial" w:hAnsi="Arial" w:cs="Arial"/>
      <w:color w:val="000000"/>
      <w:sz w:val="22"/>
      <w:szCs w:val="22"/>
      <w:u w:val="none"/>
    </w:rPr>
  </w:style>
  <w:style w:type="character" w:customStyle="1" w:styleId="13">
    <w:name w:val="font41"/>
    <w:basedOn w:val="8"/>
    <w:qFormat/>
    <w:uiPriority w:val="0"/>
    <w:rPr>
      <w:rFonts w:hint="eastAsia" w:ascii="仿宋" w:hAnsi="仿宋" w:eastAsia="仿宋" w:cs="仿宋"/>
      <w:color w:val="000000"/>
      <w:sz w:val="22"/>
      <w:szCs w:val="22"/>
      <w:u w:val="none"/>
    </w:rPr>
  </w:style>
  <w:style w:type="character" w:customStyle="1" w:styleId="14">
    <w:name w:val="font01"/>
    <w:basedOn w:val="8"/>
    <w:qFormat/>
    <w:uiPriority w:val="0"/>
    <w:rPr>
      <w:rFonts w:ascii="Arial" w:hAnsi="Arial" w:cs="Arial"/>
      <w:color w:val="000000"/>
      <w:sz w:val="22"/>
      <w:szCs w:val="22"/>
      <w:u w:val="none"/>
    </w:rPr>
  </w:style>
  <w:style w:type="character" w:customStyle="1" w:styleId="15">
    <w:name w:val="font61"/>
    <w:basedOn w:val="8"/>
    <w:qFormat/>
    <w:uiPriority w:val="0"/>
    <w:rPr>
      <w:rFonts w:hint="eastAsia" w:ascii="仿宋" w:hAnsi="仿宋" w:eastAsia="仿宋" w:cs="仿宋"/>
      <w:color w:val="000000"/>
      <w:sz w:val="22"/>
      <w:szCs w:val="22"/>
      <w:u w:val="none"/>
    </w:rPr>
  </w:style>
  <w:style w:type="paragraph" w:customStyle="1" w:styleId="16">
    <w:name w:val="沈阳钻石山正文"/>
    <w:basedOn w:val="1"/>
    <w:qFormat/>
    <w:uiPriority w:val="0"/>
    <w:pPr>
      <w:spacing w:line="400" w:lineRule="exact"/>
      <w:ind w:firstLine="200" w:firstLineChars="200"/>
    </w:pPr>
    <w:rPr>
      <w:rFonts w:ascii="宋体" w:hAnsi="Calibri"/>
      <w:sz w:val="24"/>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946</Words>
  <Characters>1027</Characters>
  <Lines>5</Lines>
  <Paragraphs>6</Paragraphs>
  <TotalTime>18</TotalTime>
  <ScaleCrop>false</ScaleCrop>
  <LinksUpToDate>false</LinksUpToDate>
  <CharactersWithSpaces>1047</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2019-08-30T05:37:00Z</dcterms:created>
  <dc:creator>王婷</dc:creator>
  <cp:lastModifiedBy>Administrator</cp:lastModifiedBy>
  <cp:lastPrinted>2023-03-21T10:59:00Z</cp:lastPrinted>
  <dcterms:modified xsi:type="dcterms:W3CDTF">2023-03-28T05:57:07Z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286D5D47EA8D4D67A271B0094FC6A0CD</vt:lpwstr>
  </property>
</Properties>
</file>