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FD88B">
      <w:pPr>
        <w:spacing w:before="0" w:line="240" w:lineRule="auto"/>
        <w:rPr>
          <w:rFonts w:ascii="Times New Roman"/>
          <w:sz w:val="18"/>
        </w:rPr>
      </w:pPr>
    </w:p>
    <w:p w14:paraId="07BCDB7B">
      <w:pPr>
        <w:pStyle w:val="6"/>
        <w:spacing w:before="35"/>
        <w:ind w:firstLine="1800" w:firstLineChars="1000"/>
        <w:rPr>
          <w:rFonts w:hint="eastAsia" w:asciiTheme="majorEastAsia" w:hAnsiTheme="majorEastAsia" w:eastAsiaTheme="majorEastAsia" w:cstheme="majorEastAsia"/>
          <w:w w:val="105"/>
          <w:sz w:val="44"/>
          <w:szCs w:val="44"/>
        </w:rPr>
      </w:pPr>
      <w:bookmarkStart w:id="0" w:name="工程量清单总说明"/>
      <w:bookmarkEnd w:id="0"/>
      <w:r>
        <w:rPr>
          <w:position w:val="9"/>
          <w:sz w:val="18"/>
        </w:rPr>
        <w:t xml:space="preserve">   </w:t>
      </w:r>
      <w:r>
        <w:rPr>
          <w:position w:val="9"/>
          <w:sz w:val="18"/>
        </w:rPr>
        <w:tab/>
      </w:r>
      <w:r>
        <w:rPr>
          <w:rFonts w:hint="eastAsia"/>
          <w:position w:val="9"/>
          <w:sz w:val="18"/>
          <w:lang w:val="en-US" w:eastAsia="zh-CN"/>
        </w:rPr>
        <w:t xml:space="preserve">  </w:t>
      </w:r>
      <w:r>
        <w:rPr>
          <w:rFonts w:hint="eastAsia"/>
          <w:position w:val="9"/>
          <w:sz w:val="44"/>
          <w:szCs w:val="44"/>
          <w:lang w:val="en-US" w:eastAsia="zh-CN"/>
        </w:rPr>
        <w:t xml:space="preserve">  </w:t>
      </w:r>
      <w:r>
        <w:rPr>
          <w:rFonts w:hint="eastAsia" w:asciiTheme="majorEastAsia" w:hAnsiTheme="majorEastAsia" w:eastAsiaTheme="majorEastAsia" w:cstheme="majorEastAsia"/>
          <w:w w:val="105"/>
          <w:sz w:val="44"/>
          <w:szCs w:val="44"/>
        </w:rPr>
        <w:t xml:space="preserve">编制说明 </w:t>
      </w:r>
    </w:p>
    <w:p w14:paraId="5BD6B03C">
      <w:pPr>
        <w:tabs>
          <w:tab w:val="left" w:pos="3511"/>
          <w:tab w:val="left" w:pos="8587"/>
        </w:tabs>
        <w:spacing w:before="50"/>
        <w:ind w:left="282" w:right="0" w:firstLine="0"/>
        <w:jc w:val="left"/>
        <w:rPr>
          <w:sz w:val="18"/>
        </w:rPr>
      </w:pPr>
      <w:r>
        <w:rPr>
          <w:b/>
          <w:sz w:val="36"/>
        </w:rPr>
        <w:tab/>
      </w:r>
      <w:r>
        <w:rPr>
          <w:position w:val="9"/>
          <w:sz w:val="18"/>
        </w:rPr>
        <w:t xml:space="preserve"> </w:t>
      </w:r>
    </w:p>
    <w:p w14:paraId="2CD15B6D">
      <w:pPr>
        <w:spacing w:before="0" w:line="240" w:lineRule="auto"/>
        <w:rPr>
          <w:sz w:val="20"/>
        </w:rPr>
      </w:pPr>
      <w:r>
        <w:pict>
          <v:group id="_x0000_s1026" o:spid="_x0000_s1026" o:spt="203" style="position:absolute;left:0pt;margin-left:649.7pt;margin-top:122.3pt;height:770.2pt;width:559.55pt;mso-position-horizontal-relative:page;mso-position-vertical-relative:page;z-index:-251657216;mso-width-relative:page;mso-height-relative:page;" coordorigin="320,1441" coordsize="11191,15404">
            <o:lock v:ext="edit"/>
            <v:shape id="_x0000_s1027" o:spid="_x0000_s1027" o:spt="75" type="#_x0000_t75" style="position:absolute;left:319;top:1494;height:15351;width:11191;" filled="f" stroked="f" coordsize="21600,21600">
              <v:path/>
              <v:fill on="f" focussize="0,0"/>
              <v:stroke on="f"/>
              <v:imagedata r:id="rId6" o:title=""/>
              <o:lock v:ext="edit" aspectratio="t"/>
            </v:shape>
            <v:shape id="_x0000_s1028" o:spid="_x0000_s1028" style="position:absolute;left:1697;top:1441;height:1276;width:8531;" fillcolor="#FFFFFF" filled="t" stroked="f" coordorigin="1697,1441" coordsize="8531,1276" path="m10228,1441l7735,1441,4236,1441,1697,1441,1697,2717,4236,2717,7735,2717,10228,2717,10228,1441e">
              <v:path arrowok="t"/>
              <v:fill on="t" focussize="0,0"/>
              <v:stroke on="f"/>
              <v:imagedata o:title=""/>
              <o:lock v:ext="edit"/>
            </v:shape>
          </v:group>
        </w:pict>
      </w:r>
    </w:p>
    <w:p w14:paraId="5E22EDD9">
      <w:pPr>
        <w:spacing w:before="9" w:after="1" w:line="240" w:lineRule="auto"/>
        <w:rPr>
          <w:rFonts w:hint="eastAsia" w:asciiTheme="majorEastAsia" w:hAnsiTheme="majorEastAsia" w:eastAsiaTheme="majorEastAsia" w:cstheme="majorEastAsia"/>
          <w:sz w:val="18"/>
          <w:szCs w:val="18"/>
        </w:rPr>
      </w:pPr>
    </w:p>
    <w:tbl>
      <w:tblPr>
        <w:tblStyle w:val="2"/>
        <w:tblW w:w="0" w:type="auto"/>
        <w:tblInd w:w="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25"/>
        <w:gridCol w:w="224"/>
        <w:gridCol w:w="3367"/>
        <w:gridCol w:w="2511"/>
      </w:tblGrid>
      <w:tr w14:paraId="570C9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0" w:hRule="atLeast"/>
        </w:trPr>
        <w:tc>
          <w:tcPr>
            <w:tcW w:w="8527" w:type="dxa"/>
            <w:gridSpan w:val="4"/>
            <w:tcBorders>
              <w:bottom w:val="single" w:color="000000" w:sz="6" w:space="0"/>
            </w:tcBorders>
          </w:tcPr>
          <w:p w14:paraId="18DCBBA5">
            <w:pPr>
              <w:pStyle w:val="6"/>
              <w:spacing w:before="30"/>
              <w:ind w:left="0" w:leftChars="0" w:firstLine="0" w:firstLineChars="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w:t>
            </w:r>
          </w:p>
          <w:p w14:paraId="4D66AAF6">
            <w:pPr>
              <w:pStyle w:val="6"/>
              <w:spacing w:before="30"/>
              <w:ind w:left="0" w:right="-44"/>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第 1 页 共 1 页 </w:t>
            </w:r>
          </w:p>
        </w:tc>
      </w:tr>
      <w:tr w14:paraId="3EFAD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23" w:hRule="atLeast"/>
        </w:trPr>
        <w:tc>
          <w:tcPr>
            <w:tcW w:w="8527" w:type="dxa"/>
            <w:gridSpan w:val="4"/>
            <w:tcBorders>
              <w:top w:val="single" w:color="000000" w:sz="6" w:space="0"/>
              <w:left w:val="single" w:color="000000" w:sz="6" w:space="0"/>
              <w:bottom w:val="single" w:color="000000" w:sz="6" w:space="0"/>
              <w:right w:val="single" w:color="000000" w:sz="6" w:space="0"/>
            </w:tcBorders>
          </w:tcPr>
          <w:p w14:paraId="7DF8A9AD">
            <w:pPr>
              <w:pStyle w:val="5"/>
              <w:bidi w:val="0"/>
              <w:ind w:firstLine="220" w:firstLineChars="100"/>
              <w:rPr>
                <w:rFonts w:hint="eastAsia"/>
                <w:lang w:eastAsia="zh-CN"/>
              </w:rPr>
            </w:pPr>
            <w:r>
              <w:rPr>
                <w:rFonts w:hint="eastAsia"/>
                <w:lang w:val="en-US" w:eastAsia="zh-CN"/>
              </w:rPr>
              <w:t>工程</w:t>
            </w:r>
            <w:r>
              <w:rPr>
                <w:rFonts w:hint="eastAsia"/>
              </w:rPr>
              <w:t>名称：鄂尔多斯市第二中学园林景观工程三期</w:t>
            </w:r>
          </w:p>
          <w:p w14:paraId="6A169261">
            <w:pPr>
              <w:pStyle w:val="6"/>
              <w:spacing w:before="72" w:line="312" w:lineRule="auto"/>
              <w:ind w:right="2517"/>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w w:val="105"/>
                <w:sz w:val="24"/>
                <w:szCs w:val="24"/>
              </w:rPr>
              <w:t xml:space="preserve">一、工程概况 </w:t>
            </w:r>
          </w:p>
          <w:p w14:paraId="0F3964DD">
            <w:pPr>
              <w:pStyle w:val="6"/>
              <w:spacing w:line="226" w:lineRule="exact"/>
              <w:ind w:right="-72" w:firstLine="472"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2"/>
                <w:sz w:val="24"/>
                <w:szCs w:val="24"/>
              </w:rPr>
              <w:t>本工程主要包括鄂尔多斯市第二中学园林景观工程三期工程建设项目图纸范围内的全部内容。</w:t>
            </w:r>
            <w:r>
              <w:rPr>
                <w:rFonts w:hint="eastAsia" w:asciiTheme="majorEastAsia" w:hAnsiTheme="majorEastAsia" w:eastAsiaTheme="majorEastAsia" w:cstheme="majorEastAsia"/>
                <w:sz w:val="24"/>
                <w:szCs w:val="24"/>
              </w:rPr>
              <w:t xml:space="preserve"> </w:t>
            </w:r>
          </w:p>
          <w:p w14:paraId="4E11B2F0">
            <w:pPr>
              <w:pStyle w:val="6"/>
              <w:spacing w:before="7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w w:val="105"/>
                <w:sz w:val="24"/>
                <w:szCs w:val="24"/>
              </w:rPr>
              <w:t xml:space="preserve">二、编制依据： </w:t>
            </w:r>
          </w:p>
          <w:p w14:paraId="627FC6BA">
            <w:pPr>
              <w:pStyle w:val="6"/>
              <w:numPr>
                <w:ilvl w:val="0"/>
                <w:numId w:val="1"/>
              </w:numPr>
              <w:tabs>
                <w:tab w:val="left" w:pos="369"/>
              </w:tabs>
              <w:spacing w:before="72" w:after="0" w:line="309" w:lineRule="auto"/>
              <w:ind w:left="158" w:right="51" w:firstLine="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6"/>
                <w:sz w:val="24"/>
                <w:szCs w:val="24"/>
              </w:rPr>
              <w:t>本工程评审依据：</w:t>
            </w:r>
            <w:r>
              <w:rPr>
                <w:rFonts w:hint="eastAsia" w:asciiTheme="majorEastAsia" w:hAnsiTheme="majorEastAsia" w:eastAsiaTheme="majorEastAsia" w:cstheme="majorEastAsia"/>
                <w:spacing w:val="-6"/>
                <w:sz w:val="24"/>
                <w:szCs w:val="24"/>
                <w:lang w:eastAsia="zh-CN"/>
              </w:rPr>
              <w:t>本招标工程</w:t>
            </w:r>
            <w:r>
              <w:rPr>
                <w:rFonts w:hint="eastAsia" w:asciiTheme="majorEastAsia" w:hAnsiTheme="majorEastAsia" w:eastAsiaTheme="majorEastAsia" w:cstheme="majorEastAsia"/>
                <w:w w:val="105"/>
                <w:sz w:val="24"/>
                <w:szCs w:val="24"/>
              </w:rPr>
              <w:t xml:space="preserve">设计图纸。 </w:t>
            </w:r>
          </w:p>
          <w:p w14:paraId="469509C4">
            <w:pPr>
              <w:pStyle w:val="6"/>
              <w:numPr>
                <w:ilvl w:val="0"/>
                <w:numId w:val="1"/>
              </w:numPr>
              <w:tabs>
                <w:tab w:val="left" w:pos="369"/>
              </w:tabs>
              <w:spacing w:before="2" w:after="0" w:line="302" w:lineRule="auto"/>
              <w:ind w:left="158" w:right="31" w:firstLine="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清单执行《建设工程工程量清单计价规范(</w:t>
            </w:r>
            <w:r>
              <w:rPr>
                <w:rFonts w:hint="eastAsia" w:asciiTheme="majorEastAsia" w:hAnsiTheme="majorEastAsia" w:eastAsiaTheme="majorEastAsia" w:cstheme="majorEastAsia"/>
                <w:spacing w:val="4"/>
                <w:sz w:val="24"/>
                <w:szCs w:val="24"/>
              </w:rPr>
              <w:t>GB50500-2013</w:t>
            </w:r>
            <w:r>
              <w:rPr>
                <w:rFonts w:hint="eastAsia" w:asciiTheme="majorEastAsia" w:hAnsiTheme="majorEastAsia" w:eastAsiaTheme="majorEastAsia" w:cstheme="majorEastAsia"/>
                <w:spacing w:val="-6"/>
                <w:sz w:val="24"/>
                <w:szCs w:val="24"/>
              </w:rPr>
              <w:t xml:space="preserve">)》及解释和勘误。定额执行 </w:t>
            </w:r>
            <w:r>
              <w:rPr>
                <w:rFonts w:hint="eastAsia" w:asciiTheme="majorEastAsia" w:hAnsiTheme="majorEastAsia" w:eastAsiaTheme="majorEastAsia" w:cstheme="majorEastAsia"/>
                <w:sz w:val="24"/>
                <w:szCs w:val="24"/>
              </w:rPr>
              <w:t>2017《内</w:t>
            </w:r>
            <w:r>
              <w:rPr>
                <w:rFonts w:hint="eastAsia" w:asciiTheme="majorEastAsia" w:hAnsiTheme="majorEastAsia" w:eastAsiaTheme="majorEastAsia" w:cstheme="majorEastAsia"/>
                <w:spacing w:val="-3"/>
                <w:sz w:val="24"/>
                <w:szCs w:val="24"/>
              </w:rPr>
              <w:t>蒙古</w:t>
            </w:r>
            <w:r>
              <w:rPr>
                <w:rFonts w:hint="eastAsia" w:asciiTheme="majorEastAsia" w:hAnsiTheme="majorEastAsia" w:eastAsiaTheme="majorEastAsia" w:cstheme="majorEastAsia"/>
                <w:spacing w:val="-3"/>
                <w:sz w:val="24"/>
                <w:szCs w:val="24"/>
                <w:lang w:eastAsia="zh-CN"/>
              </w:rPr>
              <w:t>园林绿化</w:t>
            </w:r>
            <w:r>
              <w:rPr>
                <w:rFonts w:hint="eastAsia" w:asciiTheme="majorEastAsia" w:hAnsiTheme="majorEastAsia" w:eastAsiaTheme="majorEastAsia" w:cstheme="majorEastAsia"/>
                <w:spacing w:val="-3"/>
                <w:sz w:val="24"/>
                <w:szCs w:val="24"/>
              </w:rPr>
              <w:t>预算定额》、</w:t>
            </w:r>
            <w:r>
              <w:rPr>
                <w:rFonts w:hint="eastAsia" w:asciiTheme="majorEastAsia" w:hAnsiTheme="majorEastAsia" w:eastAsiaTheme="majorEastAsia" w:cstheme="majorEastAsia"/>
                <w:sz w:val="24"/>
                <w:szCs w:val="24"/>
              </w:rPr>
              <w:t>2017《内</w:t>
            </w:r>
            <w:r>
              <w:rPr>
                <w:rFonts w:hint="eastAsia" w:asciiTheme="majorEastAsia" w:hAnsiTheme="majorEastAsia" w:eastAsiaTheme="majorEastAsia" w:cstheme="majorEastAsia"/>
                <w:spacing w:val="-3"/>
                <w:sz w:val="24"/>
                <w:szCs w:val="24"/>
              </w:rPr>
              <w:t>蒙古</w:t>
            </w:r>
            <w:r>
              <w:rPr>
                <w:rFonts w:hint="eastAsia" w:asciiTheme="majorEastAsia" w:hAnsiTheme="majorEastAsia" w:eastAsiaTheme="majorEastAsia" w:cstheme="majorEastAsia"/>
                <w:spacing w:val="-3"/>
                <w:sz w:val="24"/>
                <w:szCs w:val="24"/>
                <w:lang w:eastAsia="zh-CN"/>
              </w:rPr>
              <w:t>建筑与装饰工程</w:t>
            </w:r>
            <w:r>
              <w:rPr>
                <w:rFonts w:hint="eastAsia" w:asciiTheme="majorEastAsia" w:hAnsiTheme="majorEastAsia" w:eastAsiaTheme="majorEastAsia" w:cstheme="majorEastAsia"/>
                <w:spacing w:val="-3"/>
                <w:sz w:val="24"/>
                <w:szCs w:val="24"/>
              </w:rPr>
              <w:t>预算定额》</w:t>
            </w:r>
            <w:r>
              <w:rPr>
                <w:rFonts w:hint="eastAsia" w:asciiTheme="majorEastAsia" w:hAnsiTheme="majorEastAsia" w:eastAsiaTheme="majorEastAsia" w:cstheme="majorEastAsia"/>
                <w:spacing w:val="-3"/>
                <w:sz w:val="24"/>
                <w:szCs w:val="24"/>
                <w:lang w:eastAsia="zh-CN"/>
              </w:rPr>
              <w:t>、</w:t>
            </w:r>
            <w:r>
              <w:rPr>
                <w:rFonts w:hint="eastAsia" w:asciiTheme="majorEastAsia" w:hAnsiTheme="majorEastAsia" w:eastAsiaTheme="majorEastAsia" w:cstheme="majorEastAsia"/>
                <w:sz w:val="24"/>
                <w:szCs w:val="24"/>
              </w:rPr>
              <w:t>2017《内</w:t>
            </w:r>
            <w:r>
              <w:rPr>
                <w:rFonts w:hint="eastAsia" w:asciiTheme="majorEastAsia" w:hAnsiTheme="majorEastAsia" w:eastAsiaTheme="majorEastAsia" w:cstheme="majorEastAsia"/>
                <w:spacing w:val="-3"/>
                <w:sz w:val="24"/>
                <w:szCs w:val="24"/>
              </w:rPr>
              <w:t>蒙古</w:t>
            </w:r>
            <w:r>
              <w:rPr>
                <w:rFonts w:hint="eastAsia" w:asciiTheme="majorEastAsia" w:hAnsiTheme="majorEastAsia" w:eastAsiaTheme="majorEastAsia" w:cstheme="majorEastAsia"/>
                <w:spacing w:val="-3"/>
                <w:sz w:val="24"/>
                <w:szCs w:val="24"/>
                <w:lang w:eastAsia="zh-CN"/>
              </w:rPr>
              <w:t>通用安装工程</w:t>
            </w:r>
            <w:r>
              <w:rPr>
                <w:rFonts w:hint="eastAsia" w:asciiTheme="majorEastAsia" w:hAnsiTheme="majorEastAsia" w:eastAsiaTheme="majorEastAsia" w:cstheme="majorEastAsia"/>
                <w:spacing w:val="-3"/>
                <w:sz w:val="24"/>
                <w:szCs w:val="24"/>
              </w:rPr>
              <w:t>预算定额》</w:t>
            </w:r>
            <w:r>
              <w:rPr>
                <w:rFonts w:hint="eastAsia" w:asciiTheme="majorEastAsia" w:hAnsiTheme="majorEastAsia" w:eastAsiaTheme="majorEastAsia" w:cstheme="majorEastAsia"/>
                <w:spacing w:val="-3"/>
                <w:sz w:val="24"/>
                <w:szCs w:val="24"/>
                <w:lang w:eastAsia="zh-CN"/>
              </w:rPr>
              <w:t>、</w:t>
            </w:r>
            <w:r>
              <w:rPr>
                <w:rFonts w:hint="eastAsia" w:asciiTheme="majorEastAsia" w:hAnsiTheme="majorEastAsia" w:eastAsiaTheme="majorEastAsia" w:cstheme="majorEastAsia"/>
                <w:sz w:val="24"/>
                <w:szCs w:val="24"/>
              </w:rPr>
              <w:t>2017《内</w:t>
            </w:r>
            <w:r>
              <w:rPr>
                <w:rFonts w:hint="eastAsia" w:asciiTheme="majorEastAsia" w:hAnsiTheme="majorEastAsia" w:eastAsiaTheme="majorEastAsia" w:cstheme="majorEastAsia"/>
                <w:spacing w:val="-3"/>
                <w:sz w:val="24"/>
                <w:szCs w:val="24"/>
              </w:rPr>
              <w:t>蒙古</w:t>
            </w:r>
            <w:r>
              <w:rPr>
                <w:rFonts w:hint="eastAsia" w:asciiTheme="majorEastAsia" w:hAnsiTheme="majorEastAsia" w:eastAsiaTheme="majorEastAsia" w:cstheme="majorEastAsia"/>
                <w:spacing w:val="-3"/>
                <w:sz w:val="24"/>
                <w:szCs w:val="24"/>
                <w:lang w:eastAsia="zh-CN"/>
              </w:rPr>
              <w:t>市政工程</w:t>
            </w:r>
            <w:r>
              <w:rPr>
                <w:rFonts w:hint="eastAsia" w:asciiTheme="majorEastAsia" w:hAnsiTheme="majorEastAsia" w:eastAsiaTheme="majorEastAsia" w:cstheme="majorEastAsia"/>
                <w:spacing w:val="-3"/>
                <w:sz w:val="24"/>
                <w:szCs w:val="24"/>
              </w:rPr>
              <w:t>预算定额》</w:t>
            </w:r>
            <w:r>
              <w:rPr>
                <w:rFonts w:hint="eastAsia" w:asciiTheme="majorEastAsia" w:hAnsiTheme="majorEastAsia" w:eastAsiaTheme="majorEastAsia" w:cstheme="majorEastAsia"/>
                <w:spacing w:val="-3"/>
                <w:sz w:val="24"/>
                <w:szCs w:val="24"/>
                <w:lang w:eastAsia="zh-CN"/>
              </w:rPr>
              <w:t>、</w:t>
            </w:r>
            <w:r>
              <w:rPr>
                <w:rFonts w:hint="eastAsia" w:asciiTheme="majorEastAsia" w:hAnsiTheme="majorEastAsia" w:eastAsiaTheme="majorEastAsia" w:cstheme="majorEastAsia"/>
                <w:spacing w:val="-3"/>
                <w:sz w:val="24"/>
                <w:szCs w:val="24"/>
              </w:rPr>
              <w:t>《内蒙古自治区建设工程费用</w:t>
            </w:r>
            <w:r>
              <w:rPr>
                <w:rFonts w:hint="eastAsia" w:asciiTheme="majorEastAsia" w:hAnsiTheme="majorEastAsia" w:eastAsiaTheme="majorEastAsia" w:cstheme="majorEastAsia"/>
                <w:spacing w:val="-3"/>
                <w:w w:val="105"/>
                <w:sz w:val="24"/>
                <w:szCs w:val="24"/>
              </w:rPr>
              <w:t>定额》及现行相关政策性文件等。</w:t>
            </w:r>
            <w:r>
              <w:rPr>
                <w:rFonts w:hint="eastAsia" w:asciiTheme="majorEastAsia" w:hAnsiTheme="majorEastAsia" w:eastAsiaTheme="majorEastAsia" w:cstheme="majorEastAsia"/>
                <w:w w:val="105"/>
                <w:sz w:val="24"/>
                <w:szCs w:val="24"/>
              </w:rPr>
              <w:t xml:space="preserve"> </w:t>
            </w:r>
            <w:bookmarkStart w:id="1" w:name="_GoBack"/>
            <w:bookmarkEnd w:id="1"/>
          </w:p>
          <w:p w14:paraId="46912365">
            <w:pPr>
              <w:pStyle w:val="6"/>
              <w:numPr>
                <w:ilvl w:val="0"/>
                <w:numId w:val="0"/>
              </w:numPr>
              <w:tabs>
                <w:tab w:val="left" w:pos="369"/>
              </w:tabs>
              <w:spacing w:before="11" w:after="0" w:line="312" w:lineRule="auto"/>
              <w:ind w:left="158" w:leftChars="0" w:right="54" w:rightChars="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6"/>
                <w:sz w:val="24"/>
                <w:szCs w:val="24"/>
                <w:lang w:val="en-US" w:eastAsia="zh-CN"/>
              </w:rPr>
              <w:t>3.</w:t>
            </w:r>
            <w:r>
              <w:rPr>
                <w:rFonts w:hint="eastAsia" w:asciiTheme="majorEastAsia" w:hAnsiTheme="majorEastAsia" w:eastAsiaTheme="majorEastAsia" w:cstheme="majorEastAsia"/>
                <w:spacing w:val="-6"/>
                <w:sz w:val="24"/>
                <w:szCs w:val="24"/>
              </w:rPr>
              <w:t xml:space="preserve">规费执行《内蒙古自治区住房和城乡建设厅文件关于调整内蒙古自治区建设工程计价依据规费 </w:t>
            </w:r>
            <w:r>
              <w:rPr>
                <w:rFonts w:hint="eastAsia" w:asciiTheme="majorEastAsia" w:hAnsiTheme="majorEastAsia" w:eastAsiaTheme="majorEastAsia" w:cstheme="majorEastAsia"/>
                <w:w w:val="105"/>
                <w:sz w:val="24"/>
                <w:szCs w:val="24"/>
              </w:rPr>
              <w:t>中养老保险费率的通知》内建标〔</w:t>
            </w:r>
            <w:r>
              <w:rPr>
                <w:rFonts w:hint="eastAsia" w:asciiTheme="majorEastAsia" w:hAnsiTheme="majorEastAsia" w:eastAsiaTheme="majorEastAsia" w:cstheme="majorEastAsia"/>
                <w:spacing w:val="7"/>
                <w:w w:val="105"/>
                <w:sz w:val="24"/>
                <w:szCs w:val="24"/>
              </w:rPr>
              <w:t>2019</w:t>
            </w:r>
            <w:r>
              <w:rPr>
                <w:rFonts w:hint="eastAsia" w:asciiTheme="majorEastAsia" w:hAnsiTheme="majorEastAsia" w:eastAsiaTheme="majorEastAsia" w:cstheme="majorEastAsia"/>
                <w:w w:val="105"/>
                <w:sz w:val="24"/>
                <w:szCs w:val="24"/>
              </w:rPr>
              <w:t>〕</w:t>
            </w:r>
            <w:r>
              <w:rPr>
                <w:rFonts w:hint="eastAsia" w:asciiTheme="majorEastAsia" w:hAnsiTheme="majorEastAsia" w:eastAsiaTheme="majorEastAsia" w:cstheme="majorEastAsia"/>
                <w:spacing w:val="4"/>
                <w:w w:val="105"/>
                <w:sz w:val="24"/>
                <w:szCs w:val="24"/>
              </w:rPr>
              <w:t>468</w:t>
            </w:r>
            <w:r>
              <w:rPr>
                <w:rFonts w:hint="eastAsia" w:asciiTheme="majorEastAsia" w:hAnsiTheme="majorEastAsia" w:eastAsiaTheme="majorEastAsia" w:cstheme="majorEastAsia"/>
                <w:spacing w:val="-10"/>
                <w:w w:val="105"/>
                <w:sz w:val="24"/>
                <w:szCs w:val="24"/>
              </w:rPr>
              <w:t xml:space="preserve">号文件，规费费率为 </w:t>
            </w:r>
            <w:r>
              <w:rPr>
                <w:rFonts w:hint="eastAsia" w:asciiTheme="majorEastAsia" w:hAnsiTheme="majorEastAsia" w:eastAsiaTheme="majorEastAsia" w:cstheme="majorEastAsia"/>
                <w:spacing w:val="7"/>
                <w:w w:val="105"/>
                <w:sz w:val="24"/>
                <w:szCs w:val="24"/>
              </w:rPr>
              <w:t>19%</w:t>
            </w:r>
            <w:r>
              <w:rPr>
                <w:rFonts w:hint="eastAsia" w:asciiTheme="majorEastAsia" w:hAnsiTheme="majorEastAsia" w:eastAsiaTheme="majorEastAsia" w:cstheme="majorEastAsia"/>
                <w:w w:val="105"/>
                <w:sz w:val="24"/>
                <w:szCs w:val="24"/>
              </w:rPr>
              <w:t xml:space="preserve">。 </w:t>
            </w:r>
          </w:p>
          <w:p w14:paraId="42D9793A">
            <w:pPr>
              <w:pStyle w:val="6"/>
              <w:numPr>
                <w:ilvl w:val="0"/>
                <w:numId w:val="2"/>
              </w:numPr>
              <w:tabs>
                <w:tab w:val="left" w:pos="369"/>
              </w:tabs>
              <w:spacing w:before="0" w:after="0" w:line="295" w:lineRule="auto"/>
              <w:ind w:left="158" w:right="16" w:firstLine="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税金执行《关于调整内蒙古自治区建设工程计价依据增值税税率的通知》内建标</w:t>
            </w:r>
            <w:r>
              <w:rPr>
                <w:rFonts w:hint="eastAsia" w:asciiTheme="majorEastAsia" w:hAnsiTheme="majorEastAsia" w:eastAsiaTheme="majorEastAsia" w:cstheme="majorEastAsia"/>
                <w:spacing w:val="6"/>
                <w:sz w:val="24"/>
                <w:szCs w:val="24"/>
              </w:rPr>
              <w:t>[2019]113</w:t>
            </w:r>
            <w:r>
              <w:rPr>
                <w:rFonts w:hint="eastAsia" w:asciiTheme="majorEastAsia" w:hAnsiTheme="majorEastAsia" w:eastAsiaTheme="majorEastAsia" w:cstheme="majorEastAsia"/>
                <w:spacing w:val="13"/>
                <w:sz w:val="24"/>
                <w:szCs w:val="24"/>
              </w:rPr>
              <w:t>号</w:t>
            </w:r>
            <w:r>
              <w:rPr>
                <w:rFonts w:hint="eastAsia" w:asciiTheme="majorEastAsia" w:hAnsiTheme="majorEastAsia" w:eastAsiaTheme="majorEastAsia" w:cstheme="majorEastAsia"/>
                <w:spacing w:val="3"/>
                <w:w w:val="105"/>
                <w:sz w:val="24"/>
                <w:szCs w:val="24"/>
              </w:rPr>
              <w:t xml:space="preserve">文件，税率为 </w:t>
            </w:r>
            <w:r>
              <w:rPr>
                <w:rFonts w:hint="eastAsia" w:asciiTheme="majorEastAsia" w:hAnsiTheme="majorEastAsia" w:eastAsiaTheme="majorEastAsia" w:cstheme="majorEastAsia"/>
                <w:spacing w:val="7"/>
                <w:w w:val="105"/>
                <w:sz w:val="24"/>
                <w:szCs w:val="24"/>
              </w:rPr>
              <w:t>9%</w:t>
            </w:r>
            <w:r>
              <w:rPr>
                <w:rFonts w:hint="eastAsia" w:asciiTheme="majorEastAsia" w:hAnsiTheme="majorEastAsia" w:eastAsiaTheme="majorEastAsia" w:cstheme="majorEastAsia"/>
                <w:w w:val="105"/>
                <w:sz w:val="24"/>
                <w:szCs w:val="24"/>
              </w:rPr>
              <w:t xml:space="preserve">。 </w:t>
            </w:r>
          </w:p>
          <w:p w14:paraId="2C2F578C">
            <w:pPr>
              <w:pStyle w:val="6"/>
              <w:numPr>
                <w:ilvl w:val="0"/>
                <w:numId w:val="2"/>
              </w:numPr>
              <w:tabs>
                <w:tab w:val="left" w:pos="369"/>
              </w:tabs>
              <w:spacing w:before="14" w:after="0" w:line="312" w:lineRule="auto"/>
              <w:ind w:left="158" w:right="16" w:firstLine="0"/>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6"/>
                <w:sz w:val="24"/>
                <w:szCs w:val="24"/>
              </w:rPr>
              <w:t>人工费依据《关于调整内蒙古自治区建设工程现行预算定额人工费的通知》内建标〔</w:t>
            </w:r>
            <w:r>
              <w:rPr>
                <w:rFonts w:hint="eastAsia" w:asciiTheme="majorEastAsia" w:hAnsiTheme="majorEastAsia" w:eastAsiaTheme="majorEastAsia" w:cstheme="majorEastAsia"/>
                <w:spacing w:val="7"/>
                <w:sz w:val="24"/>
                <w:szCs w:val="24"/>
              </w:rPr>
              <w:t>2021</w:t>
            </w:r>
            <w:r>
              <w:rPr>
                <w:rFonts w:hint="eastAsia" w:asciiTheme="majorEastAsia" w:hAnsiTheme="majorEastAsia" w:eastAsiaTheme="majorEastAsia" w:cstheme="majorEastAsia"/>
                <w:spacing w:val="-45"/>
                <w:sz w:val="24"/>
                <w:szCs w:val="24"/>
              </w:rPr>
              <w:t>〕</w:t>
            </w:r>
            <w:r>
              <w:rPr>
                <w:rFonts w:hint="eastAsia" w:asciiTheme="majorEastAsia" w:hAnsiTheme="majorEastAsia" w:eastAsiaTheme="majorEastAsia" w:cstheme="majorEastAsia"/>
                <w:spacing w:val="7"/>
                <w:sz w:val="24"/>
                <w:szCs w:val="24"/>
              </w:rPr>
              <w:t xml:space="preserve">148 </w:t>
            </w:r>
            <w:r>
              <w:rPr>
                <w:rFonts w:hint="eastAsia" w:asciiTheme="majorEastAsia" w:hAnsiTheme="majorEastAsia" w:eastAsiaTheme="majorEastAsia" w:cstheme="majorEastAsia"/>
                <w:spacing w:val="-6"/>
                <w:w w:val="105"/>
                <w:sz w:val="24"/>
                <w:szCs w:val="24"/>
              </w:rPr>
              <w:t xml:space="preserve">号文件，人工费调增 </w:t>
            </w:r>
            <w:r>
              <w:rPr>
                <w:rFonts w:hint="eastAsia" w:asciiTheme="majorEastAsia" w:hAnsiTheme="majorEastAsia" w:eastAsiaTheme="majorEastAsia" w:cstheme="majorEastAsia"/>
                <w:spacing w:val="7"/>
                <w:w w:val="105"/>
                <w:sz w:val="24"/>
                <w:szCs w:val="24"/>
              </w:rPr>
              <w:t>10</w:t>
            </w:r>
            <w:r>
              <w:rPr>
                <w:rFonts w:hint="eastAsia" w:asciiTheme="majorEastAsia" w:hAnsiTheme="majorEastAsia" w:eastAsiaTheme="majorEastAsia" w:cstheme="majorEastAsia"/>
                <w:spacing w:val="3"/>
                <w:w w:val="105"/>
                <w:sz w:val="24"/>
                <w:szCs w:val="24"/>
              </w:rPr>
              <w:t xml:space="preserve">%。 </w:t>
            </w:r>
          </w:p>
          <w:p w14:paraId="494F7C9F">
            <w:pPr>
              <w:pStyle w:val="6"/>
              <w:numPr>
                <w:ilvl w:val="0"/>
                <w:numId w:val="2"/>
              </w:numPr>
              <w:tabs>
                <w:tab w:val="left" w:pos="369"/>
              </w:tabs>
              <w:spacing w:before="0" w:after="0" w:line="309" w:lineRule="auto"/>
              <w:ind w:left="158" w:right="167" w:firstLine="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材料价格执行鄂尔多斯建设工程造价管理站颁发的《鄂尔多斯工程造价信息》</w:t>
            </w:r>
            <w:r>
              <w:rPr>
                <w:rFonts w:hint="eastAsia" w:asciiTheme="majorEastAsia" w:hAnsiTheme="majorEastAsia" w:eastAsiaTheme="majorEastAsia" w:cstheme="majorEastAsia"/>
                <w:w w:val="105"/>
                <w:sz w:val="24"/>
                <w:szCs w:val="24"/>
              </w:rPr>
              <w:t xml:space="preserve">东胜信息价没有的执行市场价格。 </w:t>
            </w:r>
          </w:p>
          <w:p w14:paraId="5467471B">
            <w:pPr>
              <w:pStyle w:val="6"/>
              <w:spacing w:line="231" w:lineRule="exact"/>
              <w:rPr>
                <w:rFonts w:hint="eastAsia" w:asciiTheme="majorEastAsia" w:hAnsiTheme="majorEastAsia" w:eastAsiaTheme="majorEastAsia" w:cstheme="majorEastAsia"/>
                <w:sz w:val="24"/>
                <w:szCs w:val="24"/>
              </w:rPr>
            </w:pPr>
          </w:p>
        </w:tc>
      </w:tr>
      <w:tr w14:paraId="36986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425" w:type="dxa"/>
            <w:tcBorders>
              <w:top w:val="single" w:color="000000" w:sz="6" w:space="0"/>
              <w:left w:val="single" w:color="FFFFFF" w:sz="48" w:space="0"/>
            </w:tcBorders>
          </w:tcPr>
          <w:p w14:paraId="557E97A4">
            <w:pPr>
              <w:pStyle w:val="6"/>
              <w:spacing w:before="30"/>
              <w:ind w:left="105"/>
              <w:rPr>
                <w:sz w:val="18"/>
              </w:rPr>
            </w:pPr>
            <w:r>
              <w:rPr>
                <w:sz w:val="18"/>
              </w:rPr>
              <w:t xml:space="preserve">   </w:t>
            </w:r>
          </w:p>
        </w:tc>
        <w:tc>
          <w:tcPr>
            <w:tcW w:w="224" w:type="dxa"/>
            <w:tcBorders>
              <w:top w:val="single" w:color="000000" w:sz="6" w:space="0"/>
            </w:tcBorders>
            <w:shd w:val="clear" w:color="auto" w:fill="FFFFFF"/>
          </w:tcPr>
          <w:p w14:paraId="3AE9675E">
            <w:pPr>
              <w:pStyle w:val="6"/>
              <w:ind w:left="0"/>
              <w:rPr>
                <w:rFonts w:ascii="Times New Roman"/>
                <w:sz w:val="18"/>
              </w:rPr>
            </w:pPr>
          </w:p>
        </w:tc>
        <w:tc>
          <w:tcPr>
            <w:tcW w:w="3367" w:type="dxa"/>
            <w:tcBorders>
              <w:top w:val="single" w:color="000000" w:sz="6" w:space="0"/>
              <w:right w:val="single" w:color="FFFFFF" w:sz="48" w:space="0"/>
            </w:tcBorders>
          </w:tcPr>
          <w:p w14:paraId="0EFD9622">
            <w:pPr>
              <w:pStyle w:val="6"/>
              <w:spacing w:before="30"/>
              <w:ind w:left="347"/>
              <w:jc w:val="center"/>
              <w:rPr>
                <w:sz w:val="18"/>
              </w:rPr>
            </w:pPr>
            <w:r>
              <w:rPr>
                <w:sz w:val="18"/>
              </w:rPr>
              <w:t xml:space="preserve">   </w:t>
            </w:r>
          </w:p>
        </w:tc>
        <w:tc>
          <w:tcPr>
            <w:tcW w:w="2511" w:type="dxa"/>
            <w:tcBorders>
              <w:top w:val="single" w:color="000000" w:sz="6" w:space="0"/>
              <w:left w:val="single" w:color="FFFFFF" w:sz="48" w:space="0"/>
            </w:tcBorders>
          </w:tcPr>
          <w:p w14:paraId="5BB987FF">
            <w:pPr>
              <w:pStyle w:val="6"/>
              <w:spacing w:before="30"/>
              <w:ind w:left="0" w:right="-44"/>
              <w:jc w:val="right"/>
              <w:rPr>
                <w:sz w:val="18"/>
              </w:rPr>
            </w:pPr>
            <w:r>
              <w:rPr>
                <w:sz w:val="18"/>
              </w:rPr>
              <w:t xml:space="preserve"> </w:t>
            </w:r>
          </w:p>
        </w:tc>
      </w:tr>
    </w:tbl>
    <w:p w14:paraId="66881218"/>
    <w:sectPr>
      <w:type w:val="continuous"/>
      <w:pgSz w:w="11910" w:h="16850"/>
      <w:pgMar w:top="1600" w:right="1560" w:bottom="280" w:left="15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4"/>
      <w:numFmt w:val="decimal"/>
      <w:lvlText w:val="%1."/>
      <w:lvlJc w:val="left"/>
      <w:pPr>
        <w:ind w:left="158" w:hanging="210"/>
        <w:jc w:val="left"/>
      </w:pPr>
      <w:rPr>
        <w:rFonts w:hint="default" w:ascii="宋体" w:hAnsi="宋体" w:eastAsia="宋体" w:cs="宋体"/>
        <w:spacing w:val="7"/>
        <w:w w:val="102"/>
        <w:sz w:val="17"/>
        <w:szCs w:val="17"/>
        <w:lang w:val="zh-CN" w:eastAsia="zh-CN" w:bidi="zh-CN"/>
      </w:rPr>
    </w:lvl>
    <w:lvl w:ilvl="1" w:tentative="0">
      <w:start w:val="0"/>
      <w:numFmt w:val="bullet"/>
      <w:lvlText w:val="•"/>
      <w:lvlJc w:val="left"/>
      <w:pPr>
        <w:ind w:left="995" w:hanging="210"/>
      </w:pPr>
      <w:rPr>
        <w:rFonts w:hint="default"/>
        <w:lang w:val="zh-CN" w:eastAsia="zh-CN" w:bidi="zh-CN"/>
      </w:rPr>
    </w:lvl>
    <w:lvl w:ilvl="2" w:tentative="0">
      <w:start w:val="0"/>
      <w:numFmt w:val="bullet"/>
      <w:lvlText w:val="•"/>
      <w:lvlJc w:val="left"/>
      <w:pPr>
        <w:ind w:left="1830" w:hanging="210"/>
      </w:pPr>
      <w:rPr>
        <w:rFonts w:hint="default"/>
        <w:lang w:val="zh-CN" w:eastAsia="zh-CN" w:bidi="zh-CN"/>
      </w:rPr>
    </w:lvl>
    <w:lvl w:ilvl="3" w:tentative="0">
      <w:start w:val="0"/>
      <w:numFmt w:val="bullet"/>
      <w:lvlText w:val="•"/>
      <w:lvlJc w:val="left"/>
      <w:pPr>
        <w:ind w:left="2665" w:hanging="210"/>
      </w:pPr>
      <w:rPr>
        <w:rFonts w:hint="default"/>
        <w:lang w:val="zh-CN" w:eastAsia="zh-CN" w:bidi="zh-CN"/>
      </w:rPr>
    </w:lvl>
    <w:lvl w:ilvl="4" w:tentative="0">
      <w:start w:val="0"/>
      <w:numFmt w:val="bullet"/>
      <w:lvlText w:val="•"/>
      <w:lvlJc w:val="left"/>
      <w:pPr>
        <w:ind w:left="3500" w:hanging="210"/>
      </w:pPr>
      <w:rPr>
        <w:rFonts w:hint="default"/>
        <w:lang w:val="zh-CN" w:eastAsia="zh-CN" w:bidi="zh-CN"/>
      </w:rPr>
    </w:lvl>
    <w:lvl w:ilvl="5" w:tentative="0">
      <w:start w:val="0"/>
      <w:numFmt w:val="bullet"/>
      <w:lvlText w:val="•"/>
      <w:lvlJc w:val="left"/>
      <w:pPr>
        <w:ind w:left="4336" w:hanging="210"/>
      </w:pPr>
      <w:rPr>
        <w:rFonts w:hint="default"/>
        <w:lang w:val="zh-CN" w:eastAsia="zh-CN" w:bidi="zh-CN"/>
      </w:rPr>
    </w:lvl>
    <w:lvl w:ilvl="6" w:tentative="0">
      <w:start w:val="0"/>
      <w:numFmt w:val="bullet"/>
      <w:lvlText w:val="•"/>
      <w:lvlJc w:val="left"/>
      <w:pPr>
        <w:ind w:left="5171" w:hanging="210"/>
      </w:pPr>
      <w:rPr>
        <w:rFonts w:hint="default"/>
        <w:lang w:val="zh-CN" w:eastAsia="zh-CN" w:bidi="zh-CN"/>
      </w:rPr>
    </w:lvl>
    <w:lvl w:ilvl="7" w:tentative="0">
      <w:start w:val="0"/>
      <w:numFmt w:val="bullet"/>
      <w:lvlText w:val="•"/>
      <w:lvlJc w:val="left"/>
      <w:pPr>
        <w:ind w:left="6006" w:hanging="210"/>
      </w:pPr>
      <w:rPr>
        <w:rFonts w:hint="default"/>
        <w:lang w:val="zh-CN" w:eastAsia="zh-CN" w:bidi="zh-CN"/>
      </w:rPr>
    </w:lvl>
    <w:lvl w:ilvl="8" w:tentative="0">
      <w:start w:val="0"/>
      <w:numFmt w:val="bullet"/>
      <w:lvlText w:val="•"/>
      <w:lvlJc w:val="left"/>
      <w:pPr>
        <w:ind w:left="6841" w:hanging="210"/>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58" w:hanging="210"/>
        <w:jc w:val="left"/>
      </w:pPr>
      <w:rPr>
        <w:rFonts w:hint="default" w:ascii="宋体" w:hAnsi="宋体" w:eastAsia="宋体" w:cs="宋体"/>
        <w:spacing w:val="7"/>
        <w:w w:val="102"/>
        <w:sz w:val="17"/>
        <w:szCs w:val="17"/>
        <w:lang w:val="zh-CN" w:eastAsia="zh-CN" w:bidi="zh-CN"/>
      </w:rPr>
    </w:lvl>
    <w:lvl w:ilvl="1" w:tentative="0">
      <w:start w:val="0"/>
      <w:numFmt w:val="bullet"/>
      <w:lvlText w:val="•"/>
      <w:lvlJc w:val="left"/>
      <w:pPr>
        <w:ind w:left="995" w:hanging="210"/>
      </w:pPr>
      <w:rPr>
        <w:rFonts w:hint="default"/>
        <w:lang w:val="zh-CN" w:eastAsia="zh-CN" w:bidi="zh-CN"/>
      </w:rPr>
    </w:lvl>
    <w:lvl w:ilvl="2" w:tentative="0">
      <w:start w:val="0"/>
      <w:numFmt w:val="bullet"/>
      <w:lvlText w:val="•"/>
      <w:lvlJc w:val="left"/>
      <w:pPr>
        <w:ind w:left="1830" w:hanging="210"/>
      </w:pPr>
      <w:rPr>
        <w:rFonts w:hint="default"/>
        <w:lang w:val="zh-CN" w:eastAsia="zh-CN" w:bidi="zh-CN"/>
      </w:rPr>
    </w:lvl>
    <w:lvl w:ilvl="3" w:tentative="0">
      <w:start w:val="0"/>
      <w:numFmt w:val="bullet"/>
      <w:lvlText w:val="•"/>
      <w:lvlJc w:val="left"/>
      <w:pPr>
        <w:ind w:left="2665" w:hanging="210"/>
      </w:pPr>
      <w:rPr>
        <w:rFonts w:hint="default"/>
        <w:lang w:val="zh-CN" w:eastAsia="zh-CN" w:bidi="zh-CN"/>
      </w:rPr>
    </w:lvl>
    <w:lvl w:ilvl="4" w:tentative="0">
      <w:start w:val="0"/>
      <w:numFmt w:val="bullet"/>
      <w:lvlText w:val="•"/>
      <w:lvlJc w:val="left"/>
      <w:pPr>
        <w:ind w:left="3500" w:hanging="210"/>
      </w:pPr>
      <w:rPr>
        <w:rFonts w:hint="default"/>
        <w:lang w:val="zh-CN" w:eastAsia="zh-CN" w:bidi="zh-CN"/>
      </w:rPr>
    </w:lvl>
    <w:lvl w:ilvl="5" w:tentative="0">
      <w:start w:val="0"/>
      <w:numFmt w:val="bullet"/>
      <w:lvlText w:val="•"/>
      <w:lvlJc w:val="left"/>
      <w:pPr>
        <w:ind w:left="4336" w:hanging="210"/>
      </w:pPr>
      <w:rPr>
        <w:rFonts w:hint="default"/>
        <w:lang w:val="zh-CN" w:eastAsia="zh-CN" w:bidi="zh-CN"/>
      </w:rPr>
    </w:lvl>
    <w:lvl w:ilvl="6" w:tentative="0">
      <w:start w:val="0"/>
      <w:numFmt w:val="bullet"/>
      <w:lvlText w:val="•"/>
      <w:lvlJc w:val="left"/>
      <w:pPr>
        <w:ind w:left="5171" w:hanging="210"/>
      </w:pPr>
      <w:rPr>
        <w:rFonts w:hint="default"/>
        <w:lang w:val="zh-CN" w:eastAsia="zh-CN" w:bidi="zh-CN"/>
      </w:rPr>
    </w:lvl>
    <w:lvl w:ilvl="7" w:tentative="0">
      <w:start w:val="0"/>
      <w:numFmt w:val="bullet"/>
      <w:lvlText w:val="•"/>
      <w:lvlJc w:val="left"/>
      <w:pPr>
        <w:ind w:left="6006" w:hanging="210"/>
      </w:pPr>
      <w:rPr>
        <w:rFonts w:hint="default"/>
        <w:lang w:val="zh-CN" w:eastAsia="zh-CN" w:bidi="zh-CN"/>
      </w:rPr>
    </w:lvl>
    <w:lvl w:ilvl="8" w:tentative="0">
      <w:start w:val="0"/>
      <w:numFmt w:val="bullet"/>
      <w:lvlText w:val="•"/>
      <w:lvlJc w:val="left"/>
      <w:pPr>
        <w:ind w:left="6841" w:hanging="210"/>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Y2Y2Y3MmM5ZTVkOWM4MDhiZjhiNTI0NjFiZTQ2OWUifQ=="/>
  </w:docVars>
  <w:rsids>
    <w:rsidRoot w:val="00000000"/>
    <w:rsid w:val="14ED4029"/>
    <w:rsid w:val="2ED4119B"/>
    <w:rsid w:val="36644416"/>
    <w:rsid w:val="50027F99"/>
    <w:rsid w:val="51343CAF"/>
    <w:rsid w:val="52C8137C"/>
    <w:rsid w:val="5454623D"/>
    <w:rsid w:val="62B45479"/>
    <w:rsid w:val="63C94F54"/>
    <w:rsid w:val="665457AD"/>
    <w:rsid w:val="67EB6C4D"/>
    <w:rsid w:val="6D0177D2"/>
    <w:rsid w:val="6E4A1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3">
    <w:name w:val="Default Paragraph Font"/>
    <w:semiHidden/>
    <w:unhideWhenUsed/>
    <w:qFormat/>
    <w:uiPriority w:val="1"/>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2"/>
    <w:tblPr>
      <w:tblCellMar>
        <w:top w:w="0" w:type="dxa"/>
        <w:left w:w="0" w:type="dxa"/>
        <w:bottom w:w="0" w:type="dxa"/>
        <w:right w:w="0" w:type="dxa"/>
      </w:tblCellMar>
    </w:tblPr>
  </w:style>
  <w:style w:type="paragraph" w:styleId="5">
    <w:name w:val="List Paragraph"/>
    <w:basedOn w:val="1"/>
    <w:qFormat/>
    <w:uiPriority w:val="1"/>
    <w:rPr>
      <w:lang w:val="zh-CN" w:eastAsia="zh-CN" w:bidi="zh-CN"/>
    </w:rPr>
  </w:style>
  <w:style w:type="paragraph" w:customStyle="1" w:styleId="6">
    <w:name w:val="Table Paragraph"/>
    <w:basedOn w:val="1"/>
    <w:qFormat/>
    <w:uiPriority w:val="1"/>
    <w:pPr>
      <w:ind w:left="158"/>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419</Words>
  <Characters>465</Characters>
  <TotalTime>0</TotalTime>
  <ScaleCrop>false</ScaleCrop>
  <LinksUpToDate>false</LinksUpToDate>
  <CharactersWithSpaces>507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2022-03-22T01:22:00Z</dcterms:created>
  <dc:creator>user</dc:creator>
  <cp:lastModifiedBy>敏敏！</cp:lastModifiedBy>
  <dcterms:modified xsi:type="dcterms:W3CDTF">2024-10-12T07:04:38Z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2022-03-07T00:00:00Z</vt:filetime>
  </property>
  <property fmtid="{D5CDD505-2E9C-101B-9397-08002B2CF9AE}" pid="3" name="LastSaved">
    <vt:filetime>2022-03-22T00:00:00Z</vt:filetime>
  </property>
  <property fmtid="{D5CDD505-2E9C-101B-9397-08002B2CF9AE}" pid="4" name="KSOProductBuildVer">
    <vt:lpwstr>2052-12.1.0.18276</vt:lpwstr>
  </property>
  <property fmtid="{D5CDD505-2E9C-101B-9397-08002B2CF9AE}" pid="5" name="ICV">
    <vt:lpwstr>83F17EDF24F8405FA32BB379E41CF499</vt:lpwstr>
  </property>
</Properties>
</file>