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Ansi="宋体"/>
          <w:b/>
          <w:color w:val="000000"/>
          <w:sz w:val="24"/>
          <w:szCs w:val="24"/>
        </w:rPr>
      </w:pPr>
      <w:r>
        <w:rPr>
          <w:rFonts w:hint="eastAsia" w:ascii="宋体" w:hAnsi="宋体"/>
          <w:b/>
          <w:bCs/>
          <w:color w:val="000000"/>
          <w:kern w:val="44"/>
          <w:sz w:val="24"/>
          <w:szCs w:val="24"/>
          <w:lang w:eastAsia="zh-CN"/>
        </w:rPr>
        <w:t>一</w:t>
      </w:r>
      <w:r>
        <w:rPr>
          <w:rFonts w:hint="eastAsia" w:ascii="宋体" w:hAnsi="宋体"/>
          <w:b/>
          <w:bCs/>
          <w:color w:val="000000"/>
          <w:kern w:val="44"/>
          <w:sz w:val="24"/>
          <w:szCs w:val="24"/>
        </w:rPr>
        <w:t>.主要技术要求</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1.技术要求：</w:t>
      </w:r>
    </w:p>
    <w:p>
      <w:pPr>
        <w:rPr>
          <w:rFonts w:hint="eastAsia" w:ascii="宋体" w:hAnsi="宋体" w:cs="宋体"/>
          <w:b/>
          <w:bCs/>
          <w:sz w:val="24"/>
          <w:szCs w:val="24"/>
        </w:rPr>
      </w:pPr>
    </w:p>
    <w:tbl>
      <w:tblPr>
        <w:tblStyle w:val="2"/>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4003"/>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29" w:type="dxa"/>
            <w:noWrap w:val="0"/>
            <w:vAlign w:val="top"/>
          </w:tcPr>
          <w:p>
            <w:pPr>
              <w:pStyle w:val="5"/>
              <w:numPr>
                <w:ilvl w:val="0"/>
                <w:numId w:val="0"/>
              </w:numPr>
              <w:spacing w:line="600" w:lineRule="auto"/>
              <w:jc w:val="center"/>
              <w:rPr>
                <w:rFonts w:hint="eastAsia" w:cs="宋体"/>
                <w:b/>
                <w:bCs/>
                <w:kern w:val="44"/>
                <w:szCs w:val="24"/>
              </w:rPr>
            </w:pPr>
            <w:r>
              <w:rPr>
                <w:rFonts w:hint="eastAsia" w:cs="宋体"/>
                <w:b/>
                <w:bCs/>
                <w:kern w:val="44"/>
                <w:szCs w:val="24"/>
              </w:rPr>
              <w:t>序号</w:t>
            </w:r>
          </w:p>
        </w:tc>
        <w:tc>
          <w:tcPr>
            <w:tcW w:w="4003" w:type="dxa"/>
            <w:noWrap w:val="0"/>
            <w:vAlign w:val="top"/>
          </w:tcPr>
          <w:p>
            <w:pPr>
              <w:pStyle w:val="5"/>
              <w:numPr>
                <w:ilvl w:val="0"/>
                <w:numId w:val="0"/>
              </w:numPr>
              <w:spacing w:line="600" w:lineRule="auto"/>
              <w:jc w:val="center"/>
              <w:rPr>
                <w:rFonts w:hint="eastAsia" w:cs="宋体"/>
                <w:b/>
                <w:bCs/>
                <w:kern w:val="44"/>
                <w:szCs w:val="24"/>
              </w:rPr>
            </w:pPr>
            <w:r>
              <w:rPr>
                <w:rFonts w:hint="eastAsia" w:cs="宋体"/>
                <w:b/>
                <w:bCs/>
                <w:kern w:val="44"/>
                <w:szCs w:val="24"/>
              </w:rPr>
              <w:t>标的名称</w:t>
            </w:r>
          </w:p>
        </w:tc>
        <w:tc>
          <w:tcPr>
            <w:tcW w:w="3992" w:type="dxa"/>
            <w:noWrap w:val="0"/>
            <w:vAlign w:val="top"/>
          </w:tcPr>
          <w:p>
            <w:pPr>
              <w:pStyle w:val="5"/>
              <w:numPr>
                <w:ilvl w:val="0"/>
                <w:numId w:val="0"/>
              </w:numPr>
              <w:spacing w:line="600" w:lineRule="auto"/>
              <w:jc w:val="center"/>
              <w:rPr>
                <w:rFonts w:hint="eastAsia" w:cs="宋体"/>
                <w:b/>
                <w:bCs/>
                <w:kern w:val="44"/>
                <w:szCs w:val="24"/>
              </w:rPr>
            </w:pPr>
            <w:r>
              <w:rPr>
                <w:rFonts w:hint="eastAsia" w:cs="宋体"/>
                <w:b/>
                <w:bCs/>
                <w:kern w:val="4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29"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1</w:t>
            </w:r>
          </w:p>
        </w:tc>
        <w:tc>
          <w:tcPr>
            <w:tcW w:w="4003"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特种设备监管数据服务</w:t>
            </w:r>
          </w:p>
        </w:tc>
        <w:tc>
          <w:tcPr>
            <w:tcW w:w="3992"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见附表1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29"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2</w:t>
            </w:r>
          </w:p>
        </w:tc>
        <w:tc>
          <w:tcPr>
            <w:tcW w:w="4003"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sz w:val="28"/>
                <w:szCs w:val="28"/>
              </w:rPr>
              <w:t>应用支撑服务</w:t>
            </w:r>
          </w:p>
        </w:tc>
        <w:tc>
          <w:tcPr>
            <w:tcW w:w="3992"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见附表2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9"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3</w:t>
            </w:r>
          </w:p>
        </w:tc>
        <w:tc>
          <w:tcPr>
            <w:tcW w:w="4003" w:type="dxa"/>
            <w:noWrap w:val="0"/>
            <w:vAlign w:val="center"/>
          </w:tcPr>
          <w:p>
            <w:pPr>
              <w:pStyle w:val="5"/>
              <w:numPr>
                <w:ilvl w:val="0"/>
                <w:numId w:val="0"/>
              </w:numPr>
              <w:spacing w:line="600" w:lineRule="auto"/>
              <w:jc w:val="center"/>
              <w:rPr>
                <w:rFonts w:hint="eastAsia" w:ascii="宋体" w:hAnsi="宋体" w:eastAsia="宋体" w:cs="宋体"/>
                <w:sz w:val="28"/>
                <w:szCs w:val="28"/>
              </w:rPr>
            </w:pPr>
            <w:r>
              <w:rPr>
                <w:rFonts w:hint="eastAsia" w:ascii="宋体" w:hAnsi="宋体" w:eastAsia="宋体" w:cs="宋体"/>
                <w:sz w:val="28"/>
                <w:szCs w:val="28"/>
              </w:rPr>
              <w:t>物联感知平台服务</w:t>
            </w:r>
          </w:p>
        </w:tc>
        <w:tc>
          <w:tcPr>
            <w:tcW w:w="3992"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见附表3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9"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4</w:t>
            </w:r>
          </w:p>
        </w:tc>
        <w:tc>
          <w:tcPr>
            <w:tcW w:w="4003" w:type="dxa"/>
            <w:noWrap w:val="0"/>
            <w:vAlign w:val="center"/>
          </w:tcPr>
          <w:p>
            <w:pPr>
              <w:pStyle w:val="5"/>
              <w:numPr>
                <w:ilvl w:val="0"/>
                <w:numId w:val="0"/>
              </w:numPr>
              <w:spacing w:line="600" w:lineRule="auto"/>
              <w:jc w:val="center"/>
              <w:rPr>
                <w:rFonts w:hint="eastAsia" w:ascii="宋体" w:hAnsi="宋体" w:eastAsia="宋体" w:cs="宋体"/>
                <w:sz w:val="28"/>
                <w:szCs w:val="28"/>
              </w:rPr>
            </w:pPr>
            <w:r>
              <w:rPr>
                <w:rFonts w:hint="eastAsia" w:ascii="宋体" w:hAnsi="宋体" w:eastAsia="宋体" w:cs="宋体"/>
                <w:sz w:val="28"/>
                <w:szCs w:val="28"/>
              </w:rPr>
              <w:t>门户应用服务</w:t>
            </w:r>
          </w:p>
        </w:tc>
        <w:tc>
          <w:tcPr>
            <w:tcW w:w="3992"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见附表4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9"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5</w:t>
            </w:r>
          </w:p>
        </w:tc>
        <w:tc>
          <w:tcPr>
            <w:tcW w:w="4003" w:type="dxa"/>
            <w:noWrap w:val="0"/>
            <w:vAlign w:val="center"/>
          </w:tcPr>
          <w:p>
            <w:pPr>
              <w:pStyle w:val="5"/>
              <w:numPr>
                <w:ilvl w:val="0"/>
                <w:numId w:val="0"/>
              </w:numPr>
              <w:spacing w:line="600" w:lineRule="auto"/>
              <w:jc w:val="center"/>
              <w:rPr>
                <w:rFonts w:hint="eastAsia" w:ascii="宋体" w:hAnsi="宋体" w:eastAsia="宋体" w:cs="宋体"/>
                <w:sz w:val="28"/>
                <w:szCs w:val="28"/>
              </w:rPr>
            </w:pPr>
            <w:r>
              <w:rPr>
                <w:rFonts w:hint="eastAsia" w:ascii="宋体" w:hAnsi="宋体" w:eastAsia="宋体" w:cs="宋体"/>
                <w:sz w:val="28"/>
                <w:szCs w:val="28"/>
              </w:rPr>
              <w:t>业务应用服务</w:t>
            </w:r>
          </w:p>
        </w:tc>
        <w:tc>
          <w:tcPr>
            <w:tcW w:w="3992"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见附表5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9"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6</w:t>
            </w:r>
          </w:p>
        </w:tc>
        <w:tc>
          <w:tcPr>
            <w:tcW w:w="4003" w:type="dxa"/>
            <w:noWrap w:val="0"/>
            <w:vAlign w:val="center"/>
          </w:tcPr>
          <w:p>
            <w:pPr>
              <w:pStyle w:val="5"/>
              <w:numPr>
                <w:ilvl w:val="0"/>
                <w:numId w:val="0"/>
              </w:numPr>
              <w:spacing w:line="600" w:lineRule="auto"/>
              <w:jc w:val="center"/>
              <w:rPr>
                <w:rFonts w:hint="eastAsia" w:ascii="宋体" w:hAnsi="宋体" w:eastAsia="宋体" w:cs="宋体"/>
                <w:sz w:val="28"/>
                <w:szCs w:val="28"/>
              </w:rPr>
            </w:pPr>
            <w:r>
              <w:rPr>
                <w:rFonts w:hint="eastAsia" w:ascii="宋体" w:hAnsi="宋体" w:eastAsia="宋体" w:cs="宋体"/>
                <w:sz w:val="28"/>
                <w:szCs w:val="28"/>
              </w:rPr>
              <w:t>系统对接服务</w:t>
            </w:r>
          </w:p>
        </w:tc>
        <w:tc>
          <w:tcPr>
            <w:tcW w:w="3992" w:type="dxa"/>
            <w:noWrap w:val="0"/>
            <w:vAlign w:val="center"/>
          </w:tcPr>
          <w:p>
            <w:pPr>
              <w:pStyle w:val="5"/>
              <w:numPr>
                <w:ilvl w:val="0"/>
                <w:numId w:val="0"/>
              </w:numPr>
              <w:spacing w:line="600" w:lineRule="auto"/>
              <w:jc w:val="center"/>
              <w:rPr>
                <w:rFonts w:hint="eastAsia" w:ascii="宋体" w:hAnsi="宋体" w:eastAsia="宋体" w:cs="宋体"/>
                <w:kern w:val="44"/>
                <w:sz w:val="28"/>
                <w:szCs w:val="28"/>
              </w:rPr>
            </w:pPr>
            <w:r>
              <w:rPr>
                <w:rFonts w:hint="eastAsia" w:ascii="宋体" w:hAnsi="宋体" w:eastAsia="宋体" w:cs="宋体"/>
                <w:kern w:val="44"/>
                <w:sz w:val="28"/>
                <w:szCs w:val="28"/>
              </w:rPr>
              <w:t>见附表6</w:t>
            </w:r>
          </w:p>
        </w:tc>
      </w:tr>
    </w:tbl>
    <w:p>
      <w:pPr>
        <w:pStyle w:val="5"/>
        <w:numPr>
          <w:ilvl w:val="0"/>
          <w:numId w:val="0"/>
        </w:numPr>
        <w:rPr>
          <w:rFonts w:hint="eastAsia" w:ascii="黑体" w:hAnsi="黑体" w:eastAsia="黑体" w:cs="宋体"/>
          <w:bCs/>
          <w:color w:val="000000"/>
          <w:kern w:val="44"/>
          <w:sz w:val="32"/>
          <w:szCs w:val="32"/>
        </w:rPr>
      </w:pPr>
      <w:r>
        <w:rPr>
          <w:rFonts w:hint="eastAsia" w:ascii="黑体" w:hAnsi="黑体" w:eastAsia="黑体" w:cs="宋体"/>
          <w:bCs/>
          <w:color w:val="000000"/>
          <w:kern w:val="44"/>
          <w:sz w:val="32"/>
          <w:szCs w:val="32"/>
        </w:rPr>
        <w:br w:type="page"/>
      </w:r>
      <w:r>
        <w:rPr>
          <w:rFonts w:hint="eastAsia" w:ascii="黑体" w:hAnsi="黑体" w:eastAsia="黑体" w:cs="宋体"/>
          <w:bCs/>
          <w:color w:val="000000"/>
          <w:kern w:val="44"/>
          <w:sz w:val="32"/>
          <w:szCs w:val="32"/>
        </w:rPr>
        <w:t>附表1：特种设备监管数据服务</w:t>
      </w:r>
    </w:p>
    <w:tbl>
      <w:tblPr>
        <w:tblStyle w:val="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896"/>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blHeader/>
          <w:jc w:val="center"/>
        </w:trPr>
        <w:tc>
          <w:tcPr>
            <w:tcW w:w="948" w:type="dxa"/>
            <w:noWrap w:val="0"/>
            <w:vAlign w:val="center"/>
          </w:tcPr>
          <w:p>
            <w:pPr>
              <w:pStyle w:val="5"/>
              <w:numPr>
                <w:ilvl w:val="0"/>
                <w:numId w:val="0"/>
              </w:numPr>
              <w:jc w:val="center"/>
              <w:rPr>
                <w:rFonts w:hint="eastAsia" w:ascii="黑体" w:hAnsi="黑体" w:eastAsia="黑体" w:cs="宋体"/>
                <w:color w:val="000000"/>
                <w:kern w:val="44"/>
                <w:szCs w:val="24"/>
              </w:rPr>
            </w:pPr>
            <w:r>
              <w:rPr>
                <w:rFonts w:hint="eastAsia" w:ascii="黑体" w:hAnsi="黑体" w:eastAsia="黑体" w:cs="宋体"/>
                <w:color w:val="000000"/>
                <w:kern w:val="44"/>
                <w:szCs w:val="24"/>
              </w:rPr>
              <w:t>序号</w:t>
            </w:r>
          </w:p>
        </w:tc>
        <w:tc>
          <w:tcPr>
            <w:tcW w:w="1896" w:type="dxa"/>
            <w:noWrap w:val="0"/>
            <w:vAlign w:val="center"/>
          </w:tcPr>
          <w:p>
            <w:pPr>
              <w:pStyle w:val="5"/>
              <w:numPr>
                <w:ilvl w:val="0"/>
                <w:numId w:val="0"/>
              </w:numPr>
              <w:jc w:val="center"/>
              <w:rPr>
                <w:rFonts w:hint="eastAsia" w:ascii="黑体" w:hAnsi="黑体" w:eastAsia="黑体" w:cs="宋体"/>
                <w:color w:val="000000"/>
                <w:kern w:val="44"/>
                <w:szCs w:val="24"/>
              </w:rPr>
            </w:pPr>
            <w:r>
              <w:rPr>
                <w:rFonts w:hint="eastAsia" w:ascii="黑体" w:hAnsi="黑体" w:eastAsia="黑体" w:cs="宋体"/>
                <w:color w:val="000000"/>
                <w:kern w:val="44"/>
                <w:szCs w:val="24"/>
              </w:rPr>
              <w:t>项目</w:t>
            </w:r>
          </w:p>
        </w:tc>
        <w:tc>
          <w:tcPr>
            <w:tcW w:w="6636" w:type="dxa"/>
            <w:noWrap w:val="0"/>
            <w:vAlign w:val="center"/>
          </w:tcPr>
          <w:p>
            <w:pPr>
              <w:pStyle w:val="5"/>
              <w:numPr>
                <w:ilvl w:val="0"/>
                <w:numId w:val="0"/>
              </w:numPr>
              <w:jc w:val="center"/>
              <w:rPr>
                <w:rFonts w:hint="eastAsia" w:ascii="黑体" w:hAnsi="黑体" w:eastAsia="黑体" w:cs="宋体"/>
                <w:color w:val="000000"/>
                <w:kern w:val="44"/>
                <w:szCs w:val="24"/>
              </w:rPr>
            </w:pPr>
            <w:r>
              <w:rPr>
                <w:rFonts w:hint="eastAsia" w:ascii="黑体" w:hAnsi="黑体" w:eastAsia="黑体" w:cs="宋体"/>
                <w:color w:val="000000"/>
                <w:kern w:val="44"/>
                <w:szCs w:val="24"/>
              </w:rPr>
              <w:t>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 w:type="dxa"/>
            <w:noWrap w:val="0"/>
            <w:vAlign w:val="center"/>
          </w:tcPr>
          <w:p>
            <w:pPr>
              <w:pStyle w:val="5"/>
              <w:numPr>
                <w:ilvl w:val="0"/>
                <w:numId w:val="0"/>
              </w:numPr>
              <w:jc w:val="center"/>
              <w:rPr>
                <w:rFonts w:ascii="Times New Roman" w:hAnsi="Times New Roman" w:eastAsia="仿宋_GB2312"/>
                <w:color w:val="000000"/>
                <w:kern w:val="44"/>
                <w:szCs w:val="24"/>
              </w:rPr>
            </w:pPr>
            <w:r>
              <w:rPr>
                <w:rFonts w:ascii="Times New Roman" w:hAnsi="Times New Roman" w:eastAsia="仿宋_GB2312"/>
                <w:color w:val="000000"/>
                <w:kern w:val="44"/>
                <w:szCs w:val="24"/>
              </w:rPr>
              <w:t>1</w:t>
            </w:r>
          </w:p>
        </w:tc>
        <w:tc>
          <w:tcPr>
            <w:tcW w:w="1896" w:type="dxa"/>
            <w:noWrap w:val="0"/>
            <w:vAlign w:val="center"/>
          </w:tcPr>
          <w:p>
            <w:pPr>
              <w:pStyle w:val="5"/>
              <w:numPr>
                <w:ilvl w:val="0"/>
                <w:numId w:val="0"/>
              </w:numPr>
              <w:jc w:val="center"/>
              <w:rPr>
                <w:rFonts w:hint="eastAsia" w:ascii="仿宋_GB2312" w:eastAsia="仿宋_GB2312" w:cs="宋体"/>
                <w:color w:val="000000"/>
                <w:kern w:val="44"/>
                <w:szCs w:val="24"/>
              </w:rPr>
            </w:pPr>
            <w:r>
              <w:rPr>
                <w:rFonts w:hint="eastAsia" w:ascii="仿宋_GB2312" w:eastAsia="仿宋_GB2312" w:cs="宋体"/>
                <w:color w:val="000000"/>
                <w:kern w:val="44"/>
                <w:szCs w:val="24"/>
              </w:rPr>
              <w:t>数据管理-数据集成</w:t>
            </w:r>
          </w:p>
        </w:tc>
        <w:tc>
          <w:tcPr>
            <w:tcW w:w="6636" w:type="dxa"/>
            <w:noWrap w:val="0"/>
            <w:vAlign w:val="center"/>
          </w:tcPr>
          <w:p>
            <w:pPr>
              <w:pStyle w:val="5"/>
              <w:numPr>
                <w:ilvl w:val="0"/>
                <w:numId w:val="0"/>
              </w:numPr>
              <w:jc w:val="left"/>
              <w:rPr>
                <w:rFonts w:hint="eastAsia" w:ascii="仿宋_GB2312" w:eastAsia="仿宋_GB2312" w:cs="宋体"/>
                <w:color w:val="000000"/>
                <w:kern w:val="44"/>
                <w:szCs w:val="24"/>
              </w:rPr>
            </w:pPr>
            <w:r>
              <w:rPr>
                <w:rFonts w:hint="eastAsia" w:ascii="仿宋_GB2312" w:eastAsia="仿宋_GB2312"/>
                <w:color w:val="000000"/>
              </w:rPr>
              <w:t>数据集成模块可提供可视化、向导式数据集成任务配置，同时支持同构/异构数据源之间批量/增量的数据迁移，可实现多源异构数据的集成，支持创建数据采集服务实现数据集成。▲实现库表集成。▲支持批量/单个存量文件导入集成，支持EXCEL、CSV、TXT等格式的文件数据迁移至数据库表。▲新建接口集成，通过对数据接口集成的各项任务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8" w:type="dxa"/>
            <w:noWrap w:val="0"/>
            <w:vAlign w:val="center"/>
          </w:tcPr>
          <w:p>
            <w:pPr>
              <w:pStyle w:val="5"/>
              <w:numPr>
                <w:ilvl w:val="0"/>
                <w:numId w:val="0"/>
              </w:numPr>
              <w:jc w:val="center"/>
              <w:rPr>
                <w:rFonts w:ascii="Times New Roman" w:hAnsi="Times New Roman" w:eastAsia="仿宋_GB2312"/>
                <w:color w:val="000000"/>
                <w:kern w:val="44"/>
                <w:szCs w:val="24"/>
              </w:rPr>
            </w:pPr>
            <w:r>
              <w:rPr>
                <w:rFonts w:ascii="Times New Roman" w:hAnsi="Times New Roman" w:eastAsia="仿宋_GB2312"/>
                <w:color w:val="000000"/>
                <w:kern w:val="44"/>
                <w:szCs w:val="24"/>
              </w:rPr>
              <w:t>2</w:t>
            </w:r>
          </w:p>
        </w:tc>
        <w:tc>
          <w:tcPr>
            <w:tcW w:w="1896" w:type="dxa"/>
            <w:noWrap w:val="0"/>
            <w:vAlign w:val="center"/>
          </w:tcPr>
          <w:p>
            <w:pPr>
              <w:pStyle w:val="5"/>
              <w:numPr>
                <w:ilvl w:val="0"/>
                <w:numId w:val="0"/>
              </w:numPr>
              <w:jc w:val="center"/>
              <w:rPr>
                <w:rFonts w:hint="eastAsia" w:ascii="仿宋_GB2312" w:eastAsia="仿宋_GB2312" w:cs="宋体"/>
                <w:color w:val="000000"/>
                <w:szCs w:val="24"/>
              </w:rPr>
            </w:pPr>
            <w:r>
              <w:rPr>
                <w:rFonts w:hint="eastAsia" w:ascii="仿宋_GB2312" w:eastAsia="仿宋_GB2312"/>
                <w:color w:val="000000"/>
              </w:rPr>
              <w:t>数据管理-数据治理</w:t>
            </w:r>
          </w:p>
        </w:tc>
        <w:tc>
          <w:tcPr>
            <w:tcW w:w="6636" w:type="dxa"/>
            <w:noWrap w:val="0"/>
            <w:vAlign w:val="center"/>
          </w:tcPr>
          <w:p>
            <w:pPr>
              <w:rPr>
                <w:rFonts w:hint="eastAsia" w:ascii="仿宋_GB2312" w:hAnsi="宋体" w:cs="宋体"/>
                <w:color w:val="000000"/>
                <w:kern w:val="44"/>
                <w:sz w:val="24"/>
                <w:szCs w:val="24"/>
              </w:rPr>
            </w:pPr>
            <w:r>
              <w:rPr>
                <w:rFonts w:hint="eastAsia" w:ascii="仿宋_GB2312" w:hAnsi="宋体" w:eastAsia="仿宋_GB2312" w:cs="Times New Roman"/>
                <w:color w:val="000000"/>
                <w:sz w:val="24"/>
                <w:szCs w:val="20"/>
              </w:rPr>
              <w:t>数据治理模块集数据的抽取、清洗、转换及加载为一体，通过标准化各个特种设备业务系统产生的数据，向特种设备数据中心提供可靠、准确的标准化数据，实现跨部门数据的整合和多级数据共享。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8" w:type="dxa"/>
            <w:noWrap w:val="0"/>
            <w:vAlign w:val="center"/>
          </w:tcPr>
          <w:p>
            <w:pPr>
              <w:pStyle w:val="5"/>
              <w:numPr>
                <w:ilvl w:val="0"/>
                <w:numId w:val="0"/>
              </w:numPr>
              <w:jc w:val="center"/>
              <w:rPr>
                <w:rFonts w:ascii="Times New Roman" w:hAnsi="Times New Roman" w:eastAsia="仿宋_GB2312"/>
                <w:color w:val="000000"/>
                <w:kern w:val="44"/>
                <w:szCs w:val="24"/>
              </w:rPr>
            </w:pPr>
            <w:r>
              <w:rPr>
                <w:rFonts w:ascii="Times New Roman" w:hAnsi="Times New Roman" w:eastAsia="仿宋_GB2312"/>
                <w:color w:val="000000"/>
                <w:kern w:val="44"/>
                <w:szCs w:val="24"/>
              </w:rPr>
              <w:t>3</w:t>
            </w:r>
          </w:p>
        </w:tc>
        <w:tc>
          <w:tcPr>
            <w:tcW w:w="1896" w:type="dxa"/>
            <w:noWrap w:val="0"/>
            <w:vAlign w:val="center"/>
          </w:tcPr>
          <w:p>
            <w:pPr>
              <w:pStyle w:val="5"/>
              <w:numPr>
                <w:ilvl w:val="0"/>
                <w:numId w:val="0"/>
              </w:numPr>
              <w:jc w:val="center"/>
              <w:rPr>
                <w:rFonts w:hint="eastAsia" w:ascii="仿宋_GB2312" w:eastAsia="仿宋_GB2312" w:cs="宋体"/>
                <w:color w:val="000000"/>
                <w:kern w:val="44"/>
                <w:szCs w:val="24"/>
              </w:rPr>
            </w:pPr>
            <w:r>
              <w:rPr>
                <w:rFonts w:hint="eastAsia" w:ascii="仿宋_GB2312" w:eastAsia="仿宋_GB2312" w:cs="宋体"/>
                <w:color w:val="000000"/>
                <w:kern w:val="44"/>
                <w:szCs w:val="24"/>
              </w:rPr>
              <w:t>数据管理-数据应用</w:t>
            </w:r>
          </w:p>
        </w:tc>
        <w:tc>
          <w:tcPr>
            <w:tcW w:w="6636" w:type="dxa"/>
            <w:noWrap w:val="0"/>
            <w:vAlign w:val="center"/>
          </w:tcPr>
          <w:p>
            <w:pPr>
              <w:pStyle w:val="5"/>
              <w:numPr>
                <w:ilvl w:val="0"/>
                <w:numId w:val="0"/>
              </w:numPr>
              <w:jc w:val="left"/>
              <w:rPr>
                <w:rFonts w:hint="eastAsia" w:ascii="仿宋_GB2312" w:eastAsia="仿宋_GB2312" w:cs="宋体"/>
                <w:color w:val="000000"/>
                <w:kern w:val="44"/>
                <w:szCs w:val="24"/>
              </w:rPr>
            </w:pPr>
            <w:r>
              <w:rPr>
                <w:rFonts w:hint="eastAsia" w:ascii="仿宋_GB2312" w:hAnsi="Calibri" w:eastAsia="仿宋_GB2312" w:cs="Arial"/>
                <w:color w:val="000000"/>
                <w:szCs w:val="28"/>
              </w:rPr>
              <w:t>数据应用模块基于经过平台汇聚、清洗、分发的标准化数据，构建特设全生命周期档案，支持设备赋码及动态管理，实现特种设备智慧化数据管理全覆盖。▲提供数据画像，从全方位、多维度地展示特设档案。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8" w:type="dxa"/>
            <w:noWrap w:val="0"/>
            <w:vAlign w:val="center"/>
          </w:tcPr>
          <w:p>
            <w:pPr>
              <w:pStyle w:val="5"/>
              <w:numPr>
                <w:ilvl w:val="0"/>
                <w:numId w:val="0"/>
              </w:numPr>
              <w:jc w:val="center"/>
              <w:rPr>
                <w:rFonts w:ascii="Times New Roman" w:hAnsi="Times New Roman" w:eastAsia="仿宋_GB2312"/>
                <w:color w:val="000000"/>
                <w:kern w:val="44"/>
                <w:szCs w:val="24"/>
              </w:rPr>
            </w:pPr>
            <w:r>
              <w:rPr>
                <w:rFonts w:ascii="Times New Roman" w:hAnsi="Times New Roman" w:eastAsia="仿宋_GB2312"/>
                <w:color w:val="000000"/>
                <w:kern w:val="44"/>
                <w:szCs w:val="24"/>
              </w:rPr>
              <w:t>4</w:t>
            </w:r>
          </w:p>
        </w:tc>
        <w:tc>
          <w:tcPr>
            <w:tcW w:w="1896" w:type="dxa"/>
            <w:noWrap w:val="0"/>
            <w:vAlign w:val="center"/>
          </w:tcPr>
          <w:p>
            <w:pPr>
              <w:pStyle w:val="5"/>
              <w:numPr>
                <w:ilvl w:val="0"/>
                <w:numId w:val="0"/>
              </w:numPr>
              <w:jc w:val="center"/>
              <w:rPr>
                <w:rFonts w:hint="eastAsia" w:ascii="仿宋_GB2312" w:eastAsia="仿宋_GB2312" w:cs="宋体"/>
                <w:color w:val="000000"/>
                <w:kern w:val="44"/>
                <w:szCs w:val="24"/>
              </w:rPr>
            </w:pPr>
            <w:r>
              <w:rPr>
                <w:rFonts w:hint="eastAsia" w:ascii="仿宋_GB2312" w:eastAsia="仿宋_GB2312" w:cs="宋体"/>
                <w:color w:val="000000"/>
                <w:kern w:val="44"/>
                <w:szCs w:val="24"/>
              </w:rPr>
              <w:t>数据管理-数据服务</w:t>
            </w:r>
          </w:p>
        </w:tc>
        <w:tc>
          <w:tcPr>
            <w:tcW w:w="6636" w:type="dxa"/>
            <w:noWrap w:val="0"/>
            <w:vAlign w:val="center"/>
          </w:tcPr>
          <w:p>
            <w:pPr>
              <w:pStyle w:val="5"/>
              <w:numPr>
                <w:ilvl w:val="0"/>
                <w:numId w:val="0"/>
              </w:numPr>
              <w:jc w:val="left"/>
              <w:rPr>
                <w:rFonts w:hint="eastAsia" w:ascii="仿宋_GB2312" w:eastAsia="仿宋_GB2312" w:cs="宋体"/>
                <w:color w:val="000000"/>
                <w:kern w:val="44"/>
                <w:szCs w:val="24"/>
              </w:rPr>
            </w:pPr>
            <w:r>
              <w:rPr>
                <w:rFonts w:hint="eastAsia" w:ascii="仿宋_GB2312" w:eastAsia="仿宋_GB2312"/>
                <w:color w:val="000000"/>
              </w:rPr>
              <w:t>数据服务架设统一的数据共享交换通道，按照实际监管需要，对职能范围内的市场监管数据应收尽收，实现数据的分发应用，支撑市场监管数据与外部数据共享交换需要。▲支持监控统计。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8" w:type="dxa"/>
            <w:noWrap w:val="0"/>
            <w:vAlign w:val="center"/>
          </w:tcPr>
          <w:p>
            <w:pPr>
              <w:pStyle w:val="5"/>
              <w:numPr>
                <w:ilvl w:val="0"/>
                <w:numId w:val="0"/>
              </w:numPr>
              <w:jc w:val="center"/>
              <w:rPr>
                <w:rFonts w:ascii="Times New Roman" w:hAnsi="Times New Roman" w:eastAsia="仿宋_GB2312"/>
                <w:color w:val="000000"/>
                <w:kern w:val="44"/>
                <w:szCs w:val="24"/>
              </w:rPr>
            </w:pPr>
            <w:r>
              <w:rPr>
                <w:rFonts w:ascii="Times New Roman" w:hAnsi="Times New Roman" w:eastAsia="仿宋_GB2312"/>
                <w:color w:val="000000"/>
                <w:kern w:val="44"/>
                <w:szCs w:val="24"/>
              </w:rPr>
              <w:t>5</w:t>
            </w:r>
          </w:p>
        </w:tc>
        <w:tc>
          <w:tcPr>
            <w:tcW w:w="1896" w:type="dxa"/>
            <w:noWrap w:val="0"/>
            <w:vAlign w:val="center"/>
          </w:tcPr>
          <w:p>
            <w:pPr>
              <w:pStyle w:val="5"/>
              <w:numPr>
                <w:ilvl w:val="0"/>
                <w:numId w:val="0"/>
              </w:numPr>
              <w:jc w:val="center"/>
              <w:rPr>
                <w:rFonts w:hint="eastAsia" w:ascii="仿宋_GB2312" w:eastAsia="仿宋_GB2312"/>
                <w:color w:val="000000"/>
                <w:szCs w:val="20"/>
              </w:rPr>
            </w:pPr>
            <w:r>
              <w:rPr>
                <w:rFonts w:hint="eastAsia" w:ascii="仿宋_GB2312" w:eastAsia="仿宋_GB2312"/>
                <w:color w:val="000000"/>
                <w:szCs w:val="20"/>
              </w:rPr>
              <w:t>数据资源库</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对特种设备资源库进行全生命周期的管理。▲支持对数据资源进行构建、维护、发布、统计，实现资源库数据多维度可视化指标展示。▲资源库统计模块可根据资源库数据构建统计分析仪表板，实现资源库数据多维度可视化指标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8" w:type="dxa"/>
            <w:noWrap w:val="0"/>
            <w:vAlign w:val="center"/>
          </w:tcPr>
          <w:p>
            <w:pPr>
              <w:jc w:val="center"/>
              <w:rPr>
                <w:rFonts w:hint="eastAsia" w:ascii="仿宋_GB2312" w:hAnsi="宋体" w:cs="宋体"/>
                <w:color w:val="000000"/>
                <w:kern w:val="44"/>
                <w:sz w:val="24"/>
                <w:szCs w:val="24"/>
              </w:rPr>
            </w:pPr>
            <w:r>
              <w:rPr>
                <w:rFonts w:hint="eastAsia" w:ascii="仿宋_GB2312" w:hAnsi="宋体" w:cs="宋体"/>
                <w:color w:val="000000"/>
                <w:kern w:val="44"/>
                <w:sz w:val="24"/>
                <w:szCs w:val="24"/>
              </w:rPr>
              <w:t>说明</w:t>
            </w:r>
          </w:p>
        </w:tc>
        <w:tc>
          <w:tcPr>
            <w:tcW w:w="8532" w:type="dxa"/>
            <w:gridSpan w:val="2"/>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lang w:val="de-DE"/>
              </w:rPr>
              <w:t>打“</w:t>
            </w:r>
            <w:r>
              <w:rPr>
                <w:rFonts w:hint="eastAsia" w:ascii="仿宋_GB2312" w:hAnsi="宋体" w:eastAsia="仿宋_GB2312" w:cs="Times New Roman"/>
                <w:color w:val="000000"/>
                <w:sz w:val="24"/>
                <w:szCs w:val="20"/>
              </w:rPr>
              <w:t>▲</w:t>
            </w:r>
            <w:r>
              <w:rPr>
                <w:rFonts w:hint="eastAsia" w:ascii="仿宋_GB2312" w:hAnsi="宋体" w:eastAsia="仿宋_GB2312" w:cs="Times New Roman"/>
                <w:color w:val="000000"/>
                <w:sz w:val="24"/>
                <w:szCs w:val="20"/>
                <w:lang w:val="de-DE"/>
              </w:rPr>
              <w:t>”号条款为实质性条款，若有任何一条负偏离或不满足则导致投标无效。</w:t>
            </w:r>
          </w:p>
        </w:tc>
      </w:tr>
    </w:tbl>
    <w:p>
      <w:pPr>
        <w:spacing w:line="600" w:lineRule="auto"/>
        <w:rPr>
          <w:rFonts w:ascii="黑体" w:hAnsi="黑体" w:eastAsia="黑体"/>
          <w:bCs/>
          <w:color w:val="000000"/>
          <w:kern w:val="44"/>
        </w:rPr>
      </w:pPr>
      <w:r>
        <w:rPr>
          <w:rFonts w:hint="eastAsia" w:ascii="黑体" w:hAnsi="黑体" w:eastAsia="黑体"/>
          <w:bCs/>
          <w:color w:val="000000"/>
          <w:kern w:val="44"/>
        </w:rPr>
        <w:t>附表2：应用支撑服务</w:t>
      </w:r>
    </w:p>
    <w:tbl>
      <w:tblPr>
        <w:tblStyle w:val="2"/>
        <w:tblW w:w="9480"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896"/>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blHeader/>
        </w:trPr>
        <w:tc>
          <w:tcPr>
            <w:tcW w:w="948"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序号</w:t>
            </w:r>
          </w:p>
        </w:tc>
        <w:tc>
          <w:tcPr>
            <w:tcW w:w="1896"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项目</w:t>
            </w:r>
          </w:p>
        </w:tc>
        <w:tc>
          <w:tcPr>
            <w:tcW w:w="6636"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8" w:type="dxa"/>
            <w:noWrap w:val="0"/>
            <w:vAlign w:val="center"/>
          </w:tcPr>
          <w:p>
            <w:pPr>
              <w:jc w:val="center"/>
              <w:rPr>
                <w:color w:val="000000"/>
                <w:kern w:val="44"/>
                <w:sz w:val="24"/>
                <w:szCs w:val="24"/>
              </w:rPr>
            </w:pPr>
            <w:r>
              <w:rPr>
                <w:color w:val="000000"/>
                <w:kern w:val="44"/>
                <w:sz w:val="24"/>
                <w:szCs w:val="24"/>
              </w:rPr>
              <w:t>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基础支撑组件-用户管理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用户管理组件支持组织机构和用户进行统一管理，将组织机构和用户信息通过接口供业务应用系统调用，实现对组织机构和用户信息的分级管理和同步更新，提高组织机构和用户数据的管理、展现、前台调用的灵活性、便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基础支撑组件-授权管理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授权管理组件实现对业务应用系统权限的统一管理，支持基于RBAC的授权管理机制和基于PMI的权限管理模式，对业务应用系统提供顶层权限管理模式、系统功能权限管理模式，也可提供两种权限管理模式的叠加应用。支持在原有部门基础上，按层级增加其他部门浏览、统计、上传权限，赋予不同账号进行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基础支撑组件-认证管理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认证管理组件实现用户身份的统一校验，为业务应用系统提供单点登录服务。统一身份认证微服务组件可兼容已有的身份认证体系，包括基于用户名及密码、CA证书等方式，通过制定接口规范，提供可信的安全认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4</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基础支撑组件-审计管理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审计管理组件实现对业务应用系统中用户登入、登出以及用户操作行为等信息进行审计、记录、追踪。审计管理组件通过集中采集信息系统中的系统安全事件、用户访问记录、系统运行日志、系统运行状态等各类信息，经过规范化、过滤、归并和告警分析等处理后，以统一格式的日志形式进行集中存储和管理，实现对信息系统日志的全面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5</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基础支撑组件-配置管理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配置管理组件实现对公共的基础设置类组件进行统一管理，包括参数、字典、常用意见、流水号、业务权限、数据权限等公共的部分进行统一的管理，统一入口，涉及系统的全部设置，与缓存联动，提供对参数、配置等统一的管理，可提供高性能的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6</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基础支撑组件-门户管理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门户管理组件可提供个性化门户服务，实现统一界面整合的目的。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7</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业务支撑组件-表单管理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统一表单组件可为业务应用系统提供不同种类界面要素、流转单据的定制及展现，通过统一表单引擎中的表单设计器，以图形化拖拽的方式快速定义各类表单要素。统一表单组件可提供“所见即所得”的在线表单设计工具，支持在流程中同一环节关联上述三种表单，可以作为独立应用单独部署，也可作为开放平台，支持用户根据业务需要扩展个性化的Web组件，支持用户扩展表单域数据的动态绑定。▲提供表单管理的可视化界面，对表单、组件、主题及表单映射进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8</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业务支撑组件-流程管理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统一流程组件实现图形化工作流定义、流程监控、前端任务管理等，提供具有安全、可靠、稳定、可灵活应用的工作流引擎，支持流程的顺序、并行、选择和重复执行等方式，实现各种流程的图形化配置。▲可根据业务人员的岗位、角色和权限，创建不同的业务流程输出单元，通过部门+角色、部门+岗位、部门+人等方式进行流程、角色和权限的对应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9</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业务支撑组件-模版管理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统一模版组件提供对证照、文书模版的统一管理，用户可以创建、编辑、管理和分享各种证照和文书模版。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10</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业务支撑组件-附件管理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统一附件微服务组件提供统一的附件管理功能，可在线查看附件存储目录每个目录的实际存储情况等信息。可提供统一的附件读取、写入接口，支持业务系统进行附件读写，将所有业务附件存储到统一的存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业务支撑组件-预警管理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统一的预警组件提供统一预警设置，按照各主体、监管部门个性化需求，自主设置预警参数阈值，平台上人员证件到期、特种设备定期检验数据超期预警信息、问题隐患整改闭环情况等数据应当能在企业端、旗区监管端、市局监管端同步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12</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业务支撑组件-任务管理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统一任务组件实现对业务任务的统一集成管理，实现不同业务的统一待办、统一已办、任务列表、任务提醒等功能。统一任务中心是所有应用系统的待办任务综合处理平台，所有应用系统待办都接入统一任务集成平台处理。用户可以直接在统一任务中心处理分散在所有系统中的任务。所有应用系统将用户待办/待阅任务能即时推送至统一任务集成平台，并且和统一任务集成平台实现单点登录，方便用户进行操作。同时对外提供标准的接口，以供业务系统进行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13</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移动支撑组件-基础服务</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基础服务包括用户协同服务、消息推送服务、组织协同服务、消息编排服务、服务号互动服务、多维鉴权服务。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14</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移动支撑组件-管理平台</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管理平台主要提供应用中心、权限管理、界面样式配置、服务号管理、应用发布等服务。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15</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移动支撑组件-开放平台</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开放平台可为用户提供丰富的接口能力，提供服务端Open-API、客户端JS-API、相关工具和资源。例如消息通知、应用管理、业务事件回调等，以满足组织多样的业务需求，同时基于开放平台的授权机制，降低开发者的对接成本和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16</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技术支撑组件-管理工作台</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提供总览微服务管理平台运行情况工作台，通过对平台的资源利用、服务调用、应用访问等进行分析处理，生成监控图表。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17</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技术支撑组件-应用中心</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支持统一的应用管理入口，用于管理接入到平台的应用。对应用提供统一的接入、管理服务授权、颁发应用密钥并对其进行访问接口控制。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18</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技术支撑组件-配置管理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提供统一的入口管理各平台中心系统组件配置，配置告警规则，配置API文档，并且支持配置的历史版本管理，支持版本的回滚。配置文件通过Nacos来进行集中管理，不仅可以在线实时修改相关文件配置，将配置动态应用到相关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19</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技术支撑组件-服务管理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服务管理及运行状态监控包括服务注册中心、服务自注册接口、心跳检测接口、服务注销接口、服务状态管理、服务池等服务，实现服务自动注册、注销、存活状态管理等。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20</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技术支撑组件-网关管理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客户端统一向微服务网关请求。如果客户端通过微服务网关的权限校验、限流控制，微服务网关则会将网关请求路由转发至数据缓存，如果缓存未命中，则进入接口监控，经过接口监控后转发至代理服务，代理服务响应后再次返回原调用链。如果缓存命中，则直接返回数据到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技术支撑组件-链路追踪</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链路追踪用于从服务和云原生基础设施收集，分析，聚合以及可视化数据，提供简便方式来清晰地观测分布式系统和横跨不同云的系统。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说明</w:t>
            </w:r>
          </w:p>
        </w:tc>
        <w:tc>
          <w:tcPr>
            <w:tcW w:w="8532" w:type="dxa"/>
            <w:gridSpan w:val="2"/>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lang w:val="de-DE"/>
              </w:rPr>
              <w:t>打“</w:t>
            </w:r>
            <w:r>
              <w:rPr>
                <w:rFonts w:hint="eastAsia" w:ascii="仿宋_GB2312" w:hAnsi="宋体" w:eastAsia="仿宋_GB2312" w:cs="Times New Roman"/>
                <w:color w:val="000000"/>
                <w:sz w:val="24"/>
                <w:szCs w:val="20"/>
              </w:rPr>
              <w:t>▲</w:t>
            </w:r>
            <w:r>
              <w:rPr>
                <w:rFonts w:hint="eastAsia" w:ascii="仿宋_GB2312" w:hAnsi="宋体" w:eastAsia="仿宋_GB2312" w:cs="Times New Roman"/>
                <w:color w:val="000000"/>
                <w:sz w:val="24"/>
                <w:szCs w:val="20"/>
                <w:lang w:val="de-DE"/>
              </w:rPr>
              <w:t>”号条款为实质性条款，若有任何一条负偏离或不满足则导致投标无效。</w:t>
            </w:r>
          </w:p>
        </w:tc>
      </w:tr>
    </w:tbl>
    <w:p>
      <w:pPr>
        <w:spacing w:line="600" w:lineRule="auto"/>
        <w:rPr>
          <w:rFonts w:ascii="黑体" w:hAnsi="黑体" w:eastAsia="黑体"/>
          <w:bCs/>
          <w:color w:val="000000"/>
          <w:kern w:val="44"/>
        </w:rPr>
      </w:pPr>
      <w:r>
        <w:rPr>
          <w:rFonts w:hint="eastAsia" w:ascii="黑体" w:hAnsi="黑体" w:eastAsia="黑体"/>
          <w:bCs/>
          <w:color w:val="000000"/>
          <w:kern w:val="44"/>
        </w:rPr>
        <w:t>附表3：物联感知平台服务</w:t>
      </w:r>
    </w:p>
    <w:tbl>
      <w:tblPr>
        <w:tblStyle w:val="2"/>
        <w:tblW w:w="9480"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896"/>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blHeader/>
        </w:trPr>
        <w:tc>
          <w:tcPr>
            <w:tcW w:w="948"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序号</w:t>
            </w:r>
          </w:p>
        </w:tc>
        <w:tc>
          <w:tcPr>
            <w:tcW w:w="1896"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项目</w:t>
            </w:r>
          </w:p>
        </w:tc>
        <w:tc>
          <w:tcPr>
            <w:tcW w:w="6636"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设备管理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设备管理是物联感知平台的核心功能模块。▲支持创建产品、设备，并定义设备在云端的功能描述，完成设备上云。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运维管理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运维管理提供网络组件、设备接入网关、协议管理、日志管理等服务，同时提供日志管理实时监控设备资源，采集系统日志及事件，帮助您及时发现故障，全面掌握资源及业务的实时运行状况。▲支持MQTT直连接入、WebSocket服务接入、CoAP接入、插件设备接入、TCP透传接入、网关子设备接入、HTTP 推送接入、UDP 接入、MQTT Broker接入等九种接入方式。▲设备接入协议库提供MQTT、CoAP、HTTP(S)等标准接入协议。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告警中心</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告警中心可实现监控告警，集成了多种监控设备和传感器，可以对系统中的设备进行实时监测并对异常情况进行告警处理。用户可以针对自己关心的业务指标，在告警中心配置告警规则，当监控指标满足条件触发后，支持以告警列表、邮件等方式通知用户，帮助用户快速处理故障，避免业务损失。</w:t>
            </w:r>
          </w:p>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告警中心用于定义告警等级、配置告警信息以及管理告警记录。告警通常需要配合场景联动使用。当物联网平台监控到场景触发告警时，会向配置用户发送通知。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4</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规则引擎</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规则引擎提供基于可视化拖拉拽支持的规则引擎编辑器。支持SQL语法的实时数据处理；定时任务；订阅、发布消息队列数据；规则引擎数据库入库。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5</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数据采集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支持通过Modbus TCP、OPC UA协议采集真实物理设备的运行数据。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6</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视频中心</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视频功能是一个功能齐全的视频管理中心，提供高效、可靠的视频监控和管理，可满足各类场景下的实时监控要求。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说明</w:t>
            </w:r>
          </w:p>
        </w:tc>
        <w:tc>
          <w:tcPr>
            <w:tcW w:w="8532" w:type="dxa"/>
            <w:gridSpan w:val="2"/>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lang w:val="de-DE"/>
              </w:rPr>
              <w:t>打“</w:t>
            </w:r>
            <w:r>
              <w:rPr>
                <w:rFonts w:hint="eastAsia" w:ascii="仿宋_GB2312" w:hAnsi="宋体" w:eastAsia="仿宋_GB2312" w:cs="Times New Roman"/>
                <w:color w:val="000000"/>
                <w:sz w:val="24"/>
                <w:szCs w:val="20"/>
              </w:rPr>
              <w:t>▲</w:t>
            </w:r>
            <w:r>
              <w:rPr>
                <w:rFonts w:hint="eastAsia" w:ascii="仿宋_GB2312" w:hAnsi="宋体" w:eastAsia="仿宋_GB2312" w:cs="Times New Roman"/>
                <w:color w:val="000000"/>
                <w:sz w:val="24"/>
                <w:szCs w:val="20"/>
                <w:lang w:val="de-DE"/>
              </w:rPr>
              <w:t>”号条款为实质性条款，若有任何一条负偏离或不满足则导致投标无效。</w:t>
            </w:r>
          </w:p>
        </w:tc>
      </w:tr>
    </w:tbl>
    <w:p>
      <w:pPr>
        <w:spacing w:line="600" w:lineRule="auto"/>
        <w:rPr>
          <w:rFonts w:ascii="黑体" w:hAnsi="黑体" w:eastAsia="黑体"/>
          <w:bCs/>
          <w:color w:val="000000"/>
          <w:kern w:val="44"/>
        </w:rPr>
      </w:pPr>
      <w:r>
        <w:rPr>
          <w:rFonts w:hint="eastAsia" w:ascii="黑体" w:hAnsi="黑体" w:eastAsia="黑体"/>
          <w:bCs/>
          <w:color w:val="000000"/>
          <w:kern w:val="44"/>
        </w:rPr>
        <w:t>附表4：门户应用服务</w:t>
      </w:r>
    </w:p>
    <w:tbl>
      <w:tblPr>
        <w:tblStyle w:val="2"/>
        <w:tblW w:w="9480"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896"/>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blHeader/>
        </w:trPr>
        <w:tc>
          <w:tcPr>
            <w:tcW w:w="948"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序号</w:t>
            </w:r>
          </w:p>
        </w:tc>
        <w:tc>
          <w:tcPr>
            <w:tcW w:w="1896"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项目</w:t>
            </w:r>
          </w:p>
        </w:tc>
        <w:tc>
          <w:tcPr>
            <w:tcW w:w="6636"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企业服务门户-基本信息</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支持录入、上传企业资质、人员证件以及特种设备使用登记、定期检验等。对所有特种设备赋码建档，可以通过手机微信、浏览器等方式扫描二维码获取展示信息。按照企业需要，具备对其他设备日常管理需求。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企业服务门户-统计分析</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企业能够根据自身需要实现设备总览、分类统计、预警和处置分析统计等功能，实现企业各类安全信息日报、周报、月报、年报等统计情况的预览、导出、打印等。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企业服务门户-文件政策</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企业能够通过平台接收政策通知、检查要求、培训计划等，及时反馈填报相关工作开展情况。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4</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企业服务门户-预警提醒</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通过自动化、智能化的手段，及时监测并预警企业特种设备相关的许可及核准证件、作业人员证件信息到期，以及特种设备定期检验数据超期等情况。按照各主体个性化需求，自主设置预警参数阈值，一旦触发预警条件，系统可实时发送预警信息至指定的企业特种设备主要负责人、安全总监、安全员以及旗区市场监管人员，确保相关人员能够迅速响应，采取必要措施，保障特种设备的安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5</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企业服务门户-安全主体责任</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按照国家市场监督管理总局第73、第74号令，结合自身实际，满足个性化定制需求，建立适合本企业特种设备安全管理的“日管控、周排查、月调度”工作表格，可实现每台设备落实安全总监、安全员，并按照要求自行组织检查，完成线上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6</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企业服务门户-施工告知申请</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企业可申请填报特种设备生产单位、检验检测机构施工告知。通过企业服务门户提交特种设备施工告知业务的办理事项申请，及办理进度的查询。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7</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企业服务门户-使用登记申请</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可申请填报特种设备（包含压力管道、气瓶）使用登记申请，通过企业服务门户提交特种设备使用登记业务的办理事项申请，及办理进度的查询。并链接至移动式压力容器管理系统申请办理移动式压力容器使用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8</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企业服务门户-检验检测告知申请</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支持辖区外检验检测单位开通临时账号，实现特种设备检验检测告知。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9</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企业服务门户-电梯无纸化维保</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对维保过程进行定位，设置定位区域精度；限制人员维保设备的数量；支持设置电梯维保项目表格选项，维保单位在移动客户端按照实际维保项目，如实记录上传，电梯使用单位安全管理人员对维保过程进行确认；支持统计分析异常维保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10</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企业服务门户-电梯应急处置</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汇集原鄂尔多斯市电梯信息监管平台、内蒙古自治区特种设备信息化平台信息。可及时维护更新电梯相关信息，同时做到电梯精准定位，能够对电梯故障进行分析、统计、预警。具备接入电梯物联设备，按需分批对大型商超、医院、保障酒店等人员密集场所实现动态管控、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企业服务门户-气瓶追溯</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支持气瓶充装单位日常管理功能，包括但不限于建立气瓶电子档案、充装前、后检查记录和充装记录。平台具备各类气瓶管理独立运行使用要求。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12</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企业服务门户-移动式压力容器管理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提供对移动式压力容器充装单位的日常管理功能，包括但不限于充装前、后检查记录和充装记录。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13</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企业服务门户-叉车管理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建立叉车物联管理终端，实现对叉车开展作业人员、未系安全带、电子围栏等识别，以及其他违法违规行为管控， 对不具备安全使用的叉车具有停止运行联锁。对于根据自身情况加装作业人员、未系安全带、电子围栏等识别系统的企业，利用数据对接接口，将叉车运行数据，叉车报警数据，叉车预警数据进行上报，根据原有叉车基础数据如叉车地区、叉车作业人员、叉车使用单位等进行叉车数据分析统计，实现叉车智慧化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14</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企业服务门户-起重机械维保</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实现起重机维保的备案流程化，数据透明化，过程公开化。企业可以自主上传自己的信息，通过绑定起重机来确定起重机维保关系，同时可以上传维保记录用于归档和复查。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15</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企业服务门户-客运索道、大型游乐设备管理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建立客运索道、大型游乐设备物联管理终端，实现对客运索道、大型游乐设备开展作业人员、未系安全带等识别，以及其他违法违规行为管控， 对不具备安全使用的特种设备具有停止运行联锁。对于根据自身情况加装物联设备的企业，利用数据对接接口，将设备运行数据，报警数据，预警数据进行上报。通过对客运索道、游乐设施单位、人员、设备、应急预案、应急演练等数据收集，实现对特种设备的日常监管。客运索道和游乐设施巡检人员可以进行无纸化巡检记录，实现巡检信息的可追溯以及设备故障信息的记录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16</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企业服务门户-检验检测</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企业通过系统提交特种设备检验检测报检申请，实现检验检测机构对特种设备检验检测业务的过程控制与管理。检验检测机构可利用平台出具或者导入报告，维护更新检验检测信息。使用单位可利用平台出具压力容器月度、年度检查报告，锅炉月度、年度检查报告，压力管道年度检查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17</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企业服务门户-教育培训</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支持企业进行特种设备安全教育视频学习，主要包括教育视频展示、观看拍照、人脸识别、培训教育结果评价、个人信息管理等功能。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18</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企业服务门户-行业分析研判</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能够展示同行业、同领域全国优秀管理案例、先进思路理念、特种设备安全风险管控清单以及特种设备安全事故警示，与企业管理实际情况比对，分析研判现存问题以及提出改善建议、意见等。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19</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监管协同门户（旗区局）-统计分析</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能够通过各类数据采集和统计，实时掌握辖区内特种设备的使用登记、“日管控、周排查、月调度”、施工告知、检验检测信息、属地监管责任落实、预警和处置分析统计等相关数据。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20</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监管协同门户（旗区局）-预警提醒</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运用数据分析手段对辖区内特种设备数据进行定向分析，及时发现定期检验、单位及人员证件超期等情况，按照各监管部门个性化需求，自主设置预警参数阈值，采用短信发送、数据色标等方式进行预警；能够接收受理施工告知、使用登记和行政许可等业务的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监管协同门户（旗区局）-文件政策</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按需通过平台及时转发、下发或者推送政策通知、专项检查工作要求、特种设备法律知识宣贯培训要求等，能够通过平台及时掌握、调度、推进相关工作进展，可实现对各类信息、管控清单、维护保养、日管控、周排查、月调度等工作情况、表单开展详细监督检查，并汇总上报完成情况，实现工作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22</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监管协同门户（旗区局）-监督检查</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对平台预警信息，实现及时发送检查文书和指令书，对预警、违法违规行为精准管控。能够具备移动端办公功能，可以实现监管指令文书电子化，能够具备通过输入问题即可推荐适用法条功能，实现“一键带入”“智能填写”，支持现场检查语音转功能，同时指令文书下方可以根据权限加盖相应的执法公章，企业负责人通过电脑端或者手机端接收文书后签字确认，确保指令文书的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23</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监管协同门户（旗区局）-电梯无纸化维保管理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能够掌握电梯维保单位和维保人员资质、按期维保、维保项目以及使用单位安全管理人员签字确认等情况，统计分析异常维保数据。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24</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监管协同门户（旗区局）-电梯应急处置</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能够统计、分析电梯故障，以及实时掌握触发应急处置动态的全过程；对故障率和困人率较高的电梯实现精准监管。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25</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监管协同门户（旗区局）-气瓶追溯管理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查看气瓶基本信息、充装、检查记录和检验等信息，掌握气瓶质量追溯管理情况；能够进行气瓶的注册登记、标签打印，以提升气瓶质量安全与公共安全为目标，统一追溯标准，强化信息互通共享，提高监管效能，实现气瓶来源可查、流向可追、责任可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26</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监管协同门户（旗区局）-移动式压力容器管理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支持查看移动式压力容器基本信息、充装、检查记录和检验等信息，掌握移动式压力容器质量追溯管理情况。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27</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监管协同门户（旗区局）-叉车管理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支持查看无证人员作业、操作不规范、叉车报警等信息，对叉车数据分析统计，掌握叉车安全管理落实情况。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28</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监管协同门户（旗区局）-起重机械维保管理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支持查看起重机械维护保养情况，对维护保养情况进行追溯。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29</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监管协同门户（旗区局）-客运索道、大型游乐设备管理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实现对客运索道、游乐设施单位、人员、设备、应急预案、应急演练、试运行等数据分析，掌握安全管理落实情况。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30</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监管协同门户（旗区局）-检验检测管理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实现对检验检测报告的抽查，对检验检测质量进行评估，分析研判辖区检验检测情况。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监管协同门户（旗区局）-培训管理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支持上传特种设备安全教育视频，设置培训课时、合格标准等要求，能够统计培训考核结果。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32</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监管协同门户（旗区局）-行业分析研判</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能够展示特种设备安全属地监管优秀案例、监管思路、部分优秀企业特种设备安全风险管控清单以及特种设备安全事故警示，与辖区监管实际情况比对，分析研判现存问题以及提出改善建议、意见等。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33</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监管协同门户（市局）-统计分析</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实现全市特种设备总览、分类查询、预警、问题隐患处理、研判分析、统计展示等功能；能够精准了解全市范围内所有特种设备的使用登记、检验检测等基本信息；能够统计分析属地局落实属地监管责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34</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监管协同门户（市局）-督导调度</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能够通过平台及时宏观掌握、调度、推进相关工作进展，设置特种设备安全培训计划和要求，督促属地监管责任、企业主体责任有效落实，同时对重大隐患督办闭环。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35</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监管协同门户（市局）-监督检查</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对旗区局检查文书和指令书，未按期整改闭环的，及时下达督办函。能够具备移动端办公功能，可以实现监管指令文书电子化，能够具备通过输入问题即可推荐适用法条功能，实现“一键带入”“智能填写”，支持现场检查语音转功能，同时指令文书下方可以根据权限加盖相应的执法公章，企业负责人通过电脑端或者手机端接收文书后签字确认，确保指令文书的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36</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监管协同门户（市局）-施工告知受理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能够受理特种设备生产单位、检验检测机构施工告知申请。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37</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监管协同门户（市局）-使用登记受理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能够受理特种设备使用单位使用登记申请，并链接至移动式压力容器管理系统。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rFonts w:hint="eastAsia"/>
                <w:color w:val="000000"/>
                <w:kern w:val="44"/>
                <w:sz w:val="24"/>
                <w:szCs w:val="24"/>
              </w:rPr>
            </w:pPr>
            <w:r>
              <w:rPr>
                <w:color w:val="000000"/>
                <w:kern w:val="44"/>
                <w:sz w:val="24"/>
                <w:szCs w:val="24"/>
              </w:rPr>
              <w:t>3</w:t>
            </w:r>
            <w:r>
              <w:rPr>
                <w:rFonts w:hint="eastAsia"/>
                <w:color w:val="000000"/>
                <w:kern w:val="44"/>
                <w:sz w:val="24"/>
                <w:szCs w:val="24"/>
              </w:rPr>
              <w:t>8</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监管协同门户（市局）-行政许可受理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链接相关系统，受理特种设备作业人员、移动式压力容器充装许可、气瓶充装许可、电梯安装（含修理）、起重机械安装（含修理）、客运索道安装（含修理）、大型游乐设施安装（含修理）、场（厂）内专用机动车辆修理等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rFonts w:hint="eastAsia"/>
                <w:color w:val="000000"/>
                <w:kern w:val="44"/>
                <w:sz w:val="24"/>
                <w:szCs w:val="24"/>
              </w:rPr>
            </w:pPr>
            <w:r>
              <w:rPr>
                <w:rFonts w:hint="eastAsia"/>
                <w:color w:val="000000"/>
                <w:kern w:val="44"/>
                <w:sz w:val="24"/>
                <w:szCs w:val="24"/>
              </w:rPr>
              <w:t>39</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监管协同门户（市局）-电梯无纸化维保管理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能够掌握电梯维保单位和维保人员资质、按期维保等情况，统计分析异常维保数据。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rFonts w:hint="eastAsia"/>
                <w:color w:val="000000"/>
                <w:kern w:val="44"/>
                <w:sz w:val="24"/>
                <w:szCs w:val="24"/>
              </w:rPr>
            </w:pPr>
            <w:r>
              <w:rPr>
                <w:color w:val="000000"/>
                <w:kern w:val="44"/>
                <w:sz w:val="24"/>
                <w:szCs w:val="24"/>
              </w:rPr>
              <w:t>4</w:t>
            </w:r>
            <w:r>
              <w:rPr>
                <w:rFonts w:hint="eastAsia"/>
                <w:color w:val="000000"/>
                <w:kern w:val="44"/>
                <w:sz w:val="24"/>
                <w:szCs w:val="24"/>
              </w:rPr>
              <w:t>0</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监管协同门户（市局）-电梯应急处置</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能够统计分析电梯故障频次和处理情况，督促、指导旗区局进行隐患排查，对故障率和困人率较高的电梯实现重点化监管。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rFonts w:hint="eastAsia"/>
                <w:color w:val="000000"/>
                <w:kern w:val="44"/>
                <w:sz w:val="24"/>
                <w:szCs w:val="24"/>
              </w:rPr>
            </w:pPr>
            <w:r>
              <w:rPr>
                <w:color w:val="000000"/>
                <w:kern w:val="44"/>
                <w:sz w:val="24"/>
                <w:szCs w:val="24"/>
              </w:rPr>
              <w:t>4</w:t>
            </w:r>
            <w:r>
              <w:rPr>
                <w:rFonts w:hint="eastAsia"/>
                <w:color w:val="000000"/>
                <w:kern w:val="44"/>
                <w:sz w:val="24"/>
                <w:szCs w:val="24"/>
              </w:rPr>
              <w:t>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监管协同门户（市局）-气瓶追溯管理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能够利用平台办理使用登记，对气瓶充装情况进行统计分析并进行重点化监管。掌握气瓶质量追溯管理情况。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rFonts w:hint="eastAsia"/>
                <w:color w:val="000000"/>
                <w:kern w:val="44"/>
                <w:sz w:val="24"/>
                <w:szCs w:val="24"/>
              </w:rPr>
            </w:pPr>
            <w:r>
              <w:rPr>
                <w:color w:val="000000"/>
                <w:kern w:val="44"/>
                <w:sz w:val="24"/>
                <w:szCs w:val="24"/>
              </w:rPr>
              <w:t>4</w:t>
            </w:r>
            <w:r>
              <w:rPr>
                <w:rFonts w:hint="eastAsia"/>
                <w:color w:val="000000"/>
                <w:kern w:val="44"/>
                <w:sz w:val="24"/>
                <w:szCs w:val="24"/>
              </w:rPr>
              <w:t>2</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监管协同门户（市局）-移动式压力容器管理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能够链接移动式压力容器智慧监管公共服务平台办理使用登记；利用平台查看移动式压力容器基本信息、充装、检查记录和检验等信息，掌握移动式压力容器质量追溯管理情况。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rFonts w:hint="eastAsia"/>
                <w:color w:val="000000"/>
                <w:kern w:val="44"/>
                <w:sz w:val="24"/>
                <w:szCs w:val="24"/>
              </w:rPr>
            </w:pPr>
            <w:r>
              <w:rPr>
                <w:color w:val="000000"/>
                <w:kern w:val="44"/>
                <w:sz w:val="24"/>
                <w:szCs w:val="24"/>
              </w:rPr>
              <w:t>4</w:t>
            </w:r>
            <w:r>
              <w:rPr>
                <w:rFonts w:hint="eastAsia"/>
                <w:color w:val="000000"/>
                <w:kern w:val="44"/>
                <w:sz w:val="24"/>
                <w:szCs w:val="24"/>
              </w:rPr>
              <w:t>3</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监管协同门户（市局）-叉车管理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能够统计分析企业叉车使用报警情况和旗区局处置情况，根据数据分析情况实现重点化监管。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rFonts w:hint="eastAsia"/>
                <w:color w:val="000000"/>
                <w:kern w:val="44"/>
                <w:sz w:val="24"/>
                <w:szCs w:val="24"/>
              </w:rPr>
            </w:pPr>
            <w:r>
              <w:rPr>
                <w:color w:val="000000"/>
                <w:kern w:val="44"/>
                <w:sz w:val="24"/>
                <w:szCs w:val="24"/>
              </w:rPr>
              <w:t>4</w:t>
            </w:r>
            <w:r>
              <w:rPr>
                <w:rFonts w:hint="eastAsia"/>
                <w:color w:val="000000"/>
                <w:kern w:val="44"/>
                <w:sz w:val="24"/>
                <w:szCs w:val="24"/>
              </w:rPr>
              <w:t>4</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监管协同门户（市局）-起重机械维保管理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能够统计分析起重机械维护保养频次和旗区局处置情况，根据数据分析情况实现重点化监管。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rFonts w:hint="eastAsia"/>
                <w:color w:val="000000"/>
                <w:kern w:val="44"/>
                <w:sz w:val="24"/>
                <w:szCs w:val="24"/>
              </w:rPr>
            </w:pPr>
            <w:r>
              <w:rPr>
                <w:color w:val="000000"/>
                <w:kern w:val="44"/>
                <w:sz w:val="24"/>
                <w:szCs w:val="24"/>
              </w:rPr>
              <w:t>4</w:t>
            </w:r>
            <w:r>
              <w:rPr>
                <w:rFonts w:hint="eastAsia"/>
                <w:color w:val="000000"/>
                <w:kern w:val="44"/>
                <w:sz w:val="24"/>
                <w:szCs w:val="24"/>
              </w:rPr>
              <w:t>5</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监管协同门户（市局）-客运索道、大型游乐设备管理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能够统计分析客运索道、游乐设施预警情况以及旗区局处置情况，根据数据分析情况实现重点化监管。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rFonts w:hint="eastAsia"/>
                <w:color w:val="000000"/>
                <w:kern w:val="44"/>
                <w:sz w:val="24"/>
                <w:szCs w:val="24"/>
              </w:rPr>
            </w:pPr>
            <w:r>
              <w:rPr>
                <w:color w:val="000000"/>
                <w:kern w:val="44"/>
                <w:sz w:val="24"/>
                <w:szCs w:val="24"/>
              </w:rPr>
              <w:t>4</w:t>
            </w:r>
            <w:r>
              <w:rPr>
                <w:rFonts w:hint="eastAsia"/>
                <w:color w:val="000000"/>
                <w:kern w:val="44"/>
                <w:sz w:val="24"/>
                <w:szCs w:val="24"/>
              </w:rPr>
              <w:t>6</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监管协同门户（市局）-检验检测管理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能够统计分析检验检测告知频次、检验检测数量、检验检测时间、出具或上传报告、检验检测及时率等情况，按照检验检测机构、检验检测项目等抽查要求向监管人员、旗区局或三方检验检测机构派发抽查任务。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rFonts w:hint="eastAsia"/>
                <w:color w:val="000000"/>
                <w:kern w:val="44"/>
                <w:sz w:val="24"/>
                <w:szCs w:val="24"/>
              </w:rPr>
            </w:pPr>
            <w:r>
              <w:rPr>
                <w:color w:val="000000"/>
                <w:kern w:val="44"/>
                <w:sz w:val="24"/>
                <w:szCs w:val="24"/>
              </w:rPr>
              <w:t>4</w:t>
            </w:r>
            <w:r>
              <w:rPr>
                <w:rFonts w:hint="eastAsia"/>
                <w:color w:val="000000"/>
                <w:kern w:val="44"/>
                <w:sz w:val="24"/>
                <w:szCs w:val="24"/>
              </w:rPr>
              <w:t>7</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监管协同门户（市局）-培训管理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能够上传特种设备安全教育视频，对全市监管人员、特种设备作业人员设置培训课时、合格标准等要求，能够统计培训考核结果。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rFonts w:hint="eastAsia"/>
                <w:color w:val="000000"/>
                <w:kern w:val="44"/>
                <w:sz w:val="24"/>
                <w:szCs w:val="24"/>
              </w:rPr>
            </w:pPr>
            <w:r>
              <w:rPr>
                <w:color w:val="000000"/>
                <w:kern w:val="44"/>
                <w:sz w:val="24"/>
                <w:szCs w:val="24"/>
              </w:rPr>
              <w:t>4</w:t>
            </w:r>
            <w:r>
              <w:rPr>
                <w:rFonts w:hint="eastAsia"/>
                <w:color w:val="000000"/>
                <w:kern w:val="44"/>
                <w:sz w:val="24"/>
                <w:szCs w:val="24"/>
              </w:rPr>
              <w:t>8</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监管协同门户（市局）-行业分析研判</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能够展示特种设备安全市级监管优秀案例、监管思路以及特种设备安全事故警示，与辖区监管实际情况比对，分析研判现存问题以及提出改善建议、意见等。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rFonts w:hint="eastAsia"/>
                <w:color w:val="000000"/>
                <w:kern w:val="44"/>
                <w:sz w:val="24"/>
                <w:szCs w:val="24"/>
              </w:rPr>
            </w:pPr>
            <w:r>
              <w:rPr>
                <w:rFonts w:hint="eastAsia"/>
                <w:color w:val="000000"/>
                <w:kern w:val="44"/>
                <w:sz w:val="24"/>
                <w:szCs w:val="24"/>
              </w:rPr>
              <w:t>49</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数据可视化门户-统计分析</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实现监管概况、预警分析、处置销号、指标趋势、工作绩效、企服概况、特种设备简报等统计分析。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rFonts w:hint="eastAsia"/>
                <w:color w:val="000000"/>
                <w:kern w:val="44"/>
                <w:sz w:val="24"/>
                <w:szCs w:val="24"/>
              </w:rPr>
            </w:pPr>
            <w:r>
              <w:rPr>
                <w:color w:val="000000"/>
                <w:kern w:val="44"/>
                <w:sz w:val="24"/>
                <w:szCs w:val="24"/>
              </w:rPr>
              <w:t>5</w:t>
            </w:r>
            <w:r>
              <w:rPr>
                <w:rFonts w:hint="eastAsia"/>
                <w:color w:val="000000"/>
                <w:kern w:val="44"/>
                <w:sz w:val="24"/>
                <w:szCs w:val="24"/>
              </w:rPr>
              <w:t>0</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数据可视化门户-大屏展示</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可按照企业、旗区监管、市局监管职责范围分别展示。功能包括监管概况、预警、处置销号、指标趋势、工作绩效、企服概况、特种设备简报等，从全链条、全周期、全类别等不同角度自主组合生成大数据统计和展示舱，例如全链条展示企业特种设备设计、制造、安装、改造、修理、经营、使用、检验、检测、安全监管等各类信息，同时能够全生命周期展示特种设备注册登记、检验检测、报废注销等信息。实现以电子地图方式展示设备分布情况，对各项监管指标数据进行汇总，实现以饼图、柱状图等方式进行展示，展示内容支持按照数据内进行自定义，包含不限于在用设备概况、在册设备概况、设备登记概况、设备检测概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left"/>
              <w:rPr>
                <w:color w:val="000000"/>
                <w:kern w:val="44"/>
                <w:sz w:val="24"/>
                <w:szCs w:val="24"/>
              </w:rPr>
            </w:pPr>
            <w:r>
              <w:rPr>
                <w:rFonts w:hint="eastAsia"/>
                <w:color w:val="000000"/>
                <w:kern w:val="44"/>
                <w:sz w:val="24"/>
                <w:szCs w:val="24"/>
              </w:rPr>
              <w:t>51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协议、功能拓展</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开放数据接口协议，能够集成企业特种设备管理过程中的常见使用功能，并根据默认表格样式归集企业原有的信息化数据，方便信息数据的输出合并。具备按需分批接入危化企业、充装单位、游乐场所以及其他企业原有摄像设备的功能，能够动态监控特种设备、制度落实情况，并具备录像存储功能。鼓励企业在使用特种设备安全数字监管平台时，加装配套智慧物联设备，强化特种设备安全管理；已安装智慧物联设备的企业，要将智慧监管应用数据接入特种设备安全数字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说明</w:t>
            </w:r>
          </w:p>
        </w:tc>
        <w:tc>
          <w:tcPr>
            <w:tcW w:w="8532" w:type="dxa"/>
            <w:gridSpan w:val="2"/>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lang w:val="de-DE"/>
              </w:rPr>
              <w:t>打“</w:t>
            </w:r>
            <w:r>
              <w:rPr>
                <w:rFonts w:hint="eastAsia" w:ascii="仿宋_GB2312" w:hAnsi="宋体" w:eastAsia="仿宋_GB2312" w:cs="Times New Roman"/>
                <w:color w:val="000000"/>
                <w:sz w:val="24"/>
                <w:szCs w:val="20"/>
              </w:rPr>
              <w:t>▲</w:t>
            </w:r>
            <w:r>
              <w:rPr>
                <w:rFonts w:hint="eastAsia" w:ascii="仿宋_GB2312" w:hAnsi="宋体" w:eastAsia="仿宋_GB2312" w:cs="Times New Roman"/>
                <w:color w:val="000000"/>
                <w:sz w:val="24"/>
                <w:szCs w:val="20"/>
                <w:lang w:val="de-DE"/>
              </w:rPr>
              <w:t>”号条款为实质性条款，若有任何一条负偏离或不满足则导致投标无效。</w:t>
            </w:r>
          </w:p>
        </w:tc>
      </w:tr>
    </w:tbl>
    <w:p>
      <w:pPr>
        <w:spacing w:line="600" w:lineRule="auto"/>
        <w:rPr>
          <w:rFonts w:ascii="黑体" w:hAnsi="黑体" w:eastAsia="黑体"/>
          <w:bCs/>
          <w:color w:val="000000"/>
          <w:kern w:val="44"/>
        </w:rPr>
      </w:pPr>
      <w:r>
        <w:rPr>
          <w:rFonts w:hint="eastAsia" w:ascii="黑体" w:hAnsi="黑体" w:eastAsia="黑体"/>
          <w:bCs/>
          <w:color w:val="000000"/>
          <w:kern w:val="44"/>
        </w:rPr>
        <w:t>附表5：业务应用服务</w:t>
      </w:r>
    </w:p>
    <w:tbl>
      <w:tblPr>
        <w:tblStyle w:val="2"/>
        <w:tblW w:w="9480"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896"/>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blHeader/>
        </w:trPr>
        <w:tc>
          <w:tcPr>
            <w:tcW w:w="948"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序号</w:t>
            </w:r>
          </w:p>
        </w:tc>
        <w:tc>
          <w:tcPr>
            <w:tcW w:w="1896"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项目</w:t>
            </w:r>
          </w:p>
        </w:tc>
        <w:tc>
          <w:tcPr>
            <w:tcW w:w="6636"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特种设备使用登记系统-施工告知</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特种设备施工单位到相应的业务办理机关办理特种设备的施工告知业务，提交相关文书和资料，并取得业务办理回执；支持外地特种设备检验检测单位、电梯检测单位到相应的业务办理机关办理特种设备的检验检测告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特种设备使用登记系统-使用登记</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▲支持申请者通过网上便捷、高效的办理特种设备使用登记业务，为市场监督管理部门提供特种设备使用登记审批。支持按照台（套）注册的设备注册申请、按照使用单位汇总后注册的设备注册申请。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特种设备监督检查系统</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日常监管系统支持日常监督检查、专项监督检查、证后检查以及其他检查等。系统实现监管部门对特种设备使用单位、生产单位、经营单位等相关企业的机构运行状态、设备状态、人员条件、年检情况、维保情况等条件进行现场安全监督检查。同时，支持规范检验检测工作行为，对检验检测机构开展专项监督检查工作，检查其资源条件、检查质量、人员条件等是否满足规定要求。▲实现快速生成检查信息和检查条款。▲支持检查结果录入，监察人员按照检查流程、检查事项完成检查后，监察人员根据实际检查情况将现场情况进行录入，完善其他问题说明，并出具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4</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特种设备检验检测系统</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支持企业或用户通过外网报检系统实现用户的多元化报检检方式；检验人员利用平台催检、受理、分配、审批、统计、打印、缴费、导出等报检业务。▲支持报告的录入、查看、保存、提交、后退和审核。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5</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特种设备综合应用系统-文件政策管理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能够按需通过平台制定政策通知、专项检查工作要求、特种设备法律知识宣贯培训要求等，通过平台及时掌握、调度、推进相关工作进展，可实现对各类信息、管控清单、维护保养、日管控、周排查、月调度等工作情况、表单开展详细监督检查，并汇总上报完成情况，实现工作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6</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特种设备综合应用系统-培训管理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实现对特种设备安全教育视频的管理，对全市监管人员、特种设备作业人员设置培训课时、合格标准等要求，能够统计培训考核结果。包括课程管理、课件管理、进度管理、评价管理。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7</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特种设备综合应用系统-行业分析研判管理</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可收集同行业、同领域全国优秀管理案例、先进思路理念、特种设备安全风险管控清单以及特种设备安全事故警示，与企业管理实际情况比对，分析研判现存问题以及提出改善建议、意见等。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8</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特种设备综合应用系统-安全主体责任</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支持企业结合自身实际，满足个性化定制需求，建立适合本企业特种设备安全管理的“日管控、周排查、月调度”工作表格，实现每台设备落实安全总监、安全员，并按照要求自行组织检查，完成线上填报。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9</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特种设备移动服务系统-移动监管APP</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移动智慧市场监管系统主要服务市局、区局、监管所的监管执法人员。监管执法人员可通过移动监管系统接收本人的待办任务，并携带手机到现场开展现场检查、行政执法,形成线上线下的监管闭环。当监管执法人员接收到新的通知、任务时，系统能及时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10</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特种设备移动服务系统-维保单位APP</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维保单位通过APP进行维保任务签收、确认和查询，可记录维保人员任务打卡信息及维保结果。▲实现根据月度、季度、半年度、年度维保要求，加载不同的维保条款，可自主调整维保项目表格，通过APP进行现场维保信息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电梯管理系统-电梯无纸化维保</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可实现维保定位管理、人员管理、任务管理、异常预警等功能，确保实现维保全流程管理。▲支持维护人员信息、人员资质。▲支持根据维保告知、维保合同等信息生成维保任务、查询维保任务完成情况。▲完成任务后系统自动生成下次维保任务，维保单位可维护本单位自行定义的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12</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电梯管理系统-电梯应急救援</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平台具备电梯应急救援功能，实现智能化电梯应急救援，做到电梯精准定位，能够对电梯故障进行分析、统计、预警。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13</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气瓶管理系统</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CNG、LNG气瓶充装管理、配送管理及监督管理。▲提供气瓶档案管理和查询管理，支持查询气瓶的注册登记证号、检验日期、下检日期、制造日期、充装介质等信息。具备气瓶充装单位日常管理功能，包括但不限于建立气瓶电子档案、充装前、后检查记录和充装记录。平台具备各类气瓶管理独立运行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14</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移动式压力容器管理系统</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实现移动式压力容器充装单位日常管理功能，包括但不限于充装前、后检查记录和充装记录。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15</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叉车管理系统</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支持对接叉车物联智控终端，并对叉车进行智能化管理。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16</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起重机械管理系统</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实现起重机械无纸化维保，支持维保人员管理、任务管理等。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17</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客运索道、大型游乐设备管理系统</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支持对接客运索道、大型游乐设备物联智控终端，并对客运索道、大型游乐设备进行智能化管理。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说明</w:t>
            </w:r>
          </w:p>
        </w:tc>
        <w:tc>
          <w:tcPr>
            <w:tcW w:w="8532" w:type="dxa"/>
            <w:gridSpan w:val="2"/>
            <w:noWrap w:val="0"/>
            <w:vAlign w:val="center"/>
          </w:tcPr>
          <w:p>
            <w:pPr>
              <w:rPr>
                <w:color w:val="000000"/>
                <w:sz w:val="20"/>
                <w:szCs w:val="20"/>
                <w:lang w:val="de-DE"/>
              </w:rPr>
            </w:pPr>
            <w:r>
              <w:rPr>
                <w:rFonts w:hint="eastAsia" w:ascii="仿宋_GB2312" w:hAnsi="宋体" w:eastAsia="仿宋_GB2312" w:cs="Times New Roman"/>
                <w:color w:val="000000"/>
                <w:sz w:val="24"/>
                <w:szCs w:val="20"/>
                <w:lang w:val="de-DE"/>
              </w:rPr>
              <w:t>打“</w:t>
            </w:r>
            <w:r>
              <w:rPr>
                <w:rFonts w:hint="eastAsia" w:ascii="仿宋_GB2312" w:hAnsi="宋体" w:eastAsia="仿宋_GB2312" w:cs="Times New Roman"/>
                <w:color w:val="000000"/>
                <w:sz w:val="24"/>
                <w:szCs w:val="20"/>
              </w:rPr>
              <w:t>▲</w:t>
            </w:r>
            <w:r>
              <w:rPr>
                <w:rFonts w:hint="eastAsia" w:ascii="仿宋_GB2312" w:hAnsi="宋体" w:eastAsia="仿宋_GB2312" w:cs="Times New Roman"/>
                <w:color w:val="000000"/>
                <w:sz w:val="24"/>
                <w:szCs w:val="20"/>
                <w:lang w:val="de-DE"/>
              </w:rPr>
              <w:t>”号条款为实质性条款，若有任何一条负偏离或不满足则导致投标无效。</w:t>
            </w:r>
          </w:p>
        </w:tc>
      </w:tr>
    </w:tbl>
    <w:p>
      <w:pPr>
        <w:spacing w:line="600" w:lineRule="auto"/>
        <w:rPr>
          <w:rFonts w:ascii="黑体" w:hAnsi="黑体" w:eastAsia="黑体"/>
          <w:bCs/>
          <w:color w:val="000000"/>
          <w:kern w:val="44"/>
        </w:rPr>
      </w:pPr>
      <w:r>
        <w:rPr>
          <w:rFonts w:hint="eastAsia" w:ascii="黑体" w:hAnsi="黑体" w:eastAsia="黑体"/>
          <w:bCs/>
          <w:color w:val="000000"/>
          <w:kern w:val="44"/>
        </w:rPr>
        <w:t>附表6：系统对接服务</w:t>
      </w:r>
    </w:p>
    <w:tbl>
      <w:tblPr>
        <w:tblStyle w:val="2"/>
        <w:tblW w:w="9480"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896"/>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blHeader/>
        </w:trPr>
        <w:tc>
          <w:tcPr>
            <w:tcW w:w="948"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序号</w:t>
            </w:r>
          </w:p>
        </w:tc>
        <w:tc>
          <w:tcPr>
            <w:tcW w:w="1896"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项目</w:t>
            </w:r>
          </w:p>
        </w:tc>
        <w:tc>
          <w:tcPr>
            <w:tcW w:w="6636" w:type="dxa"/>
            <w:noWrap w:val="0"/>
            <w:vAlign w:val="center"/>
          </w:tcPr>
          <w:p>
            <w:pPr>
              <w:jc w:val="center"/>
              <w:rPr>
                <w:rFonts w:hint="eastAsia" w:ascii="黑体" w:hAnsi="黑体" w:eastAsia="黑体" w:cs="宋体"/>
                <w:color w:val="000000"/>
                <w:kern w:val="44"/>
                <w:sz w:val="24"/>
                <w:szCs w:val="24"/>
              </w:rPr>
            </w:pPr>
            <w:r>
              <w:rPr>
                <w:rFonts w:hint="eastAsia" w:ascii="黑体" w:hAnsi="黑体" w:eastAsia="黑体" w:cs="宋体"/>
                <w:color w:val="000000"/>
                <w:kern w:val="44"/>
                <w:sz w:val="24"/>
                <w:szCs w:val="24"/>
              </w:rPr>
              <w:t>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1</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内蒙古自治区特种设备信息化平台对接服务</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与内蒙古自治区特种设备信息化平台进行数据对接，对接设备信息（设备详细信息、设备参数信息）、告知业务信息、使用登记业务信息、检验检测告知业务信息、检验检测业务信息、检验检测报告信息等各类特种设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2</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内蒙古自治区气瓶安全信息化监管平台对接服务</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实现与内蒙古自治区气瓶安全信息化监管平台进行数据对接，对接单位信息、气瓶档案信息、气瓶充装记录、气瓶检验记录、气瓶报检信息等各类信息数据。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3</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内蒙古危险化学品罐车信息化监管系统对接服务</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实现与内蒙古危险化学品罐车信息化监管系统进行数据对接，对接单位信息、运行车辆信息、使用单位信息、发卡记录、充装记录、检验信息、充装单位信息等各类信息。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4</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内蒙古气瓶质量安全追溯系统对接服务</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实现与内蒙古气瓶质量安全追溯系统进行数据对接，对接加气机网络链接情况、系统告警信息、监察人员信息、车辆气瓶充装信息、车辆追踪过程信息、气瓶详细数据、加气机运行状态等各类信息。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5</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鄂尔多斯市气瓶质量安全追溯系统对接服务</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实现与鄂尔多斯市气瓶质量安全追溯系统进行数据对接，对接燃气气瓶档案信息、气瓶检验记录、充装单位信息、气瓶审核记录、气瓶充前检查记录、气瓶充后复检记录等各类信息。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948" w:type="dxa"/>
            <w:noWrap w:val="0"/>
            <w:vAlign w:val="center"/>
          </w:tcPr>
          <w:p>
            <w:pPr>
              <w:jc w:val="center"/>
              <w:rPr>
                <w:color w:val="000000"/>
                <w:kern w:val="44"/>
                <w:sz w:val="24"/>
                <w:szCs w:val="24"/>
              </w:rPr>
            </w:pPr>
            <w:r>
              <w:rPr>
                <w:color w:val="000000"/>
                <w:kern w:val="44"/>
                <w:sz w:val="24"/>
                <w:szCs w:val="24"/>
              </w:rPr>
              <w:t>6</w:t>
            </w:r>
          </w:p>
        </w:tc>
        <w:tc>
          <w:tcPr>
            <w:tcW w:w="189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鄂尔多斯电梯信息监管平台对接服务</w:t>
            </w:r>
          </w:p>
        </w:tc>
        <w:tc>
          <w:tcPr>
            <w:tcW w:w="6636" w:type="dxa"/>
            <w:noWrap w:val="0"/>
            <w:vAlign w:val="center"/>
          </w:tcPr>
          <w:p>
            <w:pPr>
              <w:rPr>
                <w:rFonts w:hint="eastAsia" w:ascii="仿宋_GB2312" w:hAnsi="宋体" w:eastAsia="仿宋_GB2312" w:cs="Times New Roman"/>
                <w:color w:val="000000"/>
                <w:sz w:val="24"/>
                <w:szCs w:val="20"/>
              </w:rPr>
            </w:pPr>
            <w:r>
              <w:rPr>
                <w:rFonts w:hint="eastAsia" w:ascii="仿宋_GB2312" w:hAnsi="宋体" w:eastAsia="仿宋_GB2312" w:cs="Times New Roman"/>
                <w:color w:val="000000"/>
                <w:sz w:val="24"/>
                <w:szCs w:val="20"/>
              </w:rPr>
              <w:t>实现与鄂尔多斯电梯信息监管平台进行数据对接，对接监管单位信息、维保单位信息、使用单位信息、电梯档案信息、电梯维护记录、救援事件处置信息、检验异常告警信息等各类信息。</w:t>
            </w:r>
          </w:p>
        </w:tc>
      </w:tr>
    </w:tbl>
    <w:p>
      <w:pPr>
        <w:spacing w:line="360" w:lineRule="auto"/>
        <w:jc w:val="left"/>
        <w:rPr>
          <w:rFonts w:hint="eastAsia" w:ascii="宋体" w:hAnsi="宋体"/>
          <w:b/>
          <w:bCs/>
          <w:color w:val="000000"/>
          <w:kern w:val="44"/>
          <w:sz w:val="24"/>
          <w:szCs w:val="24"/>
        </w:rPr>
      </w:pPr>
    </w:p>
    <w:p>
      <w:pPr>
        <w:spacing w:line="360" w:lineRule="auto"/>
        <w:jc w:val="left"/>
        <w:rPr>
          <w:rFonts w:hint="eastAsia" w:ascii="宋体" w:hAnsi="宋体"/>
          <w:b/>
          <w:bCs/>
          <w:color w:val="000000"/>
          <w:kern w:val="44"/>
          <w:sz w:val="24"/>
          <w:szCs w:val="24"/>
        </w:rPr>
      </w:pPr>
    </w:p>
    <w:p>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D3026"/>
    <w:multiLevelType w:val="multilevel"/>
    <w:tmpl w:val="702D3026"/>
    <w:lvl w:ilvl="0" w:tentative="0">
      <w:start w:val="1"/>
      <w:numFmt w:val="japaneseCounting"/>
      <w:pStyle w:val="5"/>
      <w:lvlText w:val="%1、"/>
      <w:lvlJc w:val="left"/>
      <w:pPr>
        <w:tabs>
          <w:tab w:val="left" w:pos="1140"/>
        </w:tabs>
        <w:ind w:left="1140" w:hanging="720"/>
      </w:pPr>
      <w:rPr>
        <w:rFonts w:hint="default"/>
        <w:b/>
        <w:sz w:val="28"/>
        <w:szCs w:val="28"/>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YWMzOWZkNTU1ZTY4OTExODA0NzVmYzAxNDRhZGQifQ=="/>
  </w:docVars>
  <w:rsids>
    <w:rsidRoot w:val="5933469B"/>
    <w:rsid w:val="5933469B"/>
    <w:rsid w:val="E798C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rPr>
      <w:rFonts w:ascii="Calibri" w:hAnsi="Calibri" w:eastAsia="宋体" w:cs="Times New Roman"/>
      <w:szCs w:val="21"/>
    </w:rPr>
  </w:style>
  <w:style w:type="paragraph" w:customStyle="1" w:styleId="5">
    <w:name w:val="正文格式"/>
    <w:qFormat/>
    <w:uiPriority w:val="0"/>
    <w:pPr>
      <w:widowControl w:val="0"/>
      <w:numPr>
        <w:ilvl w:val="0"/>
        <w:numId w:val="1"/>
      </w:numPr>
      <w:tabs>
        <w:tab w:val="left" w:pos="425"/>
        <w:tab w:val="left" w:pos="810"/>
      </w:tabs>
      <w:jc w:val="both"/>
    </w:pPr>
    <w:rPr>
      <w:rFonts w:ascii="宋体" w:hAnsi="宋体" w:eastAsia="宋体" w:cs="Times New Roman"/>
      <w:kern w:val="2"/>
      <w:sz w:val="24"/>
      <w:lang w:val="en-US" w:eastAsia="zh-CN" w:bidi="ar-SA"/>
    </w:rPr>
  </w:style>
  <w:style w:type="paragraph" w:customStyle="1" w:styleId="6">
    <w:name w:val="表格正文"/>
    <w:basedOn w:val="1"/>
    <w:qFormat/>
    <w:uiPriority w:val="0"/>
    <w:rPr>
      <w:rFonts w:cs="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2024-06-04T18:17:00Z</dcterms:created>
  <dc:creator>を向明天看，→_→</dc:creator>
  <cp:lastModifiedBy>user</cp:lastModifiedBy>
  <dcterms:modified xsi:type="dcterms:W3CDTF">2024-06-05T13:03:16Z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EC3D60C39208A96594F15F662BFCD8FB</vt:lpwstr>
  </property>
</Properties>
</file>