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AD31">
      <w:pPr>
        <w:keepNext w:val="0"/>
        <w:keepLines w:val="0"/>
        <w:pageBreakBefore w:val="0"/>
        <w:numPr>
          <w:ilvl w:val="0"/>
          <w:numId w:val="0"/>
        </w:numPr>
        <w:tabs>
          <w:tab w:val="left" w:pos="0"/>
        </w:tabs>
        <w:kinsoku/>
        <w:wordWrap/>
        <w:overflowPunct/>
        <w:topLinePunct w:val="0"/>
        <w:autoSpaceDE/>
        <w:autoSpaceDN/>
        <w:bidi w:val="0"/>
        <w:adjustRightInd/>
        <w:spacing w:before="0" w:beforeLines="0" w:line="560" w:lineRule="exact"/>
        <w:ind w:left="0" w:leftChars="0" w:right="0" w:firstLine="880" w:firstLineChars="200"/>
        <w:jc w:val="center"/>
        <w:outlineLvl w:val="0"/>
        <w:rPr>
          <w:rFonts w:hint="eastAsia" w:ascii="宋体" w:hAnsi="宋体" w:eastAsia="宋体" w:cs="宋体"/>
          <w:b w:val="0"/>
          <w:bCs w:val="0"/>
          <w:sz w:val="24"/>
          <w:szCs w:val="24"/>
          <w:highlight w:val="none"/>
        </w:rPr>
      </w:pPr>
      <w:bookmarkStart w:id="0" w:name="_Toc17168"/>
      <w:r>
        <w:rPr>
          <w:rFonts w:hint="eastAsia" w:ascii="黑体" w:hAnsi="黑体" w:eastAsia="黑体" w:cs="黑体"/>
          <w:b w:val="0"/>
          <w:bCs w:val="0"/>
          <w:sz w:val="44"/>
          <w:szCs w:val="44"/>
          <w:highlight w:val="none"/>
        </w:rPr>
        <w:t>第</w:t>
      </w:r>
      <w:r>
        <w:rPr>
          <w:rFonts w:hint="eastAsia" w:ascii="黑体" w:hAnsi="黑体" w:eastAsia="黑体" w:cs="黑体"/>
          <w:b w:val="0"/>
          <w:bCs w:val="0"/>
          <w:sz w:val="44"/>
          <w:szCs w:val="44"/>
          <w:highlight w:val="none"/>
          <w:lang w:val="en-US" w:eastAsia="zh-CN"/>
        </w:rPr>
        <w:t>九</w:t>
      </w:r>
      <w:r>
        <w:rPr>
          <w:rFonts w:hint="eastAsia" w:ascii="黑体" w:hAnsi="黑体" w:eastAsia="黑体" w:cs="黑体"/>
          <w:b w:val="0"/>
          <w:bCs w:val="0"/>
          <w:sz w:val="44"/>
          <w:szCs w:val="44"/>
          <w:highlight w:val="none"/>
        </w:rPr>
        <w:t>章 绩效管理</w:t>
      </w:r>
      <w:bookmarkEnd w:id="0"/>
    </w:p>
    <w:p w14:paraId="754E9838">
      <w:pPr>
        <w:keepNext w:val="0"/>
        <w:keepLines w:val="0"/>
        <w:pageBreakBefore w:val="0"/>
        <w:kinsoku/>
        <w:wordWrap/>
        <w:overflowPunct/>
        <w:topLinePunct w:val="0"/>
        <w:autoSpaceDE/>
        <w:autoSpaceDN/>
        <w:bidi w:val="0"/>
        <w:adjustRightInd/>
        <w:spacing w:after="0" w:afterLines="0" w:line="560" w:lineRule="exact"/>
        <w:ind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绩效评价是</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政府采购服务</w:t>
      </w:r>
      <w:r>
        <w:rPr>
          <w:rFonts w:hint="eastAsia" w:ascii="宋体" w:hAnsi="宋体" w:eastAsia="宋体" w:cs="宋体"/>
          <w:b w:val="0"/>
          <w:bCs w:val="0"/>
          <w:color w:val="000000" w:themeColor="text1"/>
          <w:sz w:val="24"/>
          <w:szCs w:val="24"/>
          <w:highlight w:val="none"/>
          <w14:textFill>
            <w14:solidFill>
              <w14:schemeClr w14:val="tx1"/>
            </w14:solidFill>
          </w14:textFill>
        </w:rPr>
        <w:t>项目全服务期内的重要一环，</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b w:val="0"/>
          <w:bCs w:val="0"/>
          <w:color w:val="000000" w:themeColor="text1"/>
          <w:sz w:val="24"/>
          <w:szCs w:val="24"/>
          <w:highlight w:val="none"/>
          <w14:textFill>
            <w14:solidFill>
              <w14:schemeClr w14:val="tx1"/>
            </w14:solidFill>
          </w14:textFill>
        </w:rPr>
        <w:t>的资金支付以项目绩效评价为依据，以此形成激励相容，保证公共服务提供质量。本项目中，在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b w:val="0"/>
          <w:bCs w:val="0"/>
          <w:color w:val="000000" w:themeColor="text1"/>
          <w:sz w:val="24"/>
          <w:szCs w:val="24"/>
          <w:highlight w:val="none"/>
          <w14:textFill>
            <w14:solidFill>
              <w14:schemeClr w14:val="tx1"/>
            </w14:solidFill>
          </w14:textFill>
        </w:rPr>
        <w:t>评价的基础上，财政部门可根据需要组织或委托第三方机构实施重点评价或再评价。</w:t>
      </w:r>
    </w:p>
    <w:p w14:paraId="2D2FC9F9">
      <w:pPr>
        <w:keepNext w:val="0"/>
        <w:keepLines w:val="0"/>
        <w:pageBreakBefore w:val="0"/>
        <w:numPr>
          <w:ilvl w:val="1"/>
          <w:numId w:val="0"/>
        </w:numPr>
        <w:tabs>
          <w:tab w:val="left" w:pos="0"/>
        </w:tabs>
        <w:kinsoku/>
        <w:wordWrap/>
        <w:overflowPunct/>
        <w:topLinePunct w:val="0"/>
        <w:autoSpaceDE/>
        <w:autoSpaceDN/>
        <w:bidi w:val="0"/>
        <w:adjustRightInd/>
        <w:spacing w:before="0" w:after="0" w:line="560" w:lineRule="exact"/>
        <w:ind w:left="0" w:leftChars="0" w:right="0" w:firstLine="480" w:firstLineChars="200"/>
        <w:jc w:val="both"/>
        <w:outlineLvl w:val="1"/>
        <w:rPr>
          <w:rFonts w:hint="eastAsia" w:ascii="宋体" w:hAnsi="宋体" w:eastAsia="宋体" w:cs="宋体"/>
          <w:b w:val="0"/>
          <w:bCs w:val="0"/>
          <w:sz w:val="24"/>
          <w:szCs w:val="24"/>
          <w:highlight w:val="none"/>
        </w:rPr>
      </w:pPr>
      <w:bookmarkStart w:id="1" w:name="_Toc5758"/>
      <w:bookmarkStart w:id="2" w:name="_Toc25148"/>
      <w:bookmarkStart w:id="3" w:name="_Toc97562408"/>
      <w:bookmarkStart w:id="4" w:name="_Toc10256"/>
      <w:bookmarkStart w:id="5" w:name="_Toc12123"/>
      <w:bookmarkStart w:id="6" w:name="_Toc13326"/>
      <w:bookmarkStart w:id="7" w:name="_Toc3323"/>
      <w:bookmarkStart w:id="8" w:name="_Toc515737423"/>
      <w:bookmarkStart w:id="9" w:name="_Toc32258"/>
      <w:bookmarkStart w:id="10" w:name="_Toc9106"/>
      <w:bookmarkStart w:id="11" w:name="_Toc25023"/>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.1 绩效评估内容</w:t>
      </w:r>
      <w:bookmarkEnd w:id="1"/>
      <w:bookmarkEnd w:id="2"/>
      <w:bookmarkEnd w:id="3"/>
      <w:bookmarkEnd w:id="4"/>
      <w:bookmarkEnd w:id="5"/>
      <w:bookmarkEnd w:id="6"/>
      <w:bookmarkEnd w:id="7"/>
      <w:bookmarkEnd w:id="8"/>
      <w:bookmarkEnd w:id="9"/>
      <w:bookmarkEnd w:id="10"/>
      <w:bookmarkEnd w:id="11"/>
    </w:p>
    <w:p w14:paraId="69C21814">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政府采购服务</w:t>
      </w:r>
      <w:r>
        <w:rPr>
          <w:rFonts w:hint="eastAsia" w:ascii="宋体" w:hAnsi="宋体" w:eastAsia="宋体" w:cs="宋体"/>
          <w:b w:val="0"/>
          <w:bCs w:val="0"/>
          <w:color w:val="000000" w:themeColor="text1"/>
          <w:sz w:val="24"/>
          <w:szCs w:val="24"/>
          <w:highlight w:val="none"/>
          <w14:textFill>
            <w14:solidFill>
              <w14:schemeClr w14:val="tx1"/>
            </w14:solidFill>
          </w14:textFill>
        </w:rPr>
        <w:t>绩效评估以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服务内容作为主要评估内容，根据实际情况，本项目主要考核</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是否按照</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政府采购服务</w:t>
      </w:r>
      <w:r>
        <w:rPr>
          <w:rFonts w:hint="eastAsia" w:ascii="宋体" w:hAnsi="宋体" w:eastAsia="宋体" w:cs="宋体"/>
          <w:b w:val="0"/>
          <w:bCs w:val="0"/>
          <w:color w:val="000000" w:themeColor="text1"/>
          <w:sz w:val="24"/>
          <w:szCs w:val="24"/>
          <w:highlight w:val="none"/>
          <w14:textFill>
            <w14:solidFill>
              <w14:schemeClr w14:val="tx1"/>
            </w14:solidFill>
          </w14:textFill>
        </w:rPr>
        <w:t>协议约定的</w:t>
      </w:r>
      <w:r>
        <w:rPr>
          <w:rFonts w:hint="eastAsia" w:ascii="宋体" w:hAnsi="宋体" w:eastAsia="宋体" w:cs="宋体"/>
          <w:b w:val="0"/>
          <w:bCs w:val="0"/>
          <w:i w:val="0"/>
          <w:iCs w:val="0"/>
          <w:caps w:val="0"/>
          <w:color w:val="24292F"/>
          <w:spacing w:val="0"/>
          <w:sz w:val="24"/>
          <w:szCs w:val="24"/>
          <w:highlight w:val="none"/>
          <w:shd w:val="clear" w:fill="FFFFFF"/>
          <w:lang w:eastAsia="zh-CN"/>
        </w:rPr>
        <w:t>污水处理</w:t>
      </w:r>
      <w:r>
        <w:rPr>
          <w:rFonts w:hint="eastAsia" w:ascii="宋体" w:hAnsi="宋体" w:eastAsia="宋体" w:cs="宋体"/>
          <w:b w:val="0"/>
          <w:bCs w:val="0"/>
          <w:color w:val="000000" w:themeColor="text1"/>
          <w:sz w:val="24"/>
          <w:szCs w:val="24"/>
          <w:highlight w:val="none"/>
          <w14:textFill>
            <w14:solidFill>
              <w14:schemeClr w14:val="tx1"/>
            </w14:solidFill>
          </w14:textFill>
        </w:rPr>
        <w:t>标准、</w:t>
      </w:r>
      <w:r>
        <w:rPr>
          <w:rFonts w:hint="eastAsia" w:ascii="宋体" w:hAnsi="宋体" w:eastAsia="宋体" w:cs="宋体"/>
          <w:b w:val="0"/>
          <w:bCs w:val="0"/>
          <w:i w:val="0"/>
          <w:iCs w:val="0"/>
          <w:caps w:val="0"/>
          <w:color w:val="24292F"/>
          <w:spacing w:val="0"/>
          <w:sz w:val="24"/>
          <w:szCs w:val="24"/>
          <w:highlight w:val="none"/>
          <w:shd w:val="clear" w:fill="FFFFFF"/>
        </w:rPr>
        <w:t>处理效果</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i w:val="0"/>
          <w:iCs w:val="0"/>
          <w:caps w:val="0"/>
          <w:color w:val="24292F"/>
          <w:spacing w:val="0"/>
          <w:sz w:val="24"/>
          <w:szCs w:val="24"/>
          <w:highlight w:val="none"/>
          <w:shd w:val="clear" w:fill="FFFFFF"/>
        </w:rPr>
        <w:t>达标排放</w:t>
      </w:r>
      <w:r>
        <w:rPr>
          <w:rFonts w:hint="eastAsia" w:ascii="宋体" w:hAnsi="宋体" w:eastAsia="宋体" w:cs="宋体"/>
          <w:b w:val="0"/>
          <w:bCs w:val="0"/>
          <w:i w:val="0"/>
          <w:iCs w:val="0"/>
          <w:caps w:val="0"/>
          <w:color w:val="24292F"/>
          <w:spacing w:val="0"/>
          <w:sz w:val="24"/>
          <w:szCs w:val="24"/>
          <w:highlight w:val="none"/>
          <w:shd w:val="clear" w:fill="FFFFFF"/>
          <w:lang w:val="en-US" w:eastAsia="zh-CN"/>
        </w:rPr>
        <w:t>等</w:t>
      </w:r>
      <w:r>
        <w:rPr>
          <w:rFonts w:hint="eastAsia" w:ascii="宋体" w:hAnsi="宋体" w:eastAsia="宋体" w:cs="宋体"/>
          <w:b w:val="0"/>
          <w:bCs w:val="0"/>
          <w:color w:val="000000" w:themeColor="text1"/>
          <w:sz w:val="24"/>
          <w:szCs w:val="24"/>
          <w:highlight w:val="none"/>
          <w14:textFill>
            <w14:solidFill>
              <w14:schemeClr w14:val="tx1"/>
            </w14:solidFill>
          </w14:textFill>
        </w:rPr>
        <w:t>完成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东胜区铁西片区，装备制造基地片区，罕台镇片区的污水处理</w:t>
      </w:r>
      <w:r>
        <w:rPr>
          <w:rFonts w:hint="eastAsia" w:ascii="宋体" w:hAnsi="宋体" w:eastAsia="宋体" w:cs="宋体"/>
          <w:b w:val="0"/>
          <w:bCs w:val="0"/>
          <w:color w:val="000000" w:themeColor="text1"/>
          <w:sz w:val="24"/>
          <w:szCs w:val="24"/>
          <w:highlight w:val="none"/>
          <w14:textFill>
            <w14:solidFill>
              <w14:schemeClr w14:val="tx1"/>
            </w14:solidFill>
          </w14:textFill>
        </w:rPr>
        <w:t>服务工作。</w:t>
      </w:r>
    </w:p>
    <w:p w14:paraId="1ADCFEC5">
      <w:pPr>
        <w:keepNext w:val="0"/>
        <w:keepLines w:val="0"/>
        <w:pageBreakBefore w:val="0"/>
        <w:numPr>
          <w:ilvl w:val="1"/>
          <w:numId w:val="0"/>
        </w:numPr>
        <w:tabs>
          <w:tab w:val="left" w:pos="0"/>
        </w:tabs>
        <w:kinsoku/>
        <w:wordWrap/>
        <w:overflowPunct/>
        <w:topLinePunct w:val="0"/>
        <w:autoSpaceDE/>
        <w:autoSpaceDN/>
        <w:bidi w:val="0"/>
        <w:adjustRightInd/>
        <w:spacing w:before="0" w:after="0" w:line="560" w:lineRule="exact"/>
        <w:ind w:left="0" w:leftChars="0" w:right="0" w:firstLine="480" w:firstLineChars="200"/>
        <w:jc w:val="both"/>
        <w:outlineLvl w:val="1"/>
        <w:rPr>
          <w:rFonts w:hint="eastAsia" w:ascii="宋体" w:hAnsi="宋体" w:eastAsia="宋体" w:cs="宋体"/>
          <w:b w:val="0"/>
          <w:bCs w:val="0"/>
          <w:sz w:val="24"/>
          <w:szCs w:val="24"/>
          <w:highlight w:val="none"/>
        </w:rPr>
      </w:pPr>
      <w:bookmarkStart w:id="12" w:name="_Toc27497"/>
      <w:bookmarkStart w:id="13" w:name="_Toc31895"/>
      <w:bookmarkStart w:id="14" w:name="_Toc12125"/>
      <w:bookmarkStart w:id="15" w:name="_Toc11541"/>
      <w:bookmarkStart w:id="16" w:name="_Toc6595"/>
      <w:bookmarkStart w:id="17" w:name="_Toc18153"/>
      <w:bookmarkStart w:id="18" w:name="_Toc29612"/>
      <w:bookmarkStart w:id="19" w:name="_Toc97562409"/>
      <w:bookmarkStart w:id="20" w:name="_Toc515737424"/>
      <w:bookmarkStart w:id="21" w:name="_Toc12225"/>
      <w:bookmarkStart w:id="22" w:name="_Toc2564"/>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.2 绩效评价指标</w:t>
      </w:r>
      <w:bookmarkEnd w:id="12"/>
      <w:bookmarkEnd w:id="13"/>
      <w:bookmarkEnd w:id="14"/>
      <w:bookmarkEnd w:id="15"/>
      <w:bookmarkEnd w:id="16"/>
      <w:bookmarkEnd w:id="17"/>
      <w:bookmarkEnd w:id="18"/>
      <w:bookmarkEnd w:id="19"/>
      <w:bookmarkEnd w:id="20"/>
      <w:bookmarkEnd w:id="21"/>
      <w:bookmarkEnd w:id="22"/>
    </w:p>
    <w:p w14:paraId="5387B02A">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i w:val="0"/>
          <w:iCs w:val="0"/>
          <w:caps w:val="0"/>
          <w:color w:val="24292F"/>
          <w:spacing w:val="0"/>
          <w:sz w:val="24"/>
          <w:szCs w:val="24"/>
          <w:highlight w:val="none"/>
          <w:shd w:val="clear" w:fill="FFFFFF"/>
        </w:rPr>
        <w:t>绩效评价指标不仅涵盖了技术层面的水质参数，还涉及了经济、社会和环境效益等多个方面，为全面评估污水处理项目的绩效提供了科学依据。</w:t>
      </w:r>
      <w:r>
        <w:rPr>
          <w:rFonts w:hint="eastAsia" w:ascii="宋体" w:hAnsi="宋体" w:eastAsia="宋体" w:cs="宋体"/>
          <w:b w:val="0"/>
          <w:bCs w:val="0"/>
          <w:i w:val="0"/>
          <w:iCs w:val="0"/>
          <w:caps w:val="0"/>
          <w:color w:val="24292F"/>
          <w:spacing w:val="0"/>
          <w:sz w:val="24"/>
          <w:szCs w:val="24"/>
          <w:highlight w:val="none"/>
          <w:shd w:val="clear" w:fill="FFFFFF"/>
          <w:lang w:val="en-US" w:eastAsia="zh-CN"/>
        </w:rPr>
        <w:t>应建立完善的考核机制。</w:t>
      </w:r>
    </w:p>
    <w:p w14:paraId="175F9C3B">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bookmarkStart w:id="23" w:name="_Toc9"/>
      <w:bookmarkStart w:id="24" w:name="_Toc3215"/>
      <w:r>
        <w:rPr>
          <w:rFonts w:hint="eastAsia" w:ascii="宋体" w:hAnsi="宋体" w:eastAsia="宋体" w:cs="宋体"/>
          <w:b w:val="0"/>
          <w:bCs w:val="0"/>
          <w:sz w:val="24"/>
          <w:szCs w:val="24"/>
          <w:highlight w:val="none"/>
          <w:lang w:val="en-US" w:eastAsia="zh-CN"/>
        </w:rPr>
        <w:t xml:space="preserve">9.2.1 </w:t>
      </w:r>
      <w:r>
        <w:rPr>
          <w:rFonts w:hint="eastAsia" w:ascii="宋体" w:hAnsi="宋体" w:eastAsia="宋体" w:cs="宋体"/>
          <w:b w:val="0"/>
          <w:bCs w:val="0"/>
          <w:sz w:val="24"/>
          <w:szCs w:val="24"/>
          <w:highlight w:val="none"/>
        </w:rPr>
        <w:t>监督与考核机制</w:t>
      </w:r>
      <w:bookmarkEnd w:id="23"/>
      <w:bookmarkEnd w:id="24"/>
    </w:p>
    <w:p w14:paraId="41031911">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rPr>
        <w:t>监督与考核机制构建原则</w:t>
      </w:r>
    </w:p>
    <w:p w14:paraId="0C62DC9B">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公正公开：确保监督与考核过程公开透明，接受社会各界监督，防止权力寻租和腐败现象。</w:t>
      </w:r>
    </w:p>
    <w:p w14:paraId="04B49B83">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客观科学：依据项目合同、行业标准及实际运行情况，设计科学合理的考核指标和评价体系。</w:t>
      </w:r>
    </w:p>
    <w:p w14:paraId="39B4BC36">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全面覆盖：监督与考核应覆盖项目全生命周期，包括前期准备、实施过程、后期运维等各个环节。</w:t>
      </w:r>
    </w:p>
    <w:p w14:paraId="430995C7">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动态调整：根据项目进展及实际情况，适时调整监督与考核方案，确保机制的有效性和适应性。</w:t>
      </w:r>
    </w:p>
    <w:p w14:paraId="775A2E17">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rPr>
        <w:t>、监督与考核主要内容</w:t>
      </w:r>
    </w:p>
    <w:p w14:paraId="5D8C981E">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合同履行情况：定期检查服务</w:t>
      </w:r>
      <w:r>
        <w:rPr>
          <w:rFonts w:hint="eastAsia" w:ascii="宋体" w:hAnsi="宋体" w:eastAsia="宋体" w:cs="宋体"/>
          <w:b w:val="0"/>
          <w:bCs w:val="0"/>
          <w:sz w:val="24"/>
          <w:szCs w:val="24"/>
          <w:highlight w:val="none"/>
          <w:lang w:eastAsia="zh-CN"/>
        </w:rPr>
        <w:t>社会力量</w:t>
      </w:r>
      <w:r>
        <w:rPr>
          <w:rFonts w:hint="eastAsia" w:ascii="宋体" w:hAnsi="宋体" w:eastAsia="宋体" w:cs="宋体"/>
          <w:b w:val="0"/>
          <w:bCs w:val="0"/>
          <w:sz w:val="24"/>
          <w:szCs w:val="24"/>
          <w:highlight w:val="none"/>
        </w:rPr>
        <w:t>是否按照合同约定提供</w:t>
      </w:r>
      <w:r>
        <w:rPr>
          <w:rFonts w:hint="eastAsia" w:ascii="宋体" w:hAnsi="宋体" w:eastAsia="宋体" w:cs="宋体"/>
          <w:b w:val="0"/>
          <w:bCs w:val="0"/>
          <w:sz w:val="24"/>
          <w:szCs w:val="24"/>
          <w:highlight w:val="none"/>
          <w:lang w:eastAsia="zh-CN"/>
        </w:rPr>
        <w:t>污水处理</w:t>
      </w:r>
      <w:r>
        <w:rPr>
          <w:rFonts w:hint="eastAsia" w:ascii="宋体" w:hAnsi="宋体" w:eastAsia="宋体" w:cs="宋体"/>
          <w:b w:val="0"/>
          <w:bCs w:val="0"/>
          <w:sz w:val="24"/>
          <w:szCs w:val="24"/>
          <w:highlight w:val="none"/>
        </w:rPr>
        <w:t>服务，包括服务范围、服务标准、响应时间等。</w:t>
      </w:r>
    </w:p>
    <w:p w14:paraId="76B7E2E9">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水质监测：建立严格的水质监测体系，定期对进出水水质进行检测，确保处理后的水质符合国家或地方相关标准。</w:t>
      </w:r>
    </w:p>
    <w:p w14:paraId="0621791B">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运营效率：评估服务</w:t>
      </w:r>
      <w:r>
        <w:rPr>
          <w:rFonts w:hint="eastAsia" w:ascii="宋体" w:hAnsi="宋体" w:eastAsia="宋体" w:cs="宋体"/>
          <w:b w:val="0"/>
          <w:bCs w:val="0"/>
          <w:sz w:val="24"/>
          <w:szCs w:val="24"/>
          <w:highlight w:val="none"/>
          <w:lang w:eastAsia="zh-CN"/>
        </w:rPr>
        <w:t>社会力量</w:t>
      </w:r>
      <w:r>
        <w:rPr>
          <w:rFonts w:hint="eastAsia" w:ascii="宋体" w:hAnsi="宋体" w:eastAsia="宋体" w:cs="宋体"/>
          <w:b w:val="0"/>
          <w:bCs w:val="0"/>
          <w:sz w:val="24"/>
          <w:szCs w:val="24"/>
          <w:highlight w:val="none"/>
        </w:rPr>
        <w:t>的设备运行效率、能源消耗、成本控制等，鼓励采用先进技术和管理方法提高运营效率。</w:t>
      </w:r>
    </w:p>
    <w:p w14:paraId="7287A037">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用户满意度：通过问卷调查、座谈会等方式收集用户反馈，评估服务满意度，作为考核的重要依据。</w:t>
      </w:r>
    </w:p>
    <w:p w14:paraId="7424836D">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安全与环保：监督服务</w:t>
      </w:r>
      <w:r>
        <w:rPr>
          <w:rFonts w:hint="eastAsia" w:ascii="宋体" w:hAnsi="宋体" w:eastAsia="宋体" w:cs="宋体"/>
          <w:b w:val="0"/>
          <w:bCs w:val="0"/>
          <w:sz w:val="24"/>
          <w:szCs w:val="24"/>
          <w:highlight w:val="none"/>
          <w:lang w:eastAsia="zh-CN"/>
        </w:rPr>
        <w:t>社会力量</w:t>
      </w:r>
      <w:r>
        <w:rPr>
          <w:rFonts w:hint="eastAsia" w:ascii="宋体" w:hAnsi="宋体" w:eastAsia="宋体" w:cs="宋体"/>
          <w:b w:val="0"/>
          <w:bCs w:val="0"/>
          <w:sz w:val="24"/>
          <w:szCs w:val="24"/>
          <w:highlight w:val="none"/>
        </w:rPr>
        <w:t>在生产运营过程中严格遵守安全生产和环境保护法律法规，防范安全事故和环境污染。</w:t>
      </w:r>
    </w:p>
    <w:p w14:paraId="1BC51DB3">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、监督与考核实施方式</w:t>
      </w:r>
    </w:p>
    <w:p w14:paraId="44C7F660">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日常监督：</w:t>
      </w:r>
      <w:r>
        <w:rPr>
          <w:rFonts w:hint="eastAsia" w:ascii="宋体" w:hAnsi="宋体" w:eastAsia="宋体" w:cs="宋体"/>
          <w:b w:val="0"/>
          <w:bCs w:val="0"/>
          <w:sz w:val="24"/>
          <w:szCs w:val="24"/>
          <w:highlight w:val="none"/>
          <w:lang w:val="en-US" w:eastAsia="zh-CN"/>
        </w:rPr>
        <w:t>东胜区市政事业服务中心</w:t>
      </w:r>
      <w:r>
        <w:rPr>
          <w:rFonts w:hint="eastAsia" w:ascii="宋体" w:hAnsi="宋体" w:eastAsia="宋体" w:cs="宋体"/>
          <w:b w:val="0"/>
          <w:bCs w:val="0"/>
          <w:sz w:val="24"/>
          <w:szCs w:val="24"/>
          <w:highlight w:val="none"/>
        </w:rPr>
        <w:t>可指派专人或委托第三方机构进行日常巡查，及时发现并纠正问题。</w:t>
      </w:r>
    </w:p>
    <w:p w14:paraId="7F6CAE2B">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定期检查：定期组织专家团队对项目进行全面检查，包括现场查看、资料审核、数据比对等，形成检查报告。</w:t>
      </w:r>
    </w:p>
    <w:p w14:paraId="54E72CE9">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绩效考核：根据合同约定的考核周期，结合日常监督和定期检查情况，对服务</w:t>
      </w:r>
      <w:r>
        <w:rPr>
          <w:rFonts w:hint="eastAsia" w:ascii="宋体" w:hAnsi="宋体" w:eastAsia="宋体" w:cs="宋体"/>
          <w:b w:val="0"/>
          <w:bCs w:val="0"/>
          <w:sz w:val="24"/>
          <w:szCs w:val="24"/>
          <w:highlight w:val="none"/>
          <w:lang w:eastAsia="zh-CN"/>
        </w:rPr>
        <w:t>社会力量</w:t>
      </w:r>
      <w:r>
        <w:rPr>
          <w:rFonts w:hint="eastAsia" w:ascii="宋体" w:hAnsi="宋体" w:eastAsia="宋体" w:cs="宋体"/>
          <w:b w:val="0"/>
          <w:bCs w:val="0"/>
          <w:sz w:val="24"/>
          <w:szCs w:val="24"/>
          <w:highlight w:val="none"/>
        </w:rPr>
        <w:t>进行绩效考核，评分结果作为支付服务费用、续签合同或终止合同的依据。</w:t>
      </w:r>
    </w:p>
    <w:p w14:paraId="1C62686D">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公众监督：建立信息公开平台，定期发布项目进展、水质监测报告等信息，接受公众监督，增强社会公信力。</w:t>
      </w:r>
    </w:p>
    <w:p w14:paraId="6A4242BC">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、保障措施</w:t>
      </w:r>
    </w:p>
    <w:p w14:paraId="3A183543">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强化组织领导：成立由</w:t>
      </w:r>
      <w:r>
        <w:rPr>
          <w:rFonts w:hint="eastAsia" w:ascii="宋体" w:hAnsi="宋体" w:eastAsia="宋体" w:cs="宋体"/>
          <w:b w:val="0"/>
          <w:bCs w:val="0"/>
          <w:sz w:val="24"/>
          <w:szCs w:val="24"/>
          <w:highlight w:val="none"/>
          <w:lang w:val="en-US" w:eastAsia="zh-CN"/>
        </w:rPr>
        <w:t>东胜区市政事业服务中心</w:t>
      </w:r>
      <w:r>
        <w:rPr>
          <w:rFonts w:hint="eastAsia" w:ascii="宋体" w:hAnsi="宋体" w:eastAsia="宋体" w:cs="宋体"/>
          <w:b w:val="0"/>
          <w:bCs w:val="0"/>
          <w:sz w:val="24"/>
          <w:szCs w:val="24"/>
          <w:highlight w:val="none"/>
        </w:rPr>
        <w:t>挂帅的项目监督与考核领导小组，负责统筹协调、监督指导工作。</w:t>
      </w:r>
    </w:p>
    <w:p w14:paraId="38D86F31">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完善制度建设：制定详细的监督与考核管理制度，明确各方职责、权利与义务，确保机制有效运行。</w:t>
      </w:r>
    </w:p>
    <w:p w14:paraId="743FC6E7">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加强人员培训：对监督与考核人员进行专业培训，提高业务能力和职业素养，确保监督考核工作的公正性和专业性。</w:t>
      </w:r>
    </w:p>
    <w:p w14:paraId="00DCA1E9">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注重沟通反馈：建立健全沟通反馈机制，及时收集服务</w:t>
      </w:r>
      <w:r>
        <w:rPr>
          <w:rFonts w:hint="eastAsia" w:ascii="宋体" w:hAnsi="宋体" w:eastAsia="宋体" w:cs="宋体"/>
          <w:b w:val="0"/>
          <w:bCs w:val="0"/>
          <w:sz w:val="24"/>
          <w:szCs w:val="24"/>
          <w:highlight w:val="none"/>
          <w:lang w:eastAsia="zh-CN"/>
        </w:rPr>
        <w:t>社会力量</w:t>
      </w:r>
      <w:r>
        <w:rPr>
          <w:rFonts w:hint="eastAsia" w:ascii="宋体" w:hAnsi="宋体" w:eastAsia="宋体" w:cs="宋体"/>
          <w:b w:val="0"/>
          <w:bCs w:val="0"/>
          <w:sz w:val="24"/>
          <w:szCs w:val="24"/>
          <w:highlight w:val="none"/>
        </w:rPr>
        <w:t>、用户及社会各界的意见和建议，不断优化监督与考核工作。</w:t>
      </w:r>
    </w:p>
    <w:p w14:paraId="532F8A47">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bookmarkStart w:id="25" w:name="_Toc24382"/>
      <w:bookmarkStart w:id="26" w:name="_Toc811"/>
      <w:bookmarkStart w:id="27" w:name="_Toc10109"/>
      <w:r>
        <w:rPr>
          <w:rFonts w:hint="eastAsia" w:ascii="宋体" w:hAnsi="宋体" w:eastAsia="宋体" w:cs="宋体"/>
          <w:b w:val="0"/>
          <w:bCs w:val="0"/>
          <w:sz w:val="24"/>
          <w:szCs w:val="24"/>
          <w:highlight w:val="none"/>
          <w:lang w:val="en-US" w:eastAsia="zh-CN"/>
        </w:rPr>
        <w:t xml:space="preserve">9.2.2 </w:t>
      </w:r>
      <w:r>
        <w:rPr>
          <w:rFonts w:hint="eastAsia" w:ascii="宋体" w:hAnsi="宋体" w:eastAsia="宋体" w:cs="宋体"/>
          <w:b w:val="0"/>
          <w:bCs w:val="0"/>
          <w:sz w:val="24"/>
          <w:szCs w:val="24"/>
          <w:highlight w:val="none"/>
        </w:rPr>
        <w:t>项目效果评估与持续改进</w:t>
      </w:r>
      <w:bookmarkEnd w:id="25"/>
      <w:bookmarkEnd w:id="26"/>
      <w:bookmarkEnd w:id="27"/>
    </w:p>
    <w:p w14:paraId="089BF246">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bookmarkStart w:id="28" w:name="_Toc17125"/>
      <w:bookmarkStart w:id="29" w:name="_Toc23484"/>
      <w:bookmarkStart w:id="30" w:name="_Toc7818"/>
      <w:r>
        <w:rPr>
          <w:rFonts w:hint="eastAsia" w:ascii="宋体" w:hAnsi="宋体" w:eastAsia="宋体" w:cs="宋体"/>
          <w:b w:val="0"/>
          <w:bCs w:val="0"/>
          <w:sz w:val="24"/>
          <w:szCs w:val="24"/>
          <w:highlight w:val="none"/>
        </w:rPr>
        <w:t>效果评估指标体系</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sz w:val="24"/>
          <w:szCs w:val="24"/>
          <w:highlight w:val="none"/>
        </w:rPr>
        <w:t>构建</w:t>
      </w:r>
      <w:bookmarkEnd w:id="28"/>
      <w:bookmarkEnd w:id="29"/>
      <w:bookmarkEnd w:id="30"/>
    </w:p>
    <w:p w14:paraId="4908C661">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w:t>
      </w:r>
      <w:r>
        <w:rPr>
          <w:rFonts w:hint="eastAsia" w:ascii="宋体" w:hAnsi="宋体" w:eastAsia="宋体" w:cs="宋体"/>
          <w:b w:val="0"/>
          <w:bCs w:val="0"/>
          <w:sz w:val="24"/>
          <w:szCs w:val="24"/>
          <w:highlight w:val="none"/>
          <w:lang w:eastAsia="zh-CN"/>
        </w:rPr>
        <w:t>采购污水处理</w:t>
      </w:r>
      <w:r>
        <w:rPr>
          <w:rFonts w:hint="eastAsia" w:ascii="宋体" w:hAnsi="宋体" w:eastAsia="宋体" w:cs="宋体"/>
          <w:b w:val="0"/>
          <w:bCs w:val="0"/>
          <w:sz w:val="24"/>
          <w:szCs w:val="24"/>
          <w:highlight w:val="none"/>
        </w:rPr>
        <w:t>服务项目的实施过程中，构建科学、全面、可操作的效果评估指标体系是至关重要的。这一体系不仅是对项目执行成效的客观衡量，也是后续持续改进与优化的重要依据。</w:t>
      </w:r>
      <w:r>
        <w:rPr>
          <w:rFonts w:hint="eastAsia" w:ascii="宋体" w:hAnsi="宋体" w:eastAsia="宋体" w:cs="宋体"/>
          <w:b w:val="0"/>
          <w:bCs w:val="0"/>
          <w:sz w:val="24"/>
          <w:szCs w:val="24"/>
          <w:highlight w:val="none"/>
          <w:lang w:val="en-US" w:eastAsia="zh-CN"/>
        </w:rPr>
        <w:t>体系的构建应遵循以下原则：</w:t>
      </w:r>
    </w:p>
    <w:p w14:paraId="37588481">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科学性：评估指标应基于</w:t>
      </w:r>
      <w:r>
        <w:rPr>
          <w:rFonts w:hint="eastAsia" w:ascii="宋体" w:hAnsi="宋体" w:eastAsia="宋体" w:cs="宋体"/>
          <w:b w:val="0"/>
          <w:bCs w:val="0"/>
          <w:sz w:val="24"/>
          <w:szCs w:val="24"/>
          <w:highlight w:val="none"/>
          <w:lang w:eastAsia="zh-CN"/>
        </w:rPr>
        <w:t>污水处理</w:t>
      </w:r>
      <w:r>
        <w:rPr>
          <w:rFonts w:hint="eastAsia" w:ascii="宋体" w:hAnsi="宋体" w:eastAsia="宋体" w:cs="宋体"/>
          <w:b w:val="0"/>
          <w:bCs w:val="0"/>
          <w:sz w:val="24"/>
          <w:szCs w:val="24"/>
          <w:highlight w:val="none"/>
        </w:rPr>
        <w:t>技术的科学原理、政策导向及项目实际情况，确保评估结果客观、准确。</w:t>
      </w:r>
    </w:p>
    <w:p w14:paraId="0C8540D9">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全面性：指标体系需覆盖项目的技术性能、经济效益、社会效益、环境效益及公众满意度等多个维度，全面反映项目成效。</w:t>
      </w:r>
    </w:p>
    <w:p w14:paraId="0771C2D4">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可操作性：指标设定应具体、量化，便于数据采集与统计分析，减少主观判断误差。</w:t>
      </w:r>
    </w:p>
    <w:p w14:paraId="5B13C1F4">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可比性：指标应具有一定的通用性和可比性，便于横向对比同类项目，或纵向追踪项目进展。</w:t>
      </w:r>
    </w:p>
    <w:p w14:paraId="30739967">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left="0" w:leftChars="0" w:right="0"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动态性：随着项目实施阶段的推进和外部环境的变化，评估指标体系需适时调整，确保评估的时效性和针对性。</w:t>
      </w:r>
    </w:p>
    <w:p w14:paraId="60E030A4">
      <w:pPr>
        <w:keepNext w:val="0"/>
        <w:keepLines w:val="0"/>
        <w:pageBreakBefore w:val="0"/>
        <w:kinsoku/>
        <w:wordWrap/>
        <w:overflowPunct/>
        <w:topLinePunct w:val="0"/>
        <w:autoSpaceDE/>
        <w:autoSpaceDN/>
        <w:bidi w:val="0"/>
        <w:adjustRightInd/>
        <w:spacing w:after="0" w:afterLines="0" w:line="560" w:lineRule="exact"/>
        <w:ind w:right="0"/>
        <w:jc w:val="both"/>
        <w:outlineLvl w:val="9"/>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具体指标见下表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3158DFA6">
      <w:pPr>
        <w:keepNext w:val="0"/>
        <w:keepLines w:val="0"/>
        <w:pageBreakBefore w:val="0"/>
        <w:kinsoku/>
        <w:wordWrap/>
        <w:overflowPunct/>
        <w:topLinePunct w:val="0"/>
        <w:autoSpaceDE/>
        <w:autoSpaceDN/>
        <w:bidi w:val="0"/>
        <w:adjustRightInd/>
        <w:spacing w:after="0" w:afterLines="0" w:line="560" w:lineRule="exact"/>
        <w:ind w:right="0"/>
        <w:jc w:val="both"/>
        <w:outlineLvl w:val="9"/>
        <w:rPr>
          <w:rFonts w:hint="eastAsia" w:ascii="宋体" w:hAnsi="宋体" w:eastAsia="宋体" w:cs="宋体"/>
          <w:b w:val="0"/>
          <w:bCs w:val="0"/>
          <w:sz w:val="24"/>
          <w:szCs w:val="24"/>
          <w:highlight w:val="none"/>
          <w:lang w:val="en-US" w:eastAsia="zh-CN"/>
        </w:rPr>
        <w:sectPr>
          <w:pgSz w:w="11905" w:h="16837"/>
          <w:pgMar w:top="1440" w:right="1800" w:bottom="1440" w:left="1800" w:header="720" w:footer="720" w:gutter="0"/>
          <w:pgNumType w:fmt="decimal"/>
          <w:cols w:space="720" w:num="1"/>
        </w:sect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792"/>
        <w:gridCol w:w="1342"/>
        <w:gridCol w:w="1271"/>
        <w:gridCol w:w="3251"/>
        <w:gridCol w:w="2639"/>
        <w:gridCol w:w="1918"/>
        <w:gridCol w:w="1898"/>
      </w:tblGrid>
      <w:tr w14:paraId="7C72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6A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指标名称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62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C2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二级指标分解</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B9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权重分解</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D4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考核内容</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9D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考核标准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88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考核办法</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B8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计算方法</w:t>
            </w:r>
          </w:p>
        </w:tc>
      </w:tr>
      <w:tr w14:paraId="262B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B41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资格制度要求</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701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25分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FA9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经营手续合法合规性</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BE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5分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60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是否具备运营需要的相应资质</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F2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应具备运营相应的资质，不符合的直接扣5分。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E8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95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1A2F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DD08">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6353">
            <w:pPr>
              <w:jc w:val="center"/>
              <w:rPr>
                <w:rFonts w:hint="eastAsia" w:ascii="宋体" w:hAnsi="宋体" w:eastAsia="宋体" w:cs="宋体"/>
                <w:i w:val="0"/>
                <w:iCs w:val="0"/>
                <w:color w:val="000000"/>
                <w:sz w:val="21"/>
                <w:szCs w:val="21"/>
                <w:highlight w:val="none"/>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2330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制度完善，管理规范</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40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20分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EF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制度建设是否完善，包括部门制度、人员管理、财务管理、安全管理制度、应急机制各方面等（5分）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DA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每缺少一个类别，减1分，最多扣5分。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D5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00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6776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E43C">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9FCA">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FB36">
            <w:pPr>
              <w:jc w:val="center"/>
              <w:rPr>
                <w:rFonts w:hint="eastAsia" w:ascii="宋体" w:hAnsi="宋体" w:eastAsia="宋体" w:cs="宋体"/>
                <w:i w:val="0"/>
                <w:iCs w:val="0"/>
                <w:color w:val="000000"/>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9798">
            <w:pPr>
              <w:jc w:val="center"/>
              <w:rPr>
                <w:rFonts w:hint="eastAsia" w:ascii="宋体" w:hAnsi="宋体" w:eastAsia="宋体" w:cs="宋体"/>
                <w:i w:val="0"/>
                <w:iCs w:val="0"/>
                <w:color w:val="000000"/>
                <w:sz w:val="21"/>
                <w:szCs w:val="21"/>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2F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制度宣贯培训及普及程度，是否做好记录和考核。（5分）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32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每月至少进行1次制度培训及普及，发现缺少一次扣1分。最多扣5分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B0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C7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4792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D53E">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D1C8">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45A6">
            <w:pPr>
              <w:jc w:val="center"/>
              <w:rPr>
                <w:rFonts w:hint="eastAsia" w:ascii="宋体" w:hAnsi="宋体" w:eastAsia="宋体" w:cs="宋体"/>
                <w:i w:val="0"/>
                <w:iCs w:val="0"/>
                <w:color w:val="000000"/>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6E6C">
            <w:pPr>
              <w:jc w:val="center"/>
              <w:rPr>
                <w:rFonts w:hint="eastAsia" w:ascii="宋体" w:hAnsi="宋体" w:eastAsia="宋体" w:cs="宋体"/>
                <w:i w:val="0"/>
                <w:iCs w:val="0"/>
                <w:color w:val="000000"/>
                <w:sz w:val="21"/>
                <w:szCs w:val="21"/>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FFF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污水厂管理细则，岗位责任制度，设备管理制度，化验室管理制度，岗位工作职责和各工艺，工段，设备操作规程设置是否规范，完善。（5分）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98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有一项不符合规定扣1分，最多扣5分。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E0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7B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0CE3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DEF7">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BB96">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5921">
            <w:pPr>
              <w:jc w:val="center"/>
              <w:rPr>
                <w:rFonts w:hint="eastAsia" w:ascii="宋体" w:hAnsi="宋体" w:eastAsia="宋体" w:cs="宋体"/>
                <w:i w:val="0"/>
                <w:iCs w:val="0"/>
                <w:color w:val="000000"/>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9B64">
            <w:pPr>
              <w:jc w:val="center"/>
              <w:rPr>
                <w:rFonts w:hint="eastAsia" w:ascii="宋体" w:hAnsi="宋体" w:eastAsia="宋体" w:cs="宋体"/>
                <w:i w:val="0"/>
                <w:iCs w:val="0"/>
                <w:color w:val="000000"/>
                <w:sz w:val="21"/>
                <w:szCs w:val="21"/>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58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污水处理计量、水质检测报告、设施设备维修维护记录等资料（5分）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A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是否有缺漏，每发现一处，减1分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4D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4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1F48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83" w:type="pct"/>
            <w:vMerge w:val="restart"/>
            <w:tcBorders>
              <w:top w:val="single" w:color="000000" w:sz="4" w:space="0"/>
              <w:left w:val="single" w:color="000000" w:sz="4" w:space="0"/>
              <w:bottom w:val="nil"/>
              <w:right w:val="single" w:color="000000" w:sz="4" w:space="0"/>
            </w:tcBorders>
            <w:shd w:val="clear" w:color="auto" w:fill="auto"/>
            <w:vAlign w:val="center"/>
          </w:tcPr>
          <w:p w14:paraId="302608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设备要求</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A39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10分</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FAD9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设备完善，设施完好</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7F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5分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CE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是否按规定安装自动监控设备，在线监测仪表及其配套设施（5分）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1A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缺失一项扣1分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22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83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6D1A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83" w:type="pct"/>
            <w:vMerge w:val="continue"/>
            <w:tcBorders>
              <w:top w:val="single" w:color="000000" w:sz="4" w:space="0"/>
              <w:left w:val="single" w:color="000000" w:sz="4" w:space="0"/>
              <w:bottom w:val="nil"/>
              <w:right w:val="single" w:color="000000" w:sz="4" w:space="0"/>
            </w:tcBorders>
            <w:shd w:val="clear" w:color="auto" w:fill="auto"/>
            <w:vAlign w:val="center"/>
          </w:tcPr>
          <w:p w14:paraId="4DAB06B3">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46E7">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9D82">
            <w:pPr>
              <w:jc w:val="center"/>
              <w:rPr>
                <w:rFonts w:hint="eastAsia" w:ascii="宋体" w:hAnsi="宋体" w:eastAsia="宋体" w:cs="宋体"/>
                <w:i w:val="0"/>
                <w:iCs w:val="0"/>
                <w:color w:val="000000"/>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02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5分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08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设施设备损坏是否及时维修或更换（5分）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EE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首次发现督促整改，经催告仍不维修的，扣1分，最多扣5分。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3F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EC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32C7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83" w:type="pct"/>
            <w:tcBorders>
              <w:top w:val="single" w:color="000000" w:sz="4" w:space="0"/>
              <w:left w:val="single" w:color="000000" w:sz="4" w:space="0"/>
              <w:bottom w:val="nil"/>
              <w:right w:val="single" w:color="000000" w:sz="4" w:space="0"/>
            </w:tcBorders>
            <w:shd w:val="clear" w:color="auto" w:fill="auto"/>
            <w:noWrap/>
            <w:vAlign w:val="center"/>
          </w:tcPr>
          <w:p w14:paraId="612C40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资金要求</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18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10分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03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资金使用的合规性</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0D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10分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08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项目资金使用是否符合相关的财务管理制度规定，资金是否充分使用在本项目上。通过查看台账，药剂发票，合同等方法。（10分）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14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①不符合国家财经法规和财务管理制度，每次扣1分，最多扣5分。</w:t>
            </w:r>
            <w:r>
              <w:rPr>
                <w:rFonts w:hint="eastAsia" w:ascii="宋体" w:hAnsi="宋体" w:eastAsia="宋体" w:cs="宋体"/>
                <w:i w:val="0"/>
                <w:iCs w:val="0"/>
                <w:snapToGrid/>
                <w:color w:val="000000"/>
                <w:kern w:val="0"/>
                <w:sz w:val="21"/>
                <w:szCs w:val="21"/>
                <w:highlight w:val="none"/>
                <w:u w:val="none"/>
                <w:lang w:val="en-US" w:eastAsia="zh-CN" w:bidi="ar"/>
              </w:rPr>
              <w:br w:type="textWrapping"/>
            </w:r>
            <w:r>
              <w:rPr>
                <w:rFonts w:hint="eastAsia" w:ascii="宋体" w:hAnsi="宋体" w:eastAsia="宋体" w:cs="宋体"/>
                <w:i w:val="0"/>
                <w:iCs w:val="0"/>
                <w:snapToGrid/>
                <w:color w:val="000000"/>
                <w:kern w:val="0"/>
                <w:sz w:val="21"/>
                <w:szCs w:val="21"/>
                <w:highlight w:val="none"/>
                <w:u w:val="none"/>
                <w:lang w:val="en-US" w:eastAsia="zh-CN" w:bidi="ar"/>
              </w:rPr>
              <w:t>②发现存在截留、挤占、挪用、虚列支出等情况，发现一次扣1分，最多扣5分。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A8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8B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1558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83" w:type="pct"/>
            <w:vMerge w:val="restart"/>
            <w:tcBorders>
              <w:top w:val="single" w:color="000000" w:sz="4" w:space="0"/>
              <w:left w:val="single" w:color="000000" w:sz="4" w:space="0"/>
              <w:bottom w:val="nil"/>
              <w:right w:val="single" w:color="000000" w:sz="4" w:space="0"/>
            </w:tcBorders>
            <w:shd w:val="clear" w:color="auto" w:fill="auto"/>
            <w:noWrap/>
            <w:vAlign w:val="center"/>
          </w:tcPr>
          <w:p w14:paraId="52FA94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产出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33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25分</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C14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产出数量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E0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7分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1F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针对本项目完成年度污水处理数量是否达到年度计划完成量进行考核。（7分）</w:t>
            </w:r>
            <w:r>
              <w:rPr>
                <w:rFonts w:hint="eastAsia" w:ascii="宋体" w:hAnsi="宋体" w:eastAsia="宋体" w:cs="宋体"/>
                <w:i w:val="0"/>
                <w:iCs w:val="0"/>
                <w:snapToGrid/>
                <w:color w:val="000000"/>
                <w:kern w:val="0"/>
                <w:sz w:val="21"/>
                <w:szCs w:val="21"/>
                <w:highlight w:val="none"/>
                <w:u w:val="none"/>
                <w:lang w:val="en-US" w:eastAsia="zh-CN" w:bidi="ar"/>
              </w:rPr>
              <w:br w:type="textWrapping"/>
            </w:r>
            <w:r>
              <w:rPr>
                <w:rFonts w:hint="eastAsia" w:ascii="宋体" w:hAnsi="宋体" w:eastAsia="宋体" w:cs="宋体"/>
                <w:i w:val="0"/>
                <w:iCs w:val="0"/>
                <w:snapToGrid/>
                <w:color w:val="000000"/>
                <w:kern w:val="0"/>
                <w:sz w:val="21"/>
                <w:szCs w:val="21"/>
                <w:highlight w:val="none"/>
                <w:u w:val="none"/>
                <w:lang w:val="en-US" w:eastAsia="zh-CN" w:bidi="ar"/>
              </w:rPr>
              <w:t xml:space="preserve"> </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23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至少完成计划量的60%，每减少1%,扣除1分，最多扣7分。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C7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A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污水服务处理量完成率=(实际完成的处理量/计划完成量)×100%</w:t>
            </w:r>
          </w:p>
        </w:tc>
      </w:tr>
      <w:tr w14:paraId="7536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994180B">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7AB6">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F40F">
            <w:pPr>
              <w:jc w:val="center"/>
              <w:rPr>
                <w:rFonts w:hint="eastAsia" w:ascii="宋体" w:hAnsi="宋体" w:eastAsia="宋体" w:cs="宋体"/>
                <w:i w:val="0"/>
                <w:iCs w:val="0"/>
                <w:color w:val="000000"/>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3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8分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74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针对本项目污水服务处理内容完成率是否达到实施方案和采购合同中规定的内容进行考核。污水管理、污泥管理、水质与检测、生产运行管理、信息记录与管理、恶臭气体及环境噪声、安全管理、厂容厂貌等八个方面的水处理服务的完成情况。（8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82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每有一项不符合规定扣1分，最多扣8分。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6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D724">
            <w:pPr>
              <w:jc w:val="center"/>
              <w:rPr>
                <w:rFonts w:hint="eastAsia" w:ascii="宋体" w:hAnsi="宋体" w:eastAsia="宋体" w:cs="宋体"/>
                <w:i w:val="0"/>
                <w:iCs w:val="0"/>
                <w:color w:val="000000"/>
                <w:sz w:val="21"/>
                <w:szCs w:val="21"/>
                <w:highlight w:val="none"/>
                <w:u w:val="none"/>
              </w:rPr>
            </w:pPr>
          </w:p>
        </w:tc>
      </w:tr>
      <w:tr w14:paraId="6C02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D1EC920">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C87F">
            <w:pPr>
              <w:jc w:val="center"/>
              <w:rPr>
                <w:rFonts w:hint="eastAsia" w:ascii="宋体" w:hAnsi="宋体" w:eastAsia="宋体" w:cs="宋体"/>
                <w:i w:val="0"/>
                <w:iCs w:val="0"/>
                <w:color w:val="000000"/>
                <w:sz w:val="21"/>
                <w:szCs w:val="21"/>
                <w:highlight w:val="none"/>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33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产出质量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3D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5分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C4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color w:val="auto"/>
                <w:kern w:val="0"/>
                <w:sz w:val="21"/>
                <w:szCs w:val="21"/>
                <w:highlight w:val="none"/>
                <w:u w:val="none"/>
                <w:lang w:val="en-US" w:eastAsia="zh-CN" w:bidi="ar"/>
              </w:rPr>
              <w:t>污水处理后出水质量是否符合国家及行业相关标准的情况。依据《城镇污水处理厂污染物排放标准》（GB18918-2002）一级A标准执行。（5分）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3E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查阅乙方的检测报告及在线监测数据，每发现一次不合格，扣1分。最多扣5分。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F6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97A3">
            <w:pPr>
              <w:jc w:val="center"/>
              <w:rPr>
                <w:rFonts w:hint="eastAsia" w:ascii="宋体" w:hAnsi="宋体" w:eastAsia="宋体" w:cs="宋体"/>
                <w:i w:val="0"/>
                <w:iCs w:val="0"/>
                <w:color w:val="000000"/>
                <w:sz w:val="21"/>
                <w:szCs w:val="21"/>
                <w:highlight w:val="none"/>
                <w:u w:val="none"/>
              </w:rPr>
            </w:pPr>
          </w:p>
        </w:tc>
      </w:tr>
      <w:tr w14:paraId="73CD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C81ED91">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C26F56">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B4EF">
            <w:pPr>
              <w:jc w:val="center"/>
              <w:rPr>
                <w:rFonts w:hint="eastAsia" w:ascii="宋体" w:hAnsi="宋体" w:eastAsia="宋体" w:cs="宋体"/>
                <w:i w:val="0"/>
                <w:iCs w:val="0"/>
                <w:color w:val="000000"/>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00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5分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E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乙方要做好污泥检测和管理，确保污泥质量符合国家及行业相关标准《城镇污水处理厂污染物排放标准》（GB18918-2002）一级A标准。乙方要做好质量检测报告（5分）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38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查阅乙方的检测报告和记录，发现一次不合格扣1分，扣最多扣5分。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E1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9E2F">
            <w:pPr>
              <w:jc w:val="center"/>
              <w:rPr>
                <w:rFonts w:hint="eastAsia" w:ascii="宋体" w:hAnsi="宋体" w:eastAsia="宋体" w:cs="宋体"/>
                <w:i w:val="0"/>
                <w:iCs w:val="0"/>
                <w:color w:val="000000"/>
                <w:sz w:val="21"/>
                <w:szCs w:val="21"/>
                <w:highlight w:val="none"/>
                <w:u w:val="none"/>
              </w:rPr>
            </w:pPr>
          </w:p>
        </w:tc>
      </w:tr>
      <w:tr w14:paraId="29BE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83" w:type="pct"/>
            <w:vMerge w:val="restart"/>
            <w:tcBorders>
              <w:top w:val="single" w:color="auto" w:sz="4" w:space="0"/>
              <w:left w:val="single" w:color="auto" w:sz="4" w:space="0"/>
              <w:bottom w:val="nil"/>
              <w:right w:val="single" w:color="000000" w:sz="4" w:space="0"/>
            </w:tcBorders>
            <w:shd w:val="clear" w:color="auto" w:fill="auto"/>
            <w:vAlign w:val="center"/>
          </w:tcPr>
          <w:p w14:paraId="6790A8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服务情况</w:t>
            </w:r>
          </w:p>
        </w:tc>
        <w:tc>
          <w:tcPr>
            <w:tcW w:w="292"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3A4D38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30分</w:t>
            </w:r>
          </w:p>
        </w:tc>
        <w:tc>
          <w:tcPr>
            <w:tcW w:w="48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7FD35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服务规范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97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3分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EA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未经批准，擅自排放未经处理的城市污水（3分）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35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发现排放有未经处理的污水，扣3分。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F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B3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24EA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3" w:type="pct"/>
            <w:vMerge w:val="continue"/>
            <w:tcBorders>
              <w:top w:val="nil"/>
              <w:left w:val="single" w:color="auto" w:sz="4" w:space="0"/>
              <w:bottom w:val="nil"/>
              <w:right w:val="single" w:color="000000" w:sz="4" w:space="0"/>
            </w:tcBorders>
            <w:shd w:val="clear" w:color="auto" w:fill="auto"/>
            <w:vAlign w:val="center"/>
          </w:tcPr>
          <w:p w14:paraId="1E3F9F8C">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78DE32A">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D98FAA9">
            <w:pPr>
              <w:jc w:val="center"/>
              <w:rPr>
                <w:rFonts w:hint="eastAsia" w:ascii="宋体" w:hAnsi="宋体" w:eastAsia="宋体" w:cs="宋体"/>
                <w:i w:val="0"/>
                <w:iCs w:val="0"/>
                <w:color w:val="000000"/>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99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3分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03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未经批准擅自停止污水系统运行（3分）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58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未经批准不得停运污水系统，一经发现，扣3分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99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6F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02BC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3" w:type="pct"/>
            <w:vMerge w:val="continue"/>
            <w:tcBorders>
              <w:top w:val="nil"/>
              <w:left w:val="single" w:color="auto" w:sz="4" w:space="0"/>
              <w:bottom w:val="nil"/>
              <w:right w:val="single" w:color="000000" w:sz="4" w:space="0"/>
            </w:tcBorders>
            <w:shd w:val="clear" w:color="auto" w:fill="auto"/>
            <w:vAlign w:val="center"/>
          </w:tcPr>
          <w:p w14:paraId="0A28F459">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17E82C9">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8FEE9B7">
            <w:pPr>
              <w:jc w:val="center"/>
              <w:rPr>
                <w:rFonts w:hint="eastAsia" w:ascii="宋体" w:hAnsi="宋体" w:eastAsia="宋体" w:cs="宋体"/>
                <w:i w:val="0"/>
                <w:iCs w:val="0"/>
                <w:color w:val="000000"/>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A2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2A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是否服从甲方中水调度管理工作（2分）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2E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发现一次不符合要求，经协商决定后，仍不符合要求的，扣1分，最多扣2分。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01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现场考察</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7E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0A2D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3" w:type="pct"/>
            <w:vMerge w:val="continue"/>
            <w:tcBorders>
              <w:top w:val="nil"/>
              <w:left w:val="single" w:color="auto" w:sz="4" w:space="0"/>
              <w:bottom w:val="nil"/>
              <w:right w:val="single" w:color="000000" w:sz="4" w:space="0"/>
            </w:tcBorders>
            <w:shd w:val="clear" w:color="auto" w:fill="auto"/>
            <w:vAlign w:val="center"/>
          </w:tcPr>
          <w:p w14:paraId="0D6A3B23">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5EB1F4C">
            <w:pPr>
              <w:jc w:val="center"/>
              <w:rPr>
                <w:rFonts w:hint="eastAsia" w:ascii="宋体" w:hAnsi="宋体" w:eastAsia="宋体" w:cs="宋体"/>
                <w:i w:val="0"/>
                <w:iCs w:val="0"/>
                <w:color w:val="000000"/>
                <w:sz w:val="21"/>
                <w:szCs w:val="21"/>
                <w:highlight w:val="none"/>
                <w:u w:val="none"/>
              </w:rPr>
            </w:pPr>
          </w:p>
        </w:tc>
        <w:tc>
          <w:tcPr>
            <w:tcW w:w="486" w:type="pct"/>
            <w:tcBorders>
              <w:top w:val="single" w:color="000000" w:sz="4" w:space="0"/>
              <w:left w:val="single" w:color="auto" w:sz="4" w:space="0"/>
              <w:bottom w:val="single" w:color="000000" w:sz="4" w:space="0"/>
              <w:right w:val="single" w:color="000000" w:sz="4" w:space="0"/>
            </w:tcBorders>
            <w:shd w:val="clear" w:color="auto" w:fill="auto"/>
            <w:vAlign w:val="center"/>
          </w:tcPr>
          <w:p w14:paraId="1D5BE9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有无投诉</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23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8D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经查实是否属于有效投诉（2分）</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E6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每发现一处，减0.5分，最多扣2分。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A6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查阅资料</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5B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w:t>
            </w:r>
          </w:p>
        </w:tc>
      </w:tr>
      <w:tr w14:paraId="7213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83" w:type="pct"/>
            <w:vMerge w:val="continue"/>
            <w:tcBorders>
              <w:top w:val="nil"/>
              <w:left w:val="single" w:color="auto" w:sz="4" w:space="0"/>
              <w:bottom w:val="nil"/>
              <w:right w:val="single" w:color="000000" w:sz="4" w:space="0"/>
            </w:tcBorders>
            <w:shd w:val="clear" w:color="auto" w:fill="auto"/>
            <w:vAlign w:val="center"/>
          </w:tcPr>
          <w:p w14:paraId="7C4A6B36">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06A1EBD">
            <w:pPr>
              <w:jc w:val="center"/>
              <w:rPr>
                <w:rFonts w:hint="eastAsia" w:ascii="宋体" w:hAnsi="宋体" w:eastAsia="宋体" w:cs="宋体"/>
                <w:i w:val="0"/>
                <w:iCs w:val="0"/>
                <w:color w:val="000000"/>
                <w:sz w:val="21"/>
                <w:szCs w:val="21"/>
                <w:highlight w:val="none"/>
                <w:u w:val="none"/>
              </w:rPr>
            </w:pPr>
          </w:p>
        </w:tc>
        <w:tc>
          <w:tcPr>
            <w:tcW w:w="48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6F246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满意度</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66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20分</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A8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采购主体满意度：由采购主体根据日常考核对乙方提供的服务作出评价，满意度标准为80%；（15分）</w:t>
            </w:r>
          </w:p>
        </w:tc>
        <w:tc>
          <w:tcPr>
            <w:tcW w:w="9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897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满意度每降低1%，减1分，最多扣20分。</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AE33">
            <w:pPr>
              <w:keepNext w:val="0"/>
              <w:keepLines w:val="0"/>
              <w:widowControl/>
              <w:suppressLineNumbers w:val="0"/>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r>
              <w:rPr>
                <w:rFonts w:hint="eastAsia" w:ascii="宋体" w:hAnsi="宋体" w:eastAsia="宋体" w:cs="宋体"/>
                <w:i w:val="0"/>
                <w:iCs w:val="0"/>
                <w:snapToGrid/>
                <w:color w:val="000000"/>
                <w:kern w:val="0"/>
                <w:sz w:val="21"/>
                <w:szCs w:val="21"/>
                <w:highlight w:val="none"/>
                <w:u w:val="none"/>
                <w:lang w:val="en-US" w:eastAsia="zh-CN" w:bidi="ar"/>
              </w:rPr>
              <w:t>查阅资料</w:t>
            </w:r>
          </w:p>
          <w:p w14:paraId="5B0B2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问卷调查</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F20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满意度=各调查问卷的平均值</w:t>
            </w:r>
          </w:p>
        </w:tc>
      </w:tr>
      <w:tr w14:paraId="082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83" w:type="pct"/>
            <w:vMerge w:val="continue"/>
            <w:tcBorders>
              <w:top w:val="nil"/>
              <w:left w:val="single" w:color="auto" w:sz="4" w:space="0"/>
              <w:bottom w:val="nil"/>
              <w:right w:val="single" w:color="000000" w:sz="4" w:space="0"/>
            </w:tcBorders>
            <w:shd w:val="clear" w:color="auto" w:fill="auto"/>
            <w:vAlign w:val="center"/>
          </w:tcPr>
          <w:p w14:paraId="4533C743">
            <w:pPr>
              <w:jc w:val="center"/>
              <w:rPr>
                <w:rFonts w:hint="eastAsia" w:ascii="宋体" w:hAnsi="宋体" w:eastAsia="宋体" w:cs="宋体"/>
                <w:i w:val="0"/>
                <w:iCs w:val="0"/>
                <w:color w:val="000000"/>
                <w:sz w:val="21"/>
                <w:szCs w:val="21"/>
                <w:highlight w:val="none"/>
                <w:u w:val="none"/>
              </w:rPr>
            </w:pPr>
          </w:p>
        </w:tc>
        <w:tc>
          <w:tcPr>
            <w:tcW w:w="292"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F57EC70">
            <w:pPr>
              <w:jc w:val="center"/>
              <w:rPr>
                <w:rFonts w:hint="eastAsia" w:ascii="宋体" w:hAnsi="宋体" w:eastAsia="宋体" w:cs="宋体"/>
                <w:i w:val="0"/>
                <w:iCs w:val="0"/>
                <w:color w:val="000000"/>
                <w:sz w:val="21"/>
                <w:szCs w:val="21"/>
                <w:highlight w:val="none"/>
                <w:u w:val="none"/>
              </w:rPr>
            </w:pPr>
          </w:p>
        </w:tc>
        <w:tc>
          <w:tcPr>
            <w:tcW w:w="48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7F42563">
            <w:pPr>
              <w:jc w:val="center"/>
              <w:rPr>
                <w:rFonts w:hint="eastAsia" w:ascii="宋体" w:hAnsi="宋体" w:eastAsia="宋体" w:cs="宋体"/>
                <w:i w:val="0"/>
                <w:iCs w:val="0"/>
                <w:color w:val="000000"/>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A728">
            <w:pPr>
              <w:jc w:val="center"/>
              <w:rPr>
                <w:rFonts w:hint="eastAsia" w:ascii="宋体" w:hAnsi="宋体" w:eastAsia="宋体" w:cs="宋体"/>
                <w:i w:val="0"/>
                <w:iCs w:val="0"/>
                <w:color w:val="000000"/>
                <w:sz w:val="21"/>
                <w:szCs w:val="21"/>
                <w:highlight w:val="none"/>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53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color w:val="000000"/>
                <w:kern w:val="0"/>
                <w:sz w:val="21"/>
                <w:szCs w:val="21"/>
                <w:highlight w:val="none"/>
                <w:u w:val="none"/>
                <w:lang w:val="en-US" w:eastAsia="zh-CN" w:bidi="ar"/>
              </w:rPr>
              <w:t>社会主体满意度：群众作出评价，满意度标准为70%（5分）</w:t>
            </w:r>
          </w:p>
        </w:tc>
        <w:tc>
          <w:tcPr>
            <w:tcW w:w="9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7080">
            <w:pPr>
              <w:jc w:val="center"/>
              <w:rPr>
                <w:rFonts w:hint="eastAsia" w:ascii="宋体" w:hAnsi="宋体" w:eastAsia="宋体" w:cs="宋体"/>
                <w:i w:val="0"/>
                <w:iCs w:val="0"/>
                <w:color w:val="000000"/>
                <w:sz w:val="21"/>
                <w:szCs w:val="21"/>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FA54">
            <w:pPr>
              <w:jc w:val="center"/>
              <w:rPr>
                <w:rFonts w:hint="eastAsia" w:ascii="宋体" w:hAnsi="宋体" w:eastAsia="宋体" w:cs="宋体"/>
                <w:i w:val="0"/>
                <w:iCs w:val="0"/>
                <w:color w:val="000000"/>
                <w:sz w:val="21"/>
                <w:szCs w:val="21"/>
                <w:highlight w:val="none"/>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71A1">
            <w:pPr>
              <w:jc w:val="center"/>
              <w:rPr>
                <w:rFonts w:hint="eastAsia" w:ascii="宋体" w:hAnsi="宋体" w:eastAsia="宋体" w:cs="宋体"/>
                <w:i w:val="0"/>
                <w:iCs w:val="0"/>
                <w:color w:val="000000"/>
                <w:sz w:val="21"/>
                <w:szCs w:val="21"/>
                <w:highlight w:val="none"/>
                <w:u w:val="none"/>
              </w:rPr>
            </w:pPr>
          </w:p>
        </w:tc>
      </w:tr>
    </w:tbl>
    <w:p w14:paraId="39E84D30">
      <w:pPr>
        <w:pStyle w:val="2"/>
        <w:rPr>
          <w:rFonts w:hint="eastAsia"/>
          <w:highlight w:val="none"/>
          <w:lang w:val="en-US" w:eastAsia="zh-CN"/>
        </w:rPr>
        <w:sectPr>
          <w:pgSz w:w="16837" w:h="11905" w:orient="landscape"/>
          <w:pgMar w:top="1800" w:right="1440" w:bottom="1800" w:left="1440" w:header="720" w:footer="720" w:gutter="0"/>
          <w:pgNumType w:fmt="decimal"/>
          <w:cols w:space="720" w:num="1"/>
        </w:sectPr>
      </w:pPr>
    </w:p>
    <w:p w14:paraId="111D908D">
      <w:pPr>
        <w:rPr>
          <w:rFonts w:hint="eastAsia" w:ascii="宋体" w:hAnsi="宋体" w:eastAsia="宋体" w:cs="宋体"/>
          <w:b w:val="0"/>
          <w:bCs w:val="0"/>
          <w:sz w:val="24"/>
          <w:szCs w:val="24"/>
          <w:highlight w:val="none"/>
        </w:rPr>
      </w:pPr>
      <w:bookmarkStart w:id="31" w:name="_Toc28500"/>
      <w:bookmarkStart w:id="32" w:name="_Toc32715"/>
      <w:bookmarkStart w:id="33" w:name="_Toc9865"/>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.3 绩效评价周期</w:t>
      </w:r>
      <w:bookmarkEnd w:id="31"/>
      <w:bookmarkEnd w:id="32"/>
      <w:bookmarkEnd w:id="33"/>
    </w:p>
    <w:p w14:paraId="5678DAE0">
      <w:pPr>
        <w:pStyle w:val="4"/>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本项目服务期内</w:t>
      </w:r>
      <w:r>
        <w:rPr>
          <w:rFonts w:hint="eastAsia" w:ascii="宋体" w:hAnsi="宋体" w:eastAsia="宋体" w:cs="宋体"/>
          <w:b w:val="0"/>
          <w:bCs w:val="0"/>
          <w:sz w:val="24"/>
          <w:szCs w:val="24"/>
          <w:highlight w:val="none"/>
        </w:rPr>
        <w:t>，绩效考核主体对</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运营管理的服务质量进行考核。绩效评价实行定期考核与</w:t>
      </w:r>
      <w:r>
        <w:rPr>
          <w:rFonts w:hint="eastAsia" w:ascii="宋体" w:hAnsi="宋体" w:eastAsia="宋体" w:cs="宋体"/>
          <w:b w:val="0"/>
          <w:bCs w:val="0"/>
          <w:sz w:val="24"/>
          <w:szCs w:val="24"/>
          <w:highlight w:val="none"/>
          <w:lang w:val="en-US" w:eastAsia="zh-CN"/>
        </w:rPr>
        <w:t>月度</w:t>
      </w:r>
      <w:r>
        <w:rPr>
          <w:rFonts w:hint="eastAsia" w:ascii="宋体" w:hAnsi="宋体" w:eastAsia="宋体" w:cs="宋体"/>
          <w:b w:val="0"/>
          <w:bCs w:val="0"/>
          <w:sz w:val="24"/>
          <w:szCs w:val="24"/>
          <w:highlight w:val="none"/>
        </w:rPr>
        <w:t>考核相结合。</w:t>
      </w:r>
    </w:p>
    <w:p w14:paraId="766A25E0">
      <w:pPr>
        <w:pStyle w:val="4"/>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right="0" w:firstLine="480" w:firstLineChars="200"/>
        <w:jc w:val="both"/>
        <w:outlineLvl w:val="9"/>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sz w:val="24"/>
          <w:szCs w:val="24"/>
          <w:highlight w:val="none"/>
        </w:rPr>
        <w:t>定期考核为年度考核，自服务期起每年年末进行一次定期考评，由</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对项目实施情况进行全面考核。</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牵头组织财政部门和第三方机构依据合同约定的绩效评价指标进行考核。</w:t>
      </w:r>
    </w:p>
    <w:p w14:paraId="576CC72C">
      <w:pPr>
        <w:pStyle w:val="4"/>
        <w:keepNext w:val="0"/>
        <w:keepLines w:val="0"/>
        <w:pageBreakBefore w:val="0"/>
        <w:kinsoku/>
        <w:wordWrap/>
        <w:overflowPunct/>
        <w:topLinePunct w:val="0"/>
        <w:autoSpaceDE/>
        <w:autoSpaceDN/>
        <w:bidi w:val="0"/>
        <w:adjustRightInd/>
        <w:spacing w:beforeAutospacing="0" w:after="0" w:afterLines="0" w:afterAutospacing="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度考核为</w:t>
      </w:r>
      <w:r>
        <w:rPr>
          <w:rFonts w:hint="eastAsia" w:ascii="宋体" w:hAnsi="宋体" w:eastAsia="宋体" w:cs="宋体"/>
          <w:b w:val="0"/>
          <w:bCs w:val="0"/>
          <w:sz w:val="24"/>
          <w:szCs w:val="24"/>
          <w:highlight w:val="none"/>
          <w:lang w:eastAsia="zh-CN"/>
        </w:rPr>
        <w:t>采购单位</w:t>
      </w:r>
      <w:r>
        <w:rPr>
          <w:rFonts w:hint="eastAsia" w:ascii="宋体" w:hAnsi="宋体" w:eastAsia="宋体" w:cs="宋体"/>
          <w:b w:val="0"/>
          <w:bCs w:val="0"/>
          <w:sz w:val="24"/>
          <w:szCs w:val="24"/>
          <w:highlight w:val="none"/>
        </w:rPr>
        <w:t>对</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关于提供服务及履约情况的检查，每</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进行一次，</w:t>
      </w:r>
      <w:r>
        <w:rPr>
          <w:rFonts w:hint="eastAsia" w:ascii="宋体" w:hAnsi="宋体" w:eastAsia="宋体" w:cs="宋体"/>
          <w:b w:val="0"/>
          <w:bCs w:val="0"/>
          <w:color w:val="000000" w:themeColor="text1"/>
          <w:kern w:val="2"/>
          <w:sz w:val="24"/>
          <w:szCs w:val="24"/>
          <w:highlight w:val="none"/>
          <w14:textFill>
            <w14:solidFill>
              <w14:schemeClr w14:val="tx1"/>
            </w14:solidFill>
          </w14:textFill>
        </w:rPr>
        <w:t>成果鉴定按等级考评</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val="0"/>
          <w:sz w:val="24"/>
          <w:szCs w:val="24"/>
          <w:highlight w:val="none"/>
        </w:rPr>
        <w:t>结果可作为年度绩效考核的参考</w:t>
      </w:r>
      <w:r>
        <w:rPr>
          <w:rFonts w:hint="eastAsia" w:ascii="宋体" w:hAnsi="宋体" w:eastAsia="宋体" w:cs="宋体"/>
          <w:b w:val="0"/>
          <w:bCs w:val="0"/>
          <w:color w:val="000000" w:themeColor="text1"/>
          <w:kern w:val="2"/>
          <w:sz w:val="24"/>
          <w:szCs w:val="24"/>
          <w:highlight w:val="none"/>
          <w14:textFill>
            <w14:solidFill>
              <w14:schemeClr w14:val="tx1"/>
            </w14:solidFill>
          </w14:textFill>
        </w:rPr>
        <w:t>。</w:t>
      </w:r>
    </w:p>
    <w:p w14:paraId="236544C6">
      <w:pPr>
        <w:keepNext w:val="0"/>
        <w:keepLines w:val="0"/>
        <w:pageBreakBefore w:val="0"/>
        <w:numPr>
          <w:ilvl w:val="1"/>
          <w:numId w:val="0"/>
        </w:numPr>
        <w:tabs>
          <w:tab w:val="left" w:pos="0"/>
        </w:tabs>
        <w:kinsoku/>
        <w:wordWrap/>
        <w:overflowPunct/>
        <w:topLinePunct w:val="0"/>
        <w:autoSpaceDE/>
        <w:autoSpaceDN/>
        <w:bidi w:val="0"/>
        <w:adjustRightInd/>
        <w:spacing w:before="0" w:after="0" w:line="560" w:lineRule="exact"/>
        <w:ind w:left="0" w:leftChars="0" w:right="0" w:firstLine="480" w:firstLineChars="200"/>
        <w:jc w:val="both"/>
        <w:outlineLvl w:val="1"/>
        <w:rPr>
          <w:rFonts w:hint="eastAsia" w:ascii="宋体" w:hAnsi="宋体" w:eastAsia="宋体" w:cs="宋体"/>
          <w:b w:val="0"/>
          <w:bCs w:val="0"/>
          <w:sz w:val="24"/>
          <w:szCs w:val="24"/>
          <w:highlight w:val="none"/>
        </w:rPr>
      </w:pPr>
      <w:bookmarkStart w:id="34" w:name="_Toc168"/>
      <w:bookmarkStart w:id="35" w:name="_Toc902"/>
      <w:bookmarkStart w:id="36" w:name="_Toc17544"/>
      <w:bookmarkStart w:id="37" w:name="_Toc97562411"/>
      <w:bookmarkStart w:id="38" w:name="_Toc13191"/>
      <w:bookmarkStart w:id="39" w:name="_Toc16197"/>
      <w:bookmarkStart w:id="40" w:name="_Toc6066"/>
      <w:bookmarkStart w:id="41" w:name="_Toc9534"/>
      <w:bookmarkStart w:id="42" w:name="_Toc24433"/>
      <w:bookmarkStart w:id="43" w:name="_Toc3706"/>
      <w:bookmarkStart w:id="44" w:name="_Toc515737426"/>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.4 绩效评价结果的计算及等级</w:t>
      </w:r>
      <w:bookmarkEnd w:id="34"/>
      <w:bookmarkEnd w:id="35"/>
      <w:bookmarkEnd w:id="36"/>
      <w:bookmarkEnd w:id="37"/>
      <w:bookmarkEnd w:id="38"/>
      <w:bookmarkEnd w:id="39"/>
      <w:bookmarkEnd w:id="40"/>
      <w:bookmarkEnd w:id="41"/>
      <w:bookmarkEnd w:id="42"/>
      <w:bookmarkEnd w:id="43"/>
      <w:bookmarkEnd w:id="44"/>
    </w:p>
    <w:p w14:paraId="7A4E39E8">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本项目采用对绩效结果进行打分评级的方法确定结果。</w:t>
      </w:r>
    </w:p>
    <w:p w14:paraId="4618650C">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上述绩效考核表中的内容满分为100分，考核得分等于各单项考核内容实际得分总和。</w:t>
      </w:r>
    </w:p>
    <w:p w14:paraId="31E32C27">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本项目绩效评价结果共分为优秀、良好、合格、基本合格、不合格5个等级，对应分值如下表：</w:t>
      </w:r>
    </w:p>
    <w:p w14:paraId="71D57C99">
      <w:pPr>
        <w:pStyle w:val="3"/>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绩效等级表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505D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0" w:type="dxa"/>
            <w:vAlign w:val="center"/>
          </w:tcPr>
          <w:p w14:paraId="730258E4">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等级</w:t>
            </w:r>
          </w:p>
        </w:tc>
        <w:tc>
          <w:tcPr>
            <w:tcW w:w="1420" w:type="dxa"/>
            <w:vAlign w:val="center"/>
          </w:tcPr>
          <w:p w14:paraId="170083D3">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优秀</w:t>
            </w:r>
          </w:p>
        </w:tc>
        <w:tc>
          <w:tcPr>
            <w:tcW w:w="1420" w:type="dxa"/>
            <w:vAlign w:val="center"/>
          </w:tcPr>
          <w:p w14:paraId="42BCBACF">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良好</w:t>
            </w:r>
          </w:p>
        </w:tc>
        <w:tc>
          <w:tcPr>
            <w:tcW w:w="1420" w:type="dxa"/>
            <w:vAlign w:val="center"/>
          </w:tcPr>
          <w:p w14:paraId="6EB4E76C">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合格</w:t>
            </w:r>
          </w:p>
        </w:tc>
        <w:tc>
          <w:tcPr>
            <w:tcW w:w="1421" w:type="dxa"/>
            <w:vAlign w:val="center"/>
          </w:tcPr>
          <w:p w14:paraId="023C7B14">
            <w:pPr>
              <w:keepNext w:val="0"/>
              <w:keepLines w:val="0"/>
              <w:pageBreakBefore w:val="0"/>
              <w:kinsoku/>
              <w:wordWrap/>
              <w:overflowPunct/>
              <w:topLinePunct w:val="0"/>
              <w:autoSpaceDE/>
              <w:autoSpaceDN/>
              <w:bidi w:val="0"/>
              <w:adjustRightInd/>
              <w:spacing w:after="0" w:afterLines="0" w:line="560" w:lineRule="exact"/>
              <w:ind w:right="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基本合格</w:t>
            </w:r>
          </w:p>
        </w:tc>
        <w:tc>
          <w:tcPr>
            <w:tcW w:w="1421" w:type="dxa"/>
            <w:vAlign w:val="center"/>
          </w:tcPr>
          <w:p w14:paraId="0B3ECE47">
            <w:pPr>
              <w:keepNext w:val="0"/>
              <w:keepLines w:val="0"/>
              <w:pageBreakBefore w:val="0"/>
              <w:kinsoku/>
              <w:wordWrap/>
              <w:overflowPunct/>
              <w:topLinePunct w:val="0"/>
              <w:autoSpaceDE/>
              <w:autoSpaceDN/>
              <w:bidi w:val="0"/>
              <w:adjustRightInd/>
              <w:spacing w:after="0" w:afterLines="0" w:line="560" w:lineRule="exact"/>
              <w:ind w:right="0" w:firstLine="240" w:firstLineChars="1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不合格</w:t>
            </w:r>
          </w:p>
        </w:tc>
      </w:tr>
      <w:tr w14:paraId="795F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20" w:type="dxa"/>
            <w:vAlign w:val="center"/>
          </w:tcPr>
          <w:p w14:paraId="584CF395">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分值</w:t>
            </w:r>
          </w:p>
        </w:tc>
        <w:tc>
          <w:tcPr>
            <w:tcW w:w="1420" w:type="dxa"/>
            <w:vAlign w:val="center"/>
          </w:tcPr>
          <w:p w14:paraId="2108F7E4">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≥90</w:t>
            </w:r>
          </w:p>
        </w:tc>
        <w:tc>
          <w:tcPr>
            <w:tcW w:w="1420" w:type="dxa"/>
            <w:vAlign w:val="center"/>
          </w:tcPr>
          <w:p w14:paraId="389E3D33">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80-89</w:t>
            </w:r>
          </w:p>
        </w:tc>
        <w:tc>
          <w:tcPr>
            <w:tcW w:w="1420" w:type="dxa"/>
            <w:vAlign w:val="center"/>
          </w:tcPr>
          <w:p w14:paraId="2163DF98">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70-79</w:t>
            </w:r>
          </w:p>
        </w:tc>
        <w:tc>
          <w:tcPr>
            <w:tcW w:w="1421" w:type="dxa"/>
            <w:vAlign w:val="center"/>
          </w:tcPr>
          <w:p w14:paraId="0D6EDA5A">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60-69</w:t>
            </w:r>
          </w:p>
        </w:tc>
        <w:tc>
          <w:tcPr>
            <w:tcW w:w="1421" w:type="dxa"/>
            <w:vAlign w:val="center"/>
          </w:tcPr>
          <w:p w14:paraId="670E9039">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＜60</w:t>
            </w:r>
          </w:p>
        </w:tc>
      </w:tr>
    </w:tbl>
    <w:p w14:paraId="557B1B5D">
      <w:pPr>
        <w:keepNext w:val="0"/>
        <w:keepLines w:val="0"/>
        <w:pageBreakBefore w:val="0"/>
        <w:numPr>
          <w:ilvl w:val="1"/>
          <w:numId w:val="0"/>
        </w:numPr>
        <w:tabs>
          <w:tab w:val="left" w:pos="0"/>
        </w:tabs>
        <w:kinsoku/>
        <w:wordWrap/>
        <w:overflowPunct/>
        <w:topLinePunct w:val="0"/>
        <w:autoSpaceDE/>
        <w:autoSpaceDN/>
        <w:bidi w:val="0"/>
        <w:adjustRightInd/>
        <w:spacing w:before="0" w:after="0" w:line="560" w:lineRule="exact"/>
        <w:ind w:left="0" w:leftChars="0" w:right="0" w:firstLine="480" w:firstLineChars="200"/>
        <w:jc w:val="both"/>
        <w:outlineLvl w:val="1"/>
        <w:rPr>
          <w:rFonts w:hint="eastAsia" w:ascii="宋体" w:hAnsi="宋体" w:eastAsia="宋体" w:cs="宋体"/>
          <w:b w:val="0"/>
          <w:bCs w:val="0"/>
          <w:sz w:val="24"/>
          <w:szCs w:val="24"/>
          <w:highlight w:val="none"/>
        </w:rPr>
      </w:pPr>
      <w:bookmarkStart w:id="45" w:name="_Toc27740"/>
      <w:bookmarkStart w:id="46" w:name="_Toc2843"/>
      <w:bookmarkStart w:id="47" w:name="_Toc11528"/>
      <w:bookmarkStart w:id="48" w:name="_Toc16885"/>
      <w:bookmarkStart w:id="49" w:name="_Toc3748"/>
      <w:bookmarkStart w:id="50" w:name="_Toc97562412"/>
      <w:bookmarkStart w:id="51" w:name="_Toc823"/>
      <w:bookmarkStart w:id="52" w:name="_Toc23420"/>
      <w:bookmarkStart w:id="53" w:name="_Toc515737427"/>
      <w:bookmarkStart w:id="54" w:name="_Toc6520"/>
      <w:bookmarkStart w:id="55" w:name="_Toc29836"/>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.5 绩效费用的支付</w:t>
      </w:r>
      <w:bookmarkEnd w:id="45"/>
      <w:bookmarkEnd w:id="46"/>
      <w:bookmarkEnd w:id="47"/>
      <w:bookmarkEnd w:id="48"/>
      <w:bookmarkEnd w:id="49"/>
      <w:bookmarkEnd w:id="50"/>
      <w:bookmarkEnd w:id="51"/>
      <w:bookmarkEnd w:id="52"/>
      <w:bookmarkEnd w:id="53"/>
      <w:bookmarkEnd w:id="54"/>
      <w:bookmarkEnd w:id="55"/>
    </w:p>
    <w:p w14:paraId="5253FA8B">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鄂尔多斯市东胜区市政事业服务中心按照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其日常</w:t>
      </w:r>
      <w:r>
        <w:rPr>
          <w:rFonts w:hint="eastAsia" w:ascii="宋体" w:hAnsi="宋体" w:eastAsia="宋体" w:cs="宋体"/>
          <w:b w:val="0"/>
          <w:bCs w:val="0"/>
          <w:color w:val="000000" w:themeColor="text1"/>
          <w:sz w:val="24"/>
          <w:szCs w:val="24"/>
          <w:highlight w:val="none"/>
          <w14:textFill>
            <w14:solidFill>
              <w14:schemeClr w14:val="tx1"/>
            </w14:solidFill>
          </w14:textFill>
        </w:rPr>
        <w:t>绩效评价结果</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与年度绩效考核综合考评，</w:t>
      </w:r>
      <w:r>
        <w:rPr>
          <w:rFonts w:hint="eastAsia" w:ascii="宋体" w:hAnsi="宋体" w:eastAsia="宋体" w:cs="宋体"/>
          <w:b w:val="0"/>
          <w:bCs w:val="0"/>
          <w:color w:val="000000" w:themeColor="text1"/>
          <w:sz w:val="24"/>
          <w:szCs w:val="24"/>
          <w:highlight w:val="none"/>
          <w14:textFill>
            <w14:solidFill>
              <w14:schemeClr w14:val="tx1"/>
            </w14:solidFill>
          </w14:textFill>
        </w:rPr>
        <w:t>支付</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绩效费用。月度</w:t>
      </w:r>
      <w:r>
        <w:rPr>
          <w:rFonts w:hint="eastAsia" w:ascii="宋体" w:hAnsi="宋体" w:eastAsia="宋体" w:cs="宋体"/>
          <w:b w:val="0"/>
          <w:bCs w:val="0"/>
          <w:color w:val="000000" w:themeColor="text1"/>
          <w:sz w:val="24"/>
          <w:szCs w:val="24"/>
          <w:highlight w:val="none"/>
          <w14:textFill>
            <w14:solidFill>
              <w14:schemeClr w14:val="tx1"/>
            </w14:solidFill>
          </w14:textFill>
        </w:rPr>
        <w:t>服务费用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97</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的部分</w:t>
      </w:r>
      <w:r>
        <w:rPr>
          <w:rFonts w:hint="eastAsia" w:ascii="宋体" w:hAnsi="宋体" w:eastAsia="宋体" w:cs="宋体"/>
          <w:b w:val="0"/>
          <w:bCs w:val="0"/>
          <w:color w:val="000000" w:themeColor="text1"/>
          <w:sz w:val="24"/>
          <w:szCs w:val="24"/>
          <w:highlight w:val="none"/>
          <w14:textFill>
            <w14:solidFill>
              <w14:schemeClr w14:val="tx1"/>
            </w14:solidFill>
          </w14:textFill>
        </w:rPr>
        <w:t>直接支付，</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剩余3</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的部分，</w:t>
      </w:r>
      <w:r>
        <w:rPr>
          <w:rFonts w:hint="eastAsia" w:ascii="宋体" w:hAnsi="宋体" w:eastAsia="宋体" w:cs="宋体"/>
          <w:b w:val="0"/>
          <w:bCs w:val="0"/>
          <w:color w:val="000000" w:themeColor="text1"/>
          <w:sz w:val="24"/>
          <w:szCs w:val="24"/>
          <w:highlight w:val="none"/>
          <w14:textFill>
            <w14:solidFill>
              <w14:schemeClr w14:val="tx1"/>
            </w14:solidFill>
          </w14:textFill>
        </w:rPr>
        <w:t>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实施单位的年度</w:t>
      </w:r>
      <w:r>
        <w:rPr>
          <w:rFonts w:hint="eastAsia" w:ascii="宋体" w:hAnsi="宋体" w:eastAsia="宋体" w:cs="宋体"/>
          <w:b w:val="0"/>
          <w:bCs w:val="0"/>
          <w:color w:val="000000" w:themeColor="text1"/>
          <w:sz w:val="24"/>
          <w:szCs w:val="24"/>
          <w:highlight w:val="none"/>
          <w14:textFill>
            <w14:solidFill>
              <w14:schemeClr w14:val="tx1"/>
            </w14:solidFill>
          </w14:textFill>
        </w:rPr>
        <w:t>绩效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评价</w:t>
      </w:r>
      <w:r>
        <w:rPr>
          <w:rFonts w:hint="eastAsia" w:ascii="宋体" w:hAnsi="宋体" w:eastAsia="宋体" w:cs="宋体"/>
          <w:b w:val="0"/>
          <w:bCs w:val="0"/>
          <w:color w:val="000000" w:themeColor="text1"/>
          <w:sz w:val="24"/>
          <w:szCs w:val="24"/>
          <w:highlight w:val="none"/>
          <w14:textFill>
            <w14:solidFill>
              <w14:schemeClr w14:val="tx1"/>
            </w14:solidFill>
          </w14:textFill>
        </w:rPr>
        <w:t>挂钩，按照绩效考核结果</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支付</w:t>
      </w:r>
      <w:r>
        <w:rPr>
          <w:rFonts w:hint="eastAsia" w:ascii="宋体" w:hAnsi="宋体" w:eastAsia="宋体" w:cs="宋体"/>
          <w:b w:val="0"/>
          <w:bCs w:val="0"/>
          <w:color w:val="000000" w:themeColor="text1"/>
          <w:sz w:val="24"/>
          <w:szCs w:val="24"/>
          <w:highlight w:val="none"/>
          <w14:textFill>
            <w14:solidFill>
              <w14:schemeClr w14:val="tx1"/>
            </w14:solidFill>
          </w14:textFill>
        </w:rPr>
        <w:t>。支付公式为：</w:t>
      </w:r>
    </w:p>
    <w:p w14:paraId="243ADCB9">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支付费用=N×(1-X)×R</w:t>
      </w:r>
    </w:p>
    <w:p w14:paraId="47C094F8">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N:当期应支付</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服务费用总额</w:t>
      </w:r>
    </w:p>
    <w:p w14:paraId="44898C08">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X:直接支付的比例</w:t>
      </w:r>
    </w:p>
    <w:p w14:paraId="34EF67E2">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R:绩效支付比例</w:t>
      </w:r>
    </w:p>
    <w:p w14:paraId="7350C7E9">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绩效等级的支付比例如下表：</w:t>
      </w:r>
    </w:p>
    <w:p w14:paraId="65D52671">
      <w:pPr>
        <w:pStyle w:val="3"/>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费用支付对应表</w:t>
      </w:r>
      <w:bookmarkStart w:id="56" w:name="_Toc14557"/>
      <w:bookmarkStart w:id="57" w:name="_Toc23089"/>
      <w:bookmarkStart w:id="58" w:name="_Toc10678"/>
      <w:bookmarkStart w:id="59" w:name="_Toc14833"/>
      <w:bookmarkStart w:id="60" w:name="_Toc515737428"/>
      <w:bookmarkStart w:id="61" w:name="_Toc1714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C8F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0" w:type="dxa"/>
            <w:vAlign w:val="center"/>
          </w:tcPr>
          <w:p w14:paraId="0E5BDDD7">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等级</w:t>
            </w:r>
          </w:p>
        </w:tc>
        <w:tc>
          <w:tcPr>
            <w:tcW w:w="1420" w:type="dxa"/>
            <w:vAlign w:val="center"/>
          </w:tcPr>
          <w:p w14:paraId="0C35DCAB">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优秀</w:t>
            </w:r>
          </w:p>
        </w:tc>
        <w:tc>
          <w:tcPr>
            <w:tcW w:w="1420" w:type="dxa"/>
            <w:vAlign w:val="center"/>
          </w:tcPr>
          <w:p w14:paraId="4BB8FA5E">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良好</w:t>
            </w:r>
          </w:p>
        </w:tc>
        <w:tc>
          <w:tcPr>
            <w:tcW w:w="1420" w:type="dxa"/>
            <w:vAlign w:val="center"/>
          </w:tcPr>
          <w:p w14:paraId="41C4F9D9">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合格</w:t>
            </w:r>
          </w:p>
        </w:tc>
        <w:tc>
          <w:tcPr>
            <w:tcW w:w="1421" w:type="dxa"/>
            <w:vAlign w:val="center"/>
          </w:tcPr>
          <w:p w14:paraId="271DFD35">
            <w:pPr>
              <w:keepNext w:val="0"/>
              <w:keepLines w:val="0"/>
              <w:pageBreakBefore w:val="0"/>
              <w:kinsoku/>
              <w:wordWrap/>
              <w:overflowPunct/>
              <w:topLinePunct w:val="0"/>
              <w:autoSpaceDE/>
              <w:autoSpaceDN/>
              <w:bidi w:val="0"/>
              <w:adjustRightInd/>
              <w:spacing w:after="0" w:afterLines="0" w:line="560" w:lineRule="exact"/>
              <w:ind w:right="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基本合格</w:t>
            </w:r>
          </w:p>
        </w:tc>
        <w:tc>
          <w:tcPr>
            <w:tcW w:w="1421" w:type="dxa"/>
            <w:vAlign w:val="center"/>
          </w:tcPr>
          <w:p w14:paraId="22B515D7">
            <w:pPr>
              <w:keepNext w:val="0"/>
              <w:keepLines w:val="0"/>
              <w:pageBreakBefore w:val="0"/>
              <w:kinsoku/>
              <w:wordWrap/>
              <w:overflowPunct/>
              <w:topLinePunct w:val="0"/>
              <w:autoSpaceDE/>
              <w:autoSpaceDN/>
              <w:bidi w:val="0"/>
              <w:adjustRightInd/>
              <w:spacing w:after="0" w:afterLines="0" w:line="560" w:lineRule="exact"/>
              <w:ind w:right="0" w:firstLine="240" w:firstLineChars="1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不合格</w:t>
            </w:r>
          </w:p>
        </w:tc>
      </w:tr>
      <w:tr w14:paraId="1737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20" w:type="dxa"/>
            <w:vAlign w:val="center"/>
          </w:tcPr>
          <w:p w14:paraId="02647280">
            <w:pPr>
              <w:keepNext w:val="0"/>
              <w:keepLines w:val="0"/>
              <w:pageBreakBefore w:val="0"/>
              <w:kinsoku/>
              <w:wordWrap/>
              <w:overflowPunct/>
              <w:topLinePunct w:val="0"/>
              <w:autoSpaceDE/>
              <w:autoSpaceDN/>
              <w:bidi w:val="0"/>
              <w:adjustRightInd/>
              <w:spacing w:after="0" w:afterLines="0" w:line="560" w:lineRule="exact"/>
              <w:ind w:right="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支付比例</w:t>
            </w:r>
          </w:p>
        </w:tc>
        <w:tc>
          <w:tcPr>
            <w:tcW w:w="1420" w:type="dxa"/>
            <w:vAlign w:val="center"/>
          </w:tcPr>
          <w:p w14:paraId="04852A38">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100%</w:t>
            </w:r>
          </w:p>
        </w:tc>
        <w:tc>
          <w:tcPr>
            <w:tcW w:w="1420" w:type="dxa"/>
            <w:vAlign w:val="center"/>
          </w:tcPr>
          <w:p w14:paraId="578B39B3">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80%</w:t>
            </w:r>
          </w:p>
        </w:tc>
        <w:tc>
          <w:tcPr>
            <w:tcW w:w="1420" w:type="dxa"/>
            <w:vAlign w:val="center"/>
          </w:tcPr>
          <w:p w14:paraId="663EE2DC">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60%</w:t>
            </w:r>
          </w:p>
        </w:tc>
        <w:tc>
          <w:tcPr>
            <w:tcW w:w="1421" w:type="dxa"/>
            <w:vAlign w:val="center"/>
          </w:tcPr>
          <w:p w14:paraId="1D9E5A11">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40%</w:t>
            </w:r>
          </w:p>
        </w:tc>
        <w:tc>
          <w:tcPr>
            <w:tcW w:w="1421" w:type="dxa"/>
            <w:vAlign w:val="center"/>
          </w:tcPr>
          <w:p w14:paraId="205593B7">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0</w:t>
            </w:r>
          </w:p>
        </w:tc>
      </w:tr>
    </w:tbl>
    <w:p w14:paraId="0669DF52">
      <w:pPr>
        <w:keepNext w:val="0"/>
        <w:keepLines w:val="0"/>
        <w:pageBreakBefore w:val="0"/>
        <w:numPr>
          <w:ilvl w:val="1"/>
          <w:numId w:val="0"/>
        </w:numPr>
        <w:tabs>
          <w:tab w:val="left" w:pos="0"/>
        </w:tabs>
        <w:kinsoku/>
        <w:wordWrap/>
        <w:overflowPunct/>
        <w:topLinePunct w:val="0"/>
        <w:autoSpaceDE/>
        <w:autoSpaceDN/>
        <w:bidi w:val="0"/>
        <w:adjustRightInd/>
        <w:spacing w:before="0" w:after="0" w:line="560" w:lineRule="exact"/>
        <w:ind w:left="0" w:leftChars="0" w:right="0" w:firstLine="480" w:firstLineChars="200"/>
        <w:jc w:val="both"/>
        <w:outlineLvl w:val="1"/>
        <w:rPr>
          <w:rFonts w:hint="eastAsia" w:ascii="宋体" w:hAnsi="宋体" w:eastAsia="宋体" w:cs="宋体"/>
          <w:b w:val="0"/>
          <w:bCs w:val="0"/>
          <w:sz w:val="24"/>
          <w:szCs w:val="24"/>
          <w:highlight w:val="none"/>
        </w:rPr>
      </w:pPr>
      <w:bookmarkStart w:id="62" w:name="_Toc684"/>
      <w:bookmarkStart w:id="63" w:name="_Toc27556"/>
      <w:bookmarkStart w:id="64" w:name="_Toc97562413"/>
      <w:bookmarkStart w:id="65" w:name="_Toc25462"/>
      <w:bookmarkStart w:id="66" w:name="_Toc28091"/>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.6 绩效评价结果的使用</w:t>
      </w:r>
      <w:bookmarkEnd w:id="56"/>
      <w:bookmarkEnd w:id="57"/>
      <w:bookmarkEnd w:id="58"/>
      <w:bookmarkEnd w:id="59"/>
      <w:bookmarkEnd w:id="60"/>
      <w:bookmarkEnd w:id="61"/>
      <w:bookmarkEnd w:id="62"/>
      <w:bookmarkEnd w:id="63"/>
      <w:bookmarkEnd w:id="64"/>
      <w:bookmarkEnd w:id="65"/>
      <w:bookmarkEnd w:id="66"/>
    </w:p>
    <w:p w14:paraId="37E31401">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1.绩效评价结果为优秀的，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%的绩效费用按100%支付，该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获得同等条件下优先承接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服务项目的资格。</w:t>
      </w:r>
    </w:p>
    <w:p w14:paraId="7AF04A4C">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2.绩效评价结果为良好的，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%的绩效费用按80%支付，该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获得同等条件下优先承接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服务项目的资格。</w:t>
      </w:r>
    </w:p>
    <w:p w14:paraId="24325889">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3.绩效评价结果为合格的，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%的绩效费用按60%支付，要求该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改善自身管理，切实提高服务质量。</w:t>
      </w:r>
    </w:p>
    <w:p w14:paraId="1E8F4AB4">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4.绩效评价结果为基本合格的，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%的绩效费用按40%支付，要求该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改善自身管理，切实提高服务质量，连续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3次</w:t>
      </w:r>
      <w:r>
        <w:rPr>
          <w:rFonts w:hint="eastAsia" w:ascii="宋体" w:hAnsi="宋体" w:eastAsia="宋体" w:cs="宋体"/>
          <w:b w:val="0"/>
          <w:bCs w:val="0"/>
          <w:color w:val="000000" w:themeColor="text1"/>
          <w:sz w:val="24"/>
          <w:szCs w:val="24"/>
          <w:highlight w:val="none"/>
          <w14:textFill>
            <w14:solidFill>
              <w14:schemeClr w14:val="tx1"/>
            </w14:solidFill>
          </w14:textFill>
        </w:rPr>
        <w:t>评定为基本合格的，该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在同等条件下不得承接同类服务项目。</w:t>
      </w:r>
    </w:p>
    <w:p w14:paraId="4C4B260B">
      <w:pPr>
        <w:keepNext w:val="0"/>
        <w:keepLines w:val="0"/>
        <w:pageBreakBefore w:val="0"/>
        <w:kinsoku/>
        <w:wordWrap/>
        <w:overflowPunct/>
        <w:topLinePunct w:val="0"/>
        <w:autoSpaceDE/>
        <w:autoSpaceDN/>
        <w:bidi w:val="0"/>
        <w:adjustRightInd/>
        <w:spacing w:after="0" w:afterLines="0" w:line="560" w:lineRule="exact"/>
        <w:ind w:left="0" w:leftChars="0" w:right="0" w:firstLine="480" w:firstLineChars="200"/>
        <w:jc w:val="both"/>
        <w:textAlignment w:val="auto"/>
        <w:outlineLvl w:val="9"/>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5.绩效评价结果不合格的，为未通过，不予支付</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绩效费用。考核主体给予一次限期30日整改考核机会，整改考核大于等于60分的，视为通过该考核周期运营绩效考核，该考核周期运营绩效考核得分为60分；整改考核得分低于60分的，则视为未通过该考核周期运营绩效考核，整改考核得分即为该考核周期运营绩效考核得分。考核主体可终止合同，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不得参加下一年度该项目的竞标</w:t>
      </w:r>
      <w:bookmarkStart w:id="67" w:name="_Toc14923"/>
      <w:bookmarkStart w:id="68" w:name="_Toc32228"/>
      <w:bookmarkStart w:id="69" w:name="_Toc22228"/>
      <w:bookmarkStart w:id="70" w:name="_Toc515737429"/>
      <w:bookmarkStart w:id="71" w:name="_Toc15630"/>
      <w:bookmarkStart w:id="72" w:name="_Toc9715"/>
      <w:bookmarkStart w:id="73" w:name="_Toc8467"/>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bookmarkEnd w:id="67"/>
    <w:bookmarkEnd w:id="68"/>
    <w:bookmarkEnd w:id="69"/>
    <w:bookmarkEnd w:id="70"/>
    <w:bookmarkEnd w:id="71"/>
    <w:bookmarkEnd w:id="72"/>
    <w:bookmarkEnd w:id="73"/>
    <w:p w14:paraId="2488C68A">
      <w:bookmarkStart w:id="74" w:name="_GoBack"/>
      <w:bookmarkEnd w:id="7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DEzNTI2NDJkYjBmMWE5OTdiOGRlZmI4NzU0OTQifQ=="/>
  </w:docVars>
  <w:rsids>
    <w:rsidRoot w:val="00000000"/>
    <w:rsid w:val="15FC1F8F"/>
    <w:rsid w:val="2B5D35FD"/>
    <w:rsid w:val="2E331EDF"/>
    <w:rsid w:val="364D06CB"/>
    <w:rsid w:val="49905043"/>
    <w:rsid w:val="7F53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caption"/>
    <w:basedOn w:val="1"/>
    <w:next w:val="1"/>
    <w:semiHidden/>
    <w:unhideWhenUsed/>
    <w:qFormat/>
    <w:uiPriority w:val="0"/>
    <w:rPr>
      <w:rFonts w:ascii="Arial" w:hAnsi="Arial" w:eastAsia="黑体"/>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2022-08-26T03:25:00Z</dcterms:created>
  <dc:creator>user</dc:creator>
  <cp:lastModifiedBy>李晔鑫*</cp:lastModifiedBy>
  <dcterms:modified xsi:type="dcterms:W3CDTF">2024-10-25T02:27:41Z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D0D55E70B7284AA997A239B85865B093</vt:lpwstr>
  </property>
</Properties>
</file>