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2.vsd" ContentType="application/vnd.visio"/>
  <Override PartName="/word/embeddings/Microsoft_Visio___1.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4"/>
      </w:pPr>
    </w:p>
    <w:p/>
    <w:p>
      <w:pPr>
        <w:ind w:left="240" w:leftChars="100"/>
      </w:pPr>
    </w:p>
    <w:p>
      <w:pPr>
        <w:ind w:left="240" w:leftChars="100"/>
      </w:pPr>
    </w:p>
    <w:p>
      <w:pPr>
        <w:spacing w:before="326" w:beforeLines="100" w:line="480" w:lineRule="auto"/>
        <w:ind w:firstLine="0" w:firstLineChars="0"/>
        <w:jc w:val="center"/>
        <w:rPr>
          <w:rFonts w:eastAsia="黑体"/>
          <w:sz w:val="40"/>
          <w:szCs w:val="44"/>
        </w:rPr>
      </w:pPr>
      <w:r>
        <w:rPr>
          <w:rFonts w:eastAsia="黑体"/>
          <w:sz w:val="40"/>
          <w:szCs w:val="44"/>
        </w:rPr>
        <w:t>达拉特旗“雪亮工程”</w:t>
      </w:r>
    </w:p>
    <w:p>
      <w:pPr>
        <w:ind w:left="240" w:leftChars="100" w:firstLine="0" w:firstLineChars="0"/>
        <w:jc w:val="center"/>
        <w:rPr>
          <w:rFonts w:eastAsia="黑体"/>
          <w:sz w:val="20"/>
          <w:szCs w:val="21"/>
        </w:rPr>
      </w:pPr>
    </w:p>
    <w:p>
      <w:pPr>
        <w:spacing w:line="480" w:lineRule="auto"/>
        <w:ind w:left="240" w:leftChars="100" w:firstLine="0" w:firstLineChars="0"/>
        <w:jc w:val="center"/>
        <w:rPr>
          <w:rFonts w:eastAsia="黑体"/>
          <w:sz w:val="40"/>
          <w:szCs w:val="44"/>
        </w:rPr>
      </w:pPr>
      <w:r>
        <w:rPr>
          <w:rFonts w:hint="eastAsia" w:eastAsia="黑体"/>
          <w:sz w:val="40"/>
          <w:szCs w:val="44"/>
        </w:rPr>
        <w:t>技术规范书</w:t>
      </w:r>
    </w:p>
    <w:p>
      <w:pPr>
        <w:ind w:left="240" w:leftChars="100"/>
        <w:rPr>
          <w:szCs w:val="32"/>
        </w:rPr>
      </w:pPr>
    </w:p>
    <w:p>
      <w:pPr>
        <w:ind w:left="240" w:leftChars="100"/>
      </w:pPr>
    </w:p>
    <w:p>
      <w:pPr>
        <w:ind w:left="240" w:leftChars="100"/>
      </w:pPr>
    </w:p>
    <w:p>
      <w:pPr>
        <w:ind w:left="240" w:leftChars="100"/>
      </w:pPr>
    </w:p>
    <w:p>
      <w:pPr>
        <w:ind w:left="240" w:leftChars="100"/>
      </w:pPr>
    </w:p>
    <w:p>
      <w:pPr>
        <w:ind w:left="240" w:leftChars="100"/>
      </w:pPr>
    </w:p>
    <w:p>
      <w:pPr>
        <w:ind w:left="240" w:leftChars="100"/>
      </w:pPr>
    </w:p>
    <w:p>
      <w:pPr>
        <w:ind w:left="240" w:leftChars="100"/>
      </w:pPr>
    </w:p>
    <w:p>
      <w:pPr>
        <w:ind w:left="240" w:leftChars="100"/>
      </w:pPr>
    </w:p>
    <w:p>
      <w:pPr>
        <w:ind w:left="240" w:leftChars="100"/>
      </w:pPr>
    </w:p>
    <w:p>
      <w:pPr>
        <w:ind w:left="240" w:leftChars="100"/>
      </w:pPr>
    </w:p>
    <w:p>
      <w:pPr>
        <w:ind w:left="240" w:leftChars="100"/>
      </w:pPr>
    </w:p>
    <w:p>
      <w:pPr>
        <w:ind w:left="240" w:leftChars="100"/>
      </w:pPr>
    </w:p>
    <w:p>
      <w:pPr>
        <w:pStyle w:val="84"/>
        <w:ind w:firstLine="960" w:firstLineChars="300"/>
        <w:rPr>
          <w:rFonts w:eastAsia="黑体"/>
          <w:color w:val="000000" w:themeColor="text1"/>
          <w:sz w:val="32"/>
          <w:szCs w:val="22"/>
          <w14:textFill>
            <w14:solidFill>
              <w14:schemeClr w14:val="tx1"/>
            </w14:solidFill>
          </w14:textFill>
        </w:rPr>
      </w:pPr>
    </w:p>
    <w:p>
      <w:pPr>
        <w:pStyle w:val="84"/>
        <w:ind w:firstLine="960" w:firstLineChars="300"/>
        <w:rPr>
          <w:rFonts w:eastAsia="黑体"/>
          <w:color w:val="000000" w:themeColor="text1"/>
          <w:sz w:val="32"/>
          <w:szCs w:val="22"/>
          <w14:textFill>
            <w14:solidFill>
              <w14:schemeClr w14:val="tx1"/>
            </w14:solidFill>
          </w14:textFill>
        </w:rPr>
      </w:pPr>
    </w:p>
    <w:p>
      <w:pPr>
        <w:pStyle w:val="84"/>
        <w:ind w:firstLine="960" w:firstLineChars="300"/>
        <w:rPr>
          <w:rFonts w:eastAsia="黑体"/>
          <w:color w:val="000000" w:themeColor="text1"/>
          <w:sz w:val="32"/>
          <w:szCs w:val="22"/>
          <w14:textFill>
            <w14:solidFill>
              <w14:schemeClr w14:val="tx1"/>
            </w14:solidFill>
          </w14:textFill>
        </w:rPr>
      </w:pPr>
    </w:p>
    <w:p>
      <w:pPr>
        <w:pStyle w:val="84"/>
        <w:ind w:left="480" w:leftChars="200" w:firstLine="0" w:firstLineChars="0"/>
        <w:jc w:val="left"/>
        <w:rPr>
          <w:rFonts w:eastAsia="黑体"/>
          <w:color w:val="000000" w:themeColor="text1"/>
          <w:kern w:val="0"/>
          <w:sz w:val="32"/>
          <w:szCs w:val="22"/>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40" w:right="1287" w:bottom="1440" w:left="1287" w:header="851" w:footer="992" w:gutter="0"/>
          <w:cols w:space="425" w:num="1"/>
          <w:docGrid w:type="lines" w:linePitch="326" w:charSpace="0"/>
        </w:sectPr>
      </w:pPr>
    </w:p>
    <w:p>
      <w:pPr>
        <w:pStyle w:val="2"/>
        <w:numPr>
          <w:ilvl w:val="0"/>
          <w:numId w:val="0"/>
        </w:numPr>
        <w:jc w:val="center"/>
      </w:pPr>
      <w:bookmarkStart w:id="0" w:name="_Toc110246956"/>
      <w:bookmarkStart w:id="1" w:name="_Toc112317307"/>
      <w:bookmarkStart w:id="2" w:name="_Toc304389670"/>
      <w:bookmarkStart w:id="3" w:name="_Toc303025332"/>
      <w:r>
        <w:rPr>
          <w:rFonts w:hint="eastAsia"/>
        </w:rPr>
        <w:t xml:space="preserve">第一章 </w:t>
      </w:r>
      <w:r>
        <w:t xml:space="preserve"> </w:t>
      </w:r>
      <w:r>
        <w:rPr>
          <w:rFonts w:hint="eastAsia"/>
        </w:rPr>
        <w:t>项目</w:t>
      </w:r>
      <w:r>
        <w:t>概述</w:t>
      </w:r>
      <w:bookmarkEnd w:id="0"/>
      <w:bookmarkEnd w:id="1"/>
    </w:p>
    <w:p>
      <w:pPr>
        <w:pStyle w:val="4"/>
      </w:pPr>
      <w:bookmarkStart w:id="4" w:name="_Toc112317308"/>
      <w:bookmarkStart w:id="5" w:name="_Toc110246957"/>
      <w:r>
        <w:t>服务概况</w:t>
      </w:r>
      <w:bookmarkEnd w:id="4"/>
      <w:bookmarkEnd w:id="5"/>
    </w:p>
    <w:p>
      <w:r>
        <w:rPr>
          <w:rFonts w:hint="eastAsia"/>
        </w:rPr>
        <w:t>服务内容：购买达拉特旗“雪亮工程”项目服务，包括前端采集系统服务、应用支撑系统平台和应用系统服务统、机房及配套服务、其他服务、网络传输系统服务和安全系统服务，通过购买以上服务</w:t>
      </w:r>
      <w:r>
        <w:t>实现“全域覆盖、全网共享、全时可用、全程可控”</w:t>
      </w:r>
      <w:r>
        <w:rPr>
          <w:rFonts w:hint="eastAsia"/>
        </w:rPr>
        <w:t>的</w:t>
      </w:r>
      <w:r>
        <w:t>目标</w:t>
      </w:r>
      <w:r>
        <w:rPr>
          <w:rFonts w:hint="eastAsia"/>
        </w:rPr>
        <w:t>。</w:t>
      </w:r>
    </w:p>
    <w:p>
      <w:r>
        <w:rPr>
          <w:rFonts w:hint="eastAsia"/>
        </w:rPr>
        <w:t>服务范围：达拉特旗全域范围。</w:t>
      </w:r>
      <w:bookmarkStart w:id="149" w:name="_GoBack"/>
      <w:bookmarkEnd w:id="149"/>
    </w:p>
    <w:p>
      <w:r>
        <w:rPr>
          <w:rFonts w:hint="eastAsia"/>
        </w:rPr>
        <w:t>服务周期：3年。</w:t>
      </w:r>
    </w:p>
    <w:bookmarkEnd w:id="2"/>
    <w:bookmarkEnd w:id="3"/>
    <w:p>
      <w:pPr>
        <w:pStyle w:val="4"/>
      </w:pPr>
      <w:bookmarkStart w:id="6" w:name="_Toc112317327"/>
      <w:bookmarkStart w:id="7" w:name="_Toc110246978"/>
      <w:bookmarkStart w:id="8" w:name="_Toc288940932"/>
      <w:bookmarkStart w:id="9" w:name="_Toc112317326"/>
      <w:bookmarkStart w:id="10" w:name="_Toc110246977"/>
      <w:r>
        <w:rPr>
          <w:rFonts w:hint="eastAsia"/>
        </w:rPr>
        <w:t>服务</w:t>
      </w:r>
      <w:r>
        <w:t>目标</w:t>
      </w:r>
      <w:bookmarkEnd w:id="6"/>
      <w:bookmarkEnd w:id="7"/>
    </w:p>
    <w:p>
      <w:r>
        <w:t>达拉特旗“雪亮工程”项目依据相关政策《关于加强社会治安防控体系建设的意见》和技术规范《社会治安综合治理综治中心建设与管理规范》，开展达拉特旗视频未覆盖区域的视频监控、原有治安监控改造、人员车辆卡口、电子警察等内容的建设，实现对重点公共区域及重点行业的网格化管理，构建一整套基层立体化治安防控体系，提供更全面的安全保障。以9部委联合发布的《关于加强公共安全视频监控建设联网应用工作的若干意见》为方向，以实现“全域覆盖、全网共享、全时可用、全程可控”为总体目标：</w:t>
      </w:r>
    </w:p>
    <w:p>
      <w:pPr>
        <w:ind w:firstLine="482"/>
      </w:pPr>
      <w:r>
        <w:rPr>
          <w:b/>
          <w:bCs/>
        </w:rPr>
        <w:t>全域覆盖</w:t>
      </w:r>
      <w:r>
        <w:t>。重点公共区域视频监控覆盖率达到100%，新建、改建高清摄像机比例达到100%；重点行业、领域的重要部位视频监控覆盖率达到100%，逐步增加高清摄像机的新建、改建数量。</w:t>
      </w:r>
    </w:p>
    <w:p>
      <w:pPr>
        <w:ind w:firstLine="482"/>
      </w:pPr>
      <w:r>
        <w:rPr>
          <w:b/>
          <w:bCs/>
        </w:rPr>
        <w:t>全网共享</w:t>
      </w:r>
      <w:r>
        <w:t>。重点公共区域视频监控联网率达到100%；重点行业、领域涉及公共区域的视频图像资源联网率达到100%。</w:t>
      </w:r>
    </w:p>
    <w:p>
      <w:pPr>
        <w:ind w:firstLine="482"/>
      </w:pPr>
      <w:r>
        <w:rPr>
          <w:b/>
          <w:bCs/>
        </w:rPr>
        <w:t>全时可用</w:t>
      </w:r>
      <w:r>
        <w:t>。重点公共区域安装的视频监控摄像机完好率达到98%，重点行业、领域安装的涉及公共区域的视频监控摄像机完好率达到95%，实现视频图像信息的全天候应用。</w:t>
      </w:r>
    </w:p>
    <w:p>
      <w:pPr>
        <w:ind w:firstLine="482"/>
      </w:pPr>
      <w:r>
        <w:rPr>
          <w:b/>
          <w:bCs/>
        </w:rPr>
        <w:t>全程可控</w:t>
      </w:r>
      <w:r>
        <w:t>。公共安全视频监控系统联网应用的分层安全体系基本建成，实现重要视频图像信息不失控，敏感视频图像信息不泄露。</w:t>
      </w:r>
    </w:p>
    <w:p>
      <w:r>
        <w:t>通过社会面视频资源接入平台的建设，对旗县范围内涉及公共安全的社会视频资源进行有效整合，将其统一纳入公安机关管理，解决视频资源碎片化、孤岛化问题，从而盘活旗域范围内的社会视频资源，构建起网络架构合理、基础数据共享、行业管理独立、公共平台统一、信息应用安全可信可控的开放式社会公共视频资源管理系统，为反恐维稳、治安防控、应急处突、服务群众提供强有力的可视化信息支撑。从而进一步推进达拉特旗立体化社会治安防控体系建设，提升社会治理能力现代化水平，充分发挥社会视频资源的重要作用，实现信息资源共享和应用效益最大化。</w:t>
      </w:r>
      <w:r>
        <w:rPr>
          <w:rFonts w:hint="eastAsia"/>
        </w:rPr>
        <w:t>本项目完成后可实现以下效果：</w:t>
      </w:r>
    </w:p>
    <w:p>
      <w:r>
        <w:t>（1）安全防控全覆盖</w:t>
      </w:r>
    </w:p>
    <w:p>
      <w:r>
        <w:t>围绕达拉特旗城区感知防控圈、重点要害部位、重要反恐单位和重点保卫目标，以及居民小区、校园、银行、市场等防控单元，分类升级部署人员卡口、车辆卡口、结构化卡口等智能感知系统，以及城郊区域感知系统建设，实现感知预警体系全覆盖无盲区，进一步织密“城乡一体、高低联动”的立体智能感知防控网。</w:t>
      </w:r>
    </w:p>
    <w:p>
      <w:r>
        <w:t>（2）风险隐患全感知</w:t>
      </w:r>
    </w:p>
    <w:p>
      <w:r>
        <w:t>通过部署各类先进的感知系统、人工智能系统等技术手段，对可能影响社会治安、公共安全、社会稳定的各类矛盾纠纷、嫌疑人员、可疑车物以及公共安全风险隐患，做到在第一时间感知，实现早发现早预警早处理，真正防患未然、快处既然。</w:t>
      </w:r>
    </w:p>
    <w:p>
      <w:r>
        <w:t>（3）社会治理全对接</w:t>
      </w:r>
    </w:p>
    <w:p>
      <w:r>
        <w:t>在确保安全的前提下，将雪亮工程建设与网格化社会治理紧密融合，主动将公安系统感知数据与社会治理数据进行全量对接，将公安治安力量与社会网格化管理力量相互衔接，互相支撑各自的智能化应用，主动为城市管理、社区治理、社会服务等提供技术支撑。</w:t>
      </w:r>
    </w:p>
    <w:bookmarkEnd w:id="8"/>
    <w:p>
      <w:pPr>
        <w:pStyle w:val="2"/>
        <w:numPr>
          <w:ilvl w:val="0"/>
          <w:numId w:val="0"/>
        </w:numPr>
        <w:jc w:val="center"/>
      </w:pPr>
      <w:r>
        <w:rPr>
          <w:rFonts w:hint="eastAsia"/>
        </w:rPr>
        <w:t xml:space="preserve">第二章 </w:t>
      </w:r>
      <w:r>
        <w:t xml:space="preserve"> 总体</w:t>
      </w:r>
      <w:bookmarkEnd w:id="9"/>
      <w:bookmarkEnd w:id="10"/>
      <w:r>
        <w:rPr>
          <w:rFonts w:hint="eastAsia"/>
        </w:rPr>
        <w:t>方案</w:t>
      </w:r>
    </w:p>
    <w:p>
      <w:pPr>
        <w:pStyle w:val="106"/>
        <w:keepNext/>
        <w:keepLines/>
        <w:pageBreakBefore/>
        <w:widowControl/>
        <w:numPr>
          <w:ilvl w:val="0"/>
          <w:numId w:val="1"/>
        </w:numPr>
        <w:tabs>
          <w:tab w:val="left" w:pos="480"/>
        </w:tabs>
        <w:spacing w:before="120" w:after="120"/>
        <w:ind w:firstLineChars="0"/>
        <w:outlineLvl w:val="0"/>
        <w:rPr>
          <w:rFonts w:eastAsia="黑体"/>
          <w:bCs/>
          <w:vanish/>
          <w:kern w:val="44"/>
          <w:sz w:val="28"/>
          <w:szCs w:val="28"/>
        </w:rPr>
      </w:pPr>
      <w:bookmarkStart w:id="11" w:name="_Toc112317329"/>
      <w:bookmarkStart w:id="12" w:name="_Toc110246980"/>
    </w:p>
    <w:p>
      <w:pPr>
        <w:pStyle w:val="106"/>
        <w:keepNext/>
        <w:keepLines/>
        <w:widowControl/>
        <w:numPr>
          <w:ilvl w:val="1"/>
          <w:numId w:val="1"/>
        </w:numPr>
        <w:tabs>
          <w:tab w:val="left" w:pos="480"/>
        </w:tabs>
        <w:spacing w:before="120" w:after="120"/>
        <w:ind w:firstLineChars="0"/>
        <w:outlineLvl w:val="1"/>
        <w:rPr>
          <w:rFonts w:eastAsia="黑体"/>
          <w:bCs/>
          <w:vanish/>
          <w:kern w:val="44"/>
          <w:sz w:val="28"/>
          <w:szCs w:val="28"/>
        </w:rPr>
      </w:pPr>
    </w:p>
    <w:p>
      <w:pPr>
        <w:pStyle w:val="106"/>
        <w:keepNext/>
        <w:keepLines/>
        <w:widowControl/>
        <w:numPr>
          <w:ilvl w:val="1"/>
          <w:numId w:val="1"/>
        </w:numPr>
        <w:tabs>
          <w:tab w:val="left" w:pos="480"/>
        </w:tabs>
        <w:spacing w:before="120" w:after="120"/>
        <w:ind w:firstLineChars="0"/>
        <w:outlineLvl w:val="1"/>
        <w:rPr>
          <w:rFonts w:eastAsia="黑体"/>
          <w:bCs/>
          <w:vanish/>
          <w:kern w:val="44"/>
          <w:sz w:val="28"/>
          <w:szCs w:val="28"/>
        </w:rPr>
      </w:pPr>
    </w:p>
    <w:p>
      <w:pPr>
        <w:pStyle w:val="4"/>
      </w:pPr>
      <w:r>
        <w:t>服务内容</w:t>
      </w:r>
      <w:bookmarkEnd w:id="11"/>
      <w:bookmarkEnd w:id="12"/>
    </w:p>
    <w:p>
      <w:r>
        <w:t>达拉特旗“雪亮工程”项目主要包含10</w:t>
      </w:r>
      <w:r>
        <w:rPr>
          <w:rFonts w:hint="eastAsia"/>
        </w:rPr>
        <w:t>项服务</w:t>
      </w:r>
      <w:r>
        <w:t>内容</w:t>
      </w:r>
      <w:r>
        <w:rPr>
          <w:rFonts w:hint="eastAsia"/>
        </w:rPr>
        <w:t>，所有服务内容需统筹考虑现有系统，项目完成后需</w:t>
      </w:r>
      <w:r>
        <w:t>使用同一平台统一管理新旧设备，不接受上下级调阅的方式，所有监控设备统一存储</w:t>
      </w:r>
      <w:r>
        <w:rPr>
          <w:rFonts w:hint="eastAsia"/>
        </w:rPr>
        <w:t>，并</w:t>
      </w:r>
      <w:r>
        <w:t>可统一对新老设备做视频在线统一运维，形成运维统一看板。所有功能模块统一门户，不适用多平台做业务应用、门户内容</w:t>
      </w:r>
      <w:r>
        <w:rPr>
          <w:rFonts w:hint="eastAsia"/>
        </w:rPr>
        <w:t>包含但不限于</w:t>
      </w:r>
      <w:r>
        <w:t>：视频图像应用，视频研判、数据看板、布控告警、指挥调度、轨迹研判、公安业务应用、设备运维等。</w:t>
      </w:r>
    </w:p>
    <w:p>
      <w:pPr>
        <w:pStyle w:val="5"/>
      </w:pPr>
      <w:bookmarkStart w:id="13" w:name="_Toc112317330"/>
      <w:r>
        <w:t>前端</w:t>
      </w:r>
      <w:r>
        <w:rPr>
          <w:rFonts w:hint="eastAsia"/>
        </w:rPr>
        <w:t>采集</w:t>
      </w:r>
      <w:r>
        <w:t>系统</w:t>
      </w:r>
      <w:r>
        <w:rPr>
          <w:rFonts w:hint="eastAsia"/>
        </w:rPr>
        <w:t>服务</w:t>
      </w:r>
      <w:bookmarkEnd w:id="13"/>
    </w:p>
    <w:p>
      <w:pPr>
        <w:ind w:firstLine="482"/>
      </w:pPr>
      <w:r>
        <w:rPr>
          <w:b/>
          <w:bCs/>
        </w:rPr>
        <w:t>安全防控覆盖补充。</w:t>
      </w:r>
      <w:r>
        <w:t>为筑牢达拉特旗立体化社会治安防控体系建设，解决达拉特旗视频未覆盖等突出问题，在新街道的主要道路、商业街、旅游景区、公园旗区交界出入口、治安复杂场所、重点单位、学校、社区等关键节点等建设高清以及智能感知前端，在视频监控基础上，实现主要出入、道路关键节点人脸抓拍、车辆抓拍、全结构化目标采集等多维度采集覆盖并。全面提升公安分局在社会治安打、防、管、控、服等工作能力。</w:t>
      </w:r>
    </w:p>
    <w:p>
      <w:r>
        <w:t>本次预计新增自建前端摄像机2353路，其中单目结构化相机832路，人脸摄像机100路，电警卡口摄像机67路，球机100路，双目结构化摄像机1211路，超高清车辆卡口43路。</w:t>
      </w:r>
    </w:p>
    <w:p>
      <w:pPr>
        <w:pStyle w:val="5"/>
      </w:pPr>
      <w:bookmarkStart w:id="14" w:name="_Toc112317331"/>
      <w:r>
        <w:rPr>
          <w:rFonts w:hint="eastAsia"/>
        </w:rPr>
        <w:t>应用支撑系统平台和应用系统服务</w:t>
      </w:r>
    </w:p>
    <w:bookmarkEnd w:id="14"/>
    <w:p>
      <w:pPr>
        <w:ind w:firstLine="482"/>
      </w:pPr>
      <w:r>
        <w:rPr>
          <w:rFonts w:hint="eastAsia"/>
          <w:b/>
          <w:bCs/>
        </w:rPr>
        <w:t>（1）</w:t>
      </w:r>
      <w:r>
        <w:rPr>
          <w:b/>
          <w:bCs/>
        </w:rPr>
        <w:t>社会视频资源接入。</w:t>
      </w:r>
      <w:r>
        <w:t>本期项目在社会资源接入网建设社会面视频资源接入平台，用于接入重要政府单位、重要场馆、医院、学校、社区等社会单位已建高清视频监控资源，能够进行实时视频调阅、历史录像查看以及国标PTZ控制。平台接入管理容量不低于10万路视频点位，通过社会资源接入网安全边界与视频专网内公安视频共享平台进行国标级联。</w:t>
      </w:r>
    </w:p>
    <w:p>
      <w:r>
        <w:t>本次项目社会面视频接入平台接入重点单位152家，治安复杂场所230家（包含商场、超市、宾馆酒店、网吧、KTV等），小区170家，满足25000路的接入能力。</w:t>
      </w:r>
    </w:p>
    <w:p>
      <w:pPr>
        <w:ind w:firstLine="482"/>
      </w:pPr>
      <w:bookmarkStart w:id="15" w:name="_Toc112317332"/>
      <w:r>
        <w:rPr>
          <w:rFonts w:hint="eastAsia"/>
          <w:b/>
          <w:bCs/>
        </w:rPr>
        <w:t>（2）</w:t>
      </w:r>
      <w:r>
        <w:rPr>
          <w:b/>
          <w:bCs/>
        </w:rPr>
        <w:t>视频共享平台</w:t>
      </w:r>
      <w:r>
        <w:rPr>
          <w:rFonts w:hint="eastAsia"/>
          <w:b/>
          <w:bCs/>
        </w:rPr>
        <w:t>服务</w:t>
      </w:r>
      <w:bookmarkEnd w:id="15"/>
      <w:r>
        <w:rPr>
          <w:rFonts w:hint="eastAsia"/>
          <w:b/>
          <w:bCs/>
        </w:rPr>
        <w:t>。</w:t>
      </w:r>
      <w:r>
        <w:t>根据本期项目新建视频前端接入需求与社会面视频接入平台的级联接入需求，需要对现有视频专网建设视频共享平台。</w:t>
      </w:r>
    </w:p>
    <w:p>
      <w:r>
        <w:t>视频专网视频共享平台具备100000路以上前端管理能力，本期增加5000路前端直接接入和存储能力，实时图像浏览并发数不少于500路4Mbps码流，历史回放不低于100路4Mbps码流并发，支持最大用户同时在线数不少于100个。</w:t>
      </w:r>
    </w:p>
    <w:p>
      <w:pPr>
        <w:ind w:firstLine="482"/>
      </w:pPr>
      <w:r>
        <w:rPr>
          <w:rFonts w:hint="eastAsia"/>
          <w:b/>
          <w:bCs/>
        </w:rPr>
        <w:t>（3）</w:t>
      </w:r>
      <w:r>
        <w:rPr>
          <w:b/>
          <w:bCs/>
        </w:rPr>
        <w:t>按照GA/T1399</w:t>
      </w:r>
      <w:r>
        <w:rPr>
          <w:rFonts w:hint="eastAsia"/>
          <w:b/>
          <w:bCs/>
        </w:rPr>
        <w:t>.</w:t>
      </w:r>
      <w:r>
        <w:rPr>
          <w:b/>
          <w:bCs/>
        </w:rPr>
        <w:t>1-2017、GA/T1399</w:t>
      </w:r>
      <w:r>
        <w:rPr>
          <w:rFonts w:hint="eastAsia"/>
          <w:b/>
          <w:bCs/>
        </w:rPr>
        <w:t>.2</w:t>
      </w:r>
      <w:r>
        <w:rPr>
          <w:b/>
          <w:bCs/>
        </w:rPr>
        <w:t>-2017</w:t>
      </w:r>
      <w:r>
        <w:rPr>
          <w:rFonts w:hint="eastAsia"/>
          <w:b/>
          <w:bCs/>
        </w:rPr>
        <w:t>、</w:t>
      </w:r>
      <w:r>
        <w:rPr>
          <w:b/>
          <w:bCs/>
        </w:rPr>
        <w:t>GA/T1400</w:t>
      </w:r>
      <w:r>
        <w:rPr>
          <w:rFonts w:hint="eastAsia"/>
          <w:b/>
          <w:bCs/>
        </w:rPr>
        <w:t>.3、</w:t>
      </w:r>
      <w:r>
        <w:rPr>
          <w:b/>
          <w:bCs/>
        </w:rPr>
        <w:t>GA/T1400.</w:t>
      </w:r>
      <w:r>
        <w:rPr>
          <w:rFonts w:hint="eastAsia"/>
          <w:b/>
          <w:bCs/>
        </w:rPr>
        <w:t>4相关</w:t>
      </w:r>
      <w:r>
        <w:rPr>
          <w:b/>
          <w:bCs/>
        </w:rPr>
        <w:t>标准</w:t>
      </w:r>
      <w:r>
        <w:rPr>
          <w:rFonts w:hint="eastAsia"/>
          <w:b/>
          <w:bCs/>
        </w:rPr>
        <w:t>要求</w:t>
      </w:r>
      <w:r>
        <w:rPr>
          <w:b/>
          <w:bCs/>
        </w:rPr>
        <w:t>，建设视频图像数据库。</w:t>
      </w:r>
      <w:r>
        <w:t>视图库建设的规模为2500路智能感知设备接入，</w:t>
      </w:r>
      <w:r>
        <w:rPr>
          <w:rFonts w:hint="eastAsia"/>
        </w:rPr>
        <w:t>支持1500张/秒并发存储能力，</w:t>
      </w:r>
      <w:r>
        <w:t>每日过人过车数据接入量约在800万条，按照结构化数据存储一年，案事件数据永久保存的要求，视图库系统数据存储规模至50亿条。</w:t>
      </w:r>
    </w:p>
    <w:p>
      <w:r>
        <w:t>结合规划建设的各类智能业务应用平台，将多数据通道组合打通，实现人脸、车辆、人体结构化数据、无线终端特征信息等数据的汇聚、清洗、治理、融合和分析，提升数据价值密度，形成主题库和专题库。</w:t>
      </w:r>
    </w:p>
    <w:p>
      <w:r>
        <w:t>本期建设的智能采集前端部署在社会资源接入网和视频专网，并分别建设视图库系统。社会资源接入网的智能采集前端通过VPN等方式接入社会面视图库并暂存，同时实时的将抓拍图片通过边界设备摆渡到视频专网进行存储。视频专网的智能采集前端直接接入到视频专网视图库并进行存储。</w:t>
      </w:r>
    </w:p>
    <w:p>
      <w:pPr>
        <w:ind w:firstLine="482"/>
      </w:pPr>
      <w:r>
        <w:rPr>
          <w:rFonts w:hint="eastAsia"/>
          <w:b/>
          <w:bCs/>
        </w:rPr>
        <w:t>（4）</w:t>
      </w:r>
      <w:r>
        <w:rPr>
          <w:b/>
          <w:bCs/>
        </w:rPr>
        <w:t>云存储</w:t>
      </w:r>
      <w:r>
        <w:rPr>
          <w:rFonts w:hint="eastAsia"/>
          <w:b/>
          <w:bCs/>
        </w:rPr>
        <w:t>系统服务</w:t>
      </w:r>
      <w:r>
        <w:rPr>
          <w:b/>
          <w:bCs/>
        </w:rPr>
        <w:t>。</w:t>
      </w:r>
      <w:r>
        <w:t>视频专网侧存储满足本次新建1451路400万像素以上高清监控视频存储周期两个月以上、智能化抓拍（大小图一组500KB）存储365天、原有2</w:t>
      </w:r>
      <w:r>
        <w:rPr>
          <w:rFonts w:hint="eastAsia"/>
        </w:rPr>
        <w:t>3</w:t>
      </w:r>
      <w:r>
        <w:t>0路非标</w:t>
      </w:r>
      <w:r>
        <w:rPr>
          <w:rFonts w:hint="eastAsia"/>
        </w:rPr>
        <w:t>卡口</w:t>
      </w:r>
      <w:r>
        <w:t>图片转码后存储365天的容量需求；社会资源接入网侧存储满足902路复杂场景400万像素以上高清监控智能化抓拍（大小图一组500KB）存储7天，新旧云存储需要实现统一平台管理。</w:t>
      </w:r>
    </w:p>
    <w:p>
      <w:pPr>
        <w:ind w:firstLine="482"/>
      </w:pPr>
      <w:r>
        <w:rPr>
          <w:rFonts w:hint="eastAsia"/>
          <w:b/>
          <w:bCs/>
        </w:rPr>
        <w:t>（5）智能</w:t>
      </w:r>
      <w:r>
        <w:rPr>
          <w:b/>
          <w:bCs/>
        </w:rPr>
        <w:t>视频解析</w:t>
      </w:r>
      <w:r>
        <w:rPr>
          <w:rFonts w:hint="eastAsia"/>
          <w:b/>
          <w:bCs/>
        </w:rPr>
        <w:t>服务</w:t>
      </w:r>
      <w:r>
        <w:rPr>
          <w:b/>
          <w:bCs/>
        </w:rPr>
        <w:t>。</w:t>
      </w:r>
      <w:r>
        <w:t>视频专网解析设计处理能力为2500路智能前端采集的数据量，解析性能同时支持不低于：人脸图片峰值并发解析能力710张/秒；人体、机动车、非机动车图片峰值并发解析能力</w:t>
      </w:r>
      <w:r>
        <w:rPr>
          <w:rFonts w:hint="eastAsia"/>
        </w:rPr>
        <w:t>1500张/秒，</w:t>
      </w:r>
      <w:r>
        <w:t>200路400万像素视频流实时解析</w:t>
      </w:r>
      <w:r>
        <w:rPr>
          <w:rFonts w:hint="eastAsia"/>
        </w:rPr>
        <w:t>。</w:t>
      </w:r>
    </w:p>
    <w:p>
      <w:pPr>
        <w:ind w:firstLine="482"/>
      </w:pPr>
      <w:bookmarkStart w:id="16" w:name="_Toc112317336"/>
      <w:r>
        <w:rPr>
          <w:rFonts w:hint="eastAsia"/>
          <w:b/>
          <w:bCs/>
        </w:rPr>
        <w:t>（6）</w:t>
      </w:r>
      <w:r>
        <w:rPr>
          <w:b/>
          <w:bCs/>
        </w:rPr>
        <w:t>视图大数据应用</w:t>
      </w:r>
      <w:r>
        <w:rPr>
          <w:rFonts w:hint="eastAsia"/>
          <w:b/>
          <w:bCs/>
        </w:rPr>
        <w:t>服务</w:t>
      </w:r>
      <w:bookmarkEnd w:id="16"/>
      <w:r>
        <w:rPr>
          <w:rFonts w:hint="eastAsia"/>
          <w:b/>
          <w:bCs/>
        </w:rPr>
        <w:t>。</w:t>
      </w:r>
      <w:r>
        <w:t>视图大数据应用平台基于人工智能、大数据、云计算核心技术，</w:t>
      </w:r>
      <w:r>
        <w:rPr>
          <w:lang w:bidi="ar"/>
        </w:rPr>
        <w:t>为用户提供海量视频全解析、多维感知数据清洗汇聚、视图数据级联、视频研判于一体的综合应用平台</w:t>
      </w:r>
      <w:r>
        <w:t>，服务于视频侦查、治安管控等业务场景，</w:t>
      </w:r>
      <w:r>
        <w:rPr>
          <w:lang w:bidi="ar"/>
        </w:rPr>
        <w:t>在科学决策指挥、精准防控风险、强化治安防控、服务城市管理等方面发挥保障作用</w:t>
      </w:r>
      <w:r>
        <w:t>。</w:t>
      </w:r>
    </w:p>
    <w:p>
      <w:r>
        <w:rPr>
          <w:rFonts w:hint="eastAsia"/>
        </w:rPr>
        <w:t>（7）</w:t>
      </w:r>
      <w:r>
        <w:rPr>
          <w:rFonts w:hint="eastAsia"/>
          <w:b/>
          <w:bCs/>
        </w:rPr>
        <w:t>智慧运维平台服务。</w:t>
      </w:r>
      <w:r>
        <w:rPr>
          <w:rFonts w:hint="eastAsia"/>
        </w:rPr>
        <w:t>包括资产管理和智能运维，资产管理可对前端采集设备进行档案化管理，为前端采集设备的规划建设、应用分析和决策管理提供基础数据支撑。智能运维可对实时视频以及录像的可调阅性、设备的在线情况、车辆卡口数据的完整性和准确性进行检测。</w:t>
      </w:r>
    </w:p>
    <w:p>
      <w:pPr>
        <w:pStyle w:val="5"/>
      </w:pPr>
      <w:bookmarkStart w:id="17" w:name="_Toc112317337"/>
      <w:r>
        <w:rPr>
          <w:rFonts w:hint="eastAsia"/>
        </w:rPr>
        <w:t>机房及配套服务</w:t>
      </w:r>
      <w:bookmarkEnd w:id="17"/>
    </w:p>
    <w:p>
      <w:pPr>
        <w:ind w:firstLine="482"/>
      </w:pPr>
      <w:r>
        <w:rPr>
          <w:b/>
          <w:bCs/>
        </w:rPr>
        <w:t>机房</w:t>
      </w:r>
      <w:r>
        <w:rPr>
          <w:rFonts w:hint="eastAsia"/>
          <w:b/>
          <w:bCs/>
        </w:rPr>
        <w:t>及供电系统服务</w:t>
      </w:r>
      <w:r>
        <w:rPr>
          <w:b/>
          <w:bCs/>
        </w:rPr>
        <w:t>。</w:t>
      </w:r>
      <w:r>
        <w:t>项目规划在达拉特旗公安局8楼数据中心新建冷通道，机房使用面积约190 m²，本期建设内容主要包含微模块和机房配套改造，建设1个微模块（包含服务器机柜13台、列间空调2台、精密列头柜1架等），根据新增设备的用电需求，本期还需在达拉特旗公安局地下一层动力机房，面积约23 m²，新增90KVA 模块化UPS系统1套及蓄电池192块以满足本次新增冷通道后备电的需求，并对原有IDC机房和动力机房进行相应的动环系统改造和简单装修。</w:t>
      </w:r>
    </w:p>
    <w:p>
      <w:pPr>
        <w:pStyle w:val="5"/>
      </w:pPr>
      <w:r>
        <w:rPr>
          <w:rFonts w:hint="eastAsia"/>
        </w:rPr>
        <w:t>网络传输系统服务和安全系统服务</w:t>
      </w:r>
    </w:p>
    <w:p>
      <w:r>
        <w:rPr>
          <w:rFonts w:hint="eastAsia"/>
        </w:rPr>
        <w:t>社会资源接入网和</w:t>
      </w:r>
      <w:r>
        <w:t>视频</w:t>
      </w:r>
      <w:r>
        <w:rPr>
          <w:rFonts w:hint="eastAsia"/>
        </w:rPr>
        <w:t>专</w:t>
      </w:r>
      <w:r>
        <w:t>网按照分级、分域防护原则，构建总体安全框架，以提高网络综合安全管理水平。采用分层建设防护体系，结合系统与应用、数据存储、数据传输、运维四个维度可能存在的安全问题，以及视频监控平台的安全需求和网络现状，构建“事前检测+事中防护+事后审计”安全防护体系，以等保2.0</w:t>
      </w:r>
      <w:r>
        <w:rPr>
          <w:rFonts w:hint="eastAsia"/>
        </w:rPr>
        <w:t>二</w:t>
      </w:r>
      <w:r>
        <w:t>级标准</w:t>
      </w:r>
      <w:r>
        <w:rPr>
          <w:rFonts w:hint="eastAsia"/>
        </w:rPr>
        <w:t>构建</w:t>
      </w:r>
      <w:r>
        <w:t>现有</w:t>
      </w:r>
      <w:r>
        <w:rPr>
          <w:rFonts w:hint="eastAsia"/>
        </w:rPr>
        <w:t>社会资源接入</w:t>
      </w:r>
      <w:r>
        <w:t>网系统</w:t>
      </w:r>
      <w:r>
        <w:rPr>
          <w:rFonts w:hint="eastAsia"/>
        </w:rPr>
        <w:t>，以</w:t>
      </w:r>
      <w:r>
        <w:t>等保2.0三级标准改造现有公安视频专网系统，提升系统整体安全水平，确保视频图像信息的“全程可控”，实现重要视频图像信息不失控，敏感视频图像信息不泄露。</w:t>
      </w:r>
    </w:p>
    <w:p>
      <w:pPr>
        <w:pStyle w:val="5"/>
      </w:pPr>
      <w:bookmarkStart w:id="18" w:name="_Toc112317339"/>
      <w:r>
        <w:rPr>
          <w:rFonts w:hint="eastAsia"/>
        </w:rPr>
        <w:t>其他</w:t>
      </w:r>
      <w:r>
        <w:t>服务</w:t>
      </w:r>
      <w:bookmarkEnd w:id="18"/>
    </w:p>
    <w:p>
      <w:pPr>
        <w:ind w:firstLine="482"/>
      </w:pPr>
      <w:r>
        <w:rPr>
          <w:b/>
          <w:bCs/>
        </w:rPr>
        <w:t>已建系统维保。</w:t>
      </w:r>
      <w:r>
        <w:t>“平安达拉特”高清视频监控系统（指2012年建设的技防二期卡口工程、2015年建设的技防三期视频监控系统））进行全面的质保和维护，保证系统软硬件及相关基础设施的正常运行。包括治安监控、卡口、电警、制高点设备、人脸设备、4G基站、LED大屏、联网平台、专网平台、存储系统、ups、三维地理信息平台、光缆传输、网络设备、机房设施及各系统联接线路等的维保。</w:t>
      </w:r>
      <w:r>
        <w:rPr>
          <w:b/>
          <w:bCs/>
        </w:rPr>
        <w:t>本项目承接方的运维服务除本次新建的监控系统的软硬件设备外，还需负责已建监控系统的软硬件设备及日常运维和巡检等其他工作</w:t>
      </w:r>
      <w:r>
        <w:t>，对系统的各类故障进行排查，及时发现系统问题并快速解决，确保系统内各类设备的正常运行。</w:t>
      </w:r>
    </w:p>
    <w:p>
      <w:pPr>
        <w:pStyle w:val="4"/>
      </w:pPr>
      <w:bookmarkStart w:id="19" w:name="_Toc112317341"/>
      <w:bookmarkStart w:id="20" w:name="_Toc110246985"/>
      <w:r>
        <w:t>总体架构</w:t>
      </w:r>
      <w:bookmarkEnd w:id="19"/>
      <w:bookmarkEnd w:id="20"/>
    </w:p>
    <w:p>
      <w:pPr>
        <w:pStyle w:val="5"/>
      </w:pPr>
      <w:bookmarkStart w:id="21" w:name="_Toc110246986"/>
      <w:bookmarkStart w:id="22" w:name="_Toc112317342"/>
      <w:r>
        <w:rPr>
          <w:rFonts w:hint="eastAsia"/>
        </w:rPr>
        <w:t>总体</w:t>
      </w:r>
      <w:r>
        <w:t>架构</w:t>
      </w:r>
      <w:bookmarkEnd w:id="21"/>
      <w:bookmarkEnd w:id="22"/>
    </w:p>
    <w:p>
      <w:pPr>
        <w:ind w:firstLine="0" w:firstLineChars="0"/>
        <w:jc w:val="center"/>
      </w:pPr>
      <w:r>
        <w:drawing>
          <wp:inline distT="0" distB="0" distL="0" distR="0">
            <wp:extent cx="6285230" cy="4450715"/>
            <wp:effectExtent l="0" t="0" r="1270" b="6985"/>
            <wp:docPr id="30937" name="图片 30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7" name="图片 309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285230" cy="4450715"/>
                    </a:xfrm>
                    <a:prstGeom prst="rect">
                      <a:avLst/>
                    </a:prstGeom>
                    <a:noFill/>
                  </pic:spPr>
                </pic:pic>
              </a:graphicData>
            </a:graphic>
          </wp:inline>
        </w:drawing>
      </w:r>
    </w:p>
    <w:p>
      <w:pPr>
        <w:pStyle w:val="10"/>
      </w:pPr>
      <w:r>
        <w:t>总体架构图</w:t>
      </w:r>
    </w:p>
    <w:p>
      <w:r>
        <w:t>达拉特旗“雪亮工程”工程项目总体架构分为“四</w:t>
      </w:r>
      <w:r>
        <w:rPr>
          <w:rFonts w:hint="eastAsia"/>
        </w:rPr>
        <w:t>横</w:t>
      </w:r>
      <w:r>
        <w:t>三纵”，四</w:t>
      </w:r>
      <w:r>
        <w:rPr>
          <w:rFonts w:hint="eastAsia"/>
        </w:rPr>
        <w:t>横</w:t>
      </w:r>
      <w:r>
        <w:t>包含：设施层、服务层、数据层、应用层，三纵包含：安全保障、运维管理和标准规范。</w:t>
      </w:r>
    </w:p>
    <w:p>
      <w:r>
        <w:t>（1）设施层</w:t>
      </w:r>
    </w:p>
    <w:p>
      <w:r>
        <w:t>设施层的感知前端、传输网络以及计算、存储、网络资源为系统提供基础环境支持；依托已建的社会面网、运营商VPN线路、视频专网和政务外网等，根据本次项目建设的前端和后端应用系统新建接入网络以及配套设施，对公安内部系统数据、视频监控、卡口、智能前端及前期已建设备等视频图像进行统一规划、统一设计、统一标准、统一管理，最大限度整合社会数据资源，构建统一的计算资源池、存储资源池、网络资源池，形成纵向贯通、横向集成、互联互通、数据共享的全旗视频防控体系，为各类应用展开打下坚实的基础。</w:t>
      </w:r>
    </w:p>
    <w:p>
      <w:r>
        <w:t>（2）服务层</w:t>
      </w:r>
    </w:p>
    <w:p>
      <w:r>
        <w:t>服务层的视频图像管理服务、视频图像解析服务和视频图像检索服务是社会视频资源接入平台和视频共享平台的核心功能，实现了视频共享能力的服务化，集中汇聚视频图像数据信息。视频图像管理服务包括实时监控、转发、录像、存储等功能，视频图像解析服务实现了视频图像解析系统中视频图像信息分析能力的服务化，是视频图像智能化建设应用的关键服务，提供高效的人像解析、车辆解析、布控告警等服务。</w:t>
      </w:r>
    </w:p>
    <w:p>
      <w:r>
        <w:t>（3）数据层</w:t>
      </w:r>
    </w:p>
    <w:p>
      <w:r>
        <w:t>数据层主要包含视频图像信息数据库，按照公安大数据处理的技术要求对视频图像信息数据库进行数据接入、数据处理、数据组织、数据服务和数据治理，为视频图像智能化建设应用提供视频图像数据服务能力。视频图像信息数据库主要分为三类：原始库、资源库和专题库，原始库主要存储汇聚到视图库的原始视频图像数据；资源库是在原始库的基础上，按照关系、特征对视频图像数据进行重新梳理和归类，生成的视频图像基础资源数据，用于支撑相关专题应用；专题库是在资源库的基础上结合业务模型生成的视频图像应用专题数据库。</w:t>
      </w:r>
    </w:p>
    <w:p>
      <w:r>
        <w:t>（4）应用层</w:t>
      </w:r>
    </w:p>
    <w:p>
      <w:r>
        <w:t>应用层的共性应用、专业应用和专题应用对视频图像信息综合应用平台的功能进行了归纳梳理，提供基础检索、视频侦查、统一轨迹、统一布控告警、人车技战法、人员智能管控、事件智能预警、数据综合查询等视频大数据基础功能，解决基层实战缺少应用支撑、视频仅能靠看的问题。</w:t>
      </w:r>
    </w:p>
    <w:p/>
    <w:p>
      <w:pPr>
        <w:pStyle w:val="5"/>
      </w:pPr>
      <w:bookmarkStart w:id="23" w:name="_Toc112317343"/>
      <w:bookmarkStart w:id="24" w:name="_Toc110246987"/>
      <w:r>
        <w:rPr>
          <w:rFonts w:hint="eastAsia"/>
        </w:rPr>
        <w:t>系统</w:t>
      </w:r>
      <w:r>
        <w:t>架构</w:t>
      </w:r>
      <w:bookmarkEnd w:id="23"/>
      <w:bookmarkEnd w:id="24"/>
    </w:p>
    <w:p>
      <w:r>
        <w:t>达拉特旗公安局“雪亮工程”的建设是一场新的警务革命，对于整合警务资源、改造警务流程、创新警务模式、降低警务成本、实现警务效能的最优化具有重要推动作用。它让公安警务工作由数量规模型向质量效能型、由人力密集型向科技密集型转变，从而把传统的公安战斗力生成模式转变到以信息技术为核心的高新技术上来，推动将智能化优势转化为公安决策优势、治安优势，提高公安战斗力。其总体系统架构如下图所示：</w:t>
      </w:r>
    </w:p>
    <w:p>
      <w:pPr>
        <w:ind w:firstLine="0" w:firstLineChars="0"/>
      </w:pPr>
      <w:r>
        <w:object>
          <v:shape id="_x0000_i1025" o:spt="75" type="#_x0000_t75" style="height:336.6pt;width:466.2pt;" o:ole="t" filled="f" o:preferrelative="t" stroked="f" coordsize="21600,21600">
            <v:path/>
            <v:fill on="f" focussize="0,0"/>
            <v:stroke on="f" joinstyle="miter"/>
            <v:imagedata r:id="rId19" o:title=""/>
            <o:lock v:ext="edit" aspectratio="t"/>
            <w10:wrap type="none"/>
            <w10:anchorlock/>
          </v:shape>
          <o:OLEObject Type="Embed" ProgID="Visio.Drawing.15" ShapeID="_x0000_i1025" DrawAspect="Content" ObjectID="_1468075725" r:id="rId18">
            <o:LockedField>false</o:LockedField>
          </o:OLEObject>
        </w:object>
      </w:r>
    </w:p>
    <w:p>
      <w:pPr>
        <w:pStyle w:val="10"/>
      </w:pPr>
      <w:r>
        <w:t>系统架构图</w:t>
      </w:r>
    </w:p>
    <w:p>
      <w:r>
        <w:t>在社会面网建设社会面视频资源接入平台和社会面视频图像信息数据库，用于接入在社会面复杂场所的人像抓拍相机抓拍的视频图片，此外，还可以接入社会面及委办局等其他已建资源。本期新建的人像抓拍相机、环保电子警察、结构化相机、治安监控球机及其他已建的各类型前端设备所采集的视频、图片、结构化数据等分别接入视频专网视频共享平台和视频图像信息数据库中。，进行统一的接入、存储、管理、转发、推送等业务。此外，这些数据还应推送至鄂尔多斯市局的视图数据资源池内。</w:t>
      </w:r>
    </w:p>
    <w:p>
      <w:r>
        <w:t>视频图像信息数据库将元数据传送到视频图像解析系统进行解析处理，经解析后生成结构化数据与特征值，解析后的结构化数据、特征值、图片链接地址送到视频图像信息数据库进行存储，并由视频图像信息数据库的把“大图”、“小图”、结构化数据、特征值推送到公安网视频图像信息库，给上层实战应用提供数据基础。</w:t>
      </w:r>
    </w:p>
    <w:p>
      <w:r>
        <w:t>视图大数据应用平台主要是依托于前端采集的各类数据、解析平台深度解析产生的更深层次数据、达拉特旗本地已有的数据，通过大数据技术、人工智能技术来提供多种实战应用赋能基层作战。</w:t>
      </w:r>
    </w:p>
    <w:p/>
    <w:p>
      <w:pPr>
        <w:pStyle w:val="5"/>
      </w:pPr>
      <w:bookmarkStart w:id="25" w:name="_Toc110246988"/>
      <w:bookmarkStart w:id="26" w:name="_Toc112317344"/>
      <w:r>
        <w:t>业务</w:t>
      </w:r>
      <w:r>
        <w:rPr>
          <w:rFonts w:hint="eastAsia"/>
        </w:rPr>
        <w:t>数据</w:t>
      </w:r>
      <w:bookmarkEnd w:id="25"/>
      <w:r>
        <w:rPr>
          <w:rFonts w:hint="eastAsia"/>
        </w:rPr>
        <w:t>架构</w:t>
      </w:r>
      <w:bookmarkEnd w:id="26"/>
    </w:p>
    <w:p>
      <w:r>
        <w:t>本系统整体业务数据拓扑设计如下图所示：</w:t>
      </w:r>
    </w:p>
    <w:p>
      <w:pPr>
        <w:ind w:firstLine="0" w:firstLineChars="0"/>
        <w:jc w:val="center"/>
        <w:rPr>
          <w:sz w:val="9"/>
        </w:rPr>
      </w:pPr>
      <w:r>
        <w:drawing>
          <wp:inline distT="0" distB="0" distL="0" distR="0">
            <wp:extent cx="5925820" cy="63315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25820" cy="6331585"/>
                    </a:xfrm>
                    <a:prstGeom prst="rect">
                      <a:avLst/>
                    </a:prstGeom>
                    <a:noFill/>
                    <a:ln>
                      <a:noFill/>
                    </a:ln>
                  </pic:spPr>
                </pic:pic>
              </a:graphicData>
            </a:graphic>
          </wp:inline>
        </w:drawing>
      </w:r>
    </w:p>
    <w:p>
      <w:pPr>
        <w:pStyle w:val="10"/>
      </w:pPr>
      <w:r>
        <w:t>业务数据架构示意图</w:t>
      </w:r>
    </w:p>
    <w:p>
      <w:r>
        <w:t>由上图可以看出，社会面资源网主要接入重点场所的人脸相机抓拍视图数据及其他已建共计25000路的社会面/委办局数据，3000路旗大数据局推送的视频数据，并对其中的902路图像数据（涉及重点单位、治安复杂场所及住宅小区场景）进行存储，经过网络安全边界接入到视频共享平台和解析中心，为大数据应用平台提供决策的依据。</w:t>
      </w:r>
    </w:p>
    <w:p>
      <w:r>
        <w:t>视频专网侧，本期新建的点位（人像卡口、结构化相机、电子警察等）采集到的视频图像数据接入到视频共享平台及视频图像数据库。采集到的数据经过解析平台进行二次分析，为视图大数据应用平台提供数据研判分析的基础。</w:t>
      </w:r>
    </w:p>
    <w:p>
      <w:r>
        <w:t>智慧运维系统对本期项目的前端及后端平台进行运维、管理、考核等工作。</w:t>
      </w:r>
    </w:p>
    <w:p/>
    <w:p>
      <w:pPr>
        <w:pStyle w:val="2"/>
        <w:numPr>
          <w:ilvl w:val="0"/>
          <w:numId w:val="0"/>
        </w:numPr>
        <w:jc w:val="center"/>
      </w:pPr>
      <w:bookmarkStart w:id="27" w:name="_Toc110247020"/>
      <w:bookmarkStart w:id="28" w:name="_Toc112317345"/>
      <w:r>
        <w:rPr>
          <w:rFonts w:hint="eastAsia"/>
        </w:rPr>
        <w:t xml:space="preserve">第三章 </w:t>
      </w:r>
      <w:r>
        <w:t xml:space="preserve"> 服务内容及要求</w:t>
      </w:r>
      <w:bookmarkEnd w:id="27"/>
      <w:bookmarkEnd w:id="28"/>
    </w:p>
    <w:p>
      <w:pPr>
        <w:pStyle w:val="106"/>
        <w:keepNext/>
        <w:keepLines/>
        <w:pageBreakBefore/>
        <w:widowControl/>
        <w:numPr>
          <w:ilvl w:val="0"/>
          <w:numId w:val="1"/>
        </w:numPr>
        <w:tabs>
          <w:tab w:val="left" w:pos="480"/>
        </w:tabs>
        <w:spacing w:before="120" w:after="120"/>
        <w:ind w:firstLineChars="0"/>
        <w:outlineLvl w:val="0"/>
        <w:rPr>
          <w:rFonts w:eastAsia="黑体"/>
          <w:bCs/>
          <w:vanish/>
          <w:kern w:val="44"/>
          <w:sz w:val="28"/>
          <w:szCs w:val="28"/>
        </w:rPr>
      </w:pPr>
      <w:bookmarkStart w:id="29" w:name="_Toc112169167"/>
      <w:bookmarkStart w:id="30" w:name="_Toc112317346"/>
    </w:p>
    <w:p>
      <w:pPr>
        <w:pStyle w:val="106"/>
        <w:keepNext/>
        <w:keepLines/>
        <w:widowControl/>
        <w:numPr>
          <w:ilvl w:val="1"/>
          <w:numId w:val="1"/>
        </w:numPr>
        <w:tabs>
          <w:tab w:val="left" w:pos="480"/>
        </w:tabs>
        <w:spacing w:before="120" w:after="120"/>
        <w:ind w:firstLineChars="0"/>
        <w:outlineLvl w:val="1"/>
        <w:rPr>
          <w:rFonts w:eastAsia="黑体"/>
          <w:bCs/>
          <w:vanish/>
          <w:kern w:val="44"/>
          <w:sz w:val="28"/>
          <w:szCs w:val="28"/>
        </w:rPr>
      </w:pPr>
    </w:p>
    <w:p>
      <w:pPr>
        <w:pStyle w:val="106"/>
        <w:keepNext/>
        <w:keepLines/>
        <w:widowControl/>
        <w:numPr>
          <w:ilvl w:val="1"/>
          <w:numId w:val="1"/>
        </w:numPr>
        <w:tabs>
          <w:tab w:val="left" w:pos="480"/>
        </w:tabs>
        <w:spacing w:before="120" w:after="120"/>
        <w:ind w:firstLineChars="0"/>
        <w:outlineLvl w:val="1"/>
        <w:rPr>
          <w:rFonts w:eastAsia="黑体"/>
          <w:bCs/>
          <w:vanish/>
          <w:kern w:val="44"/>
          <w:sz w:val="28"/>
          <w:szCs w:val="28"/>
        </w:rPr>
      </w:pPr>
    </w:p>
    <w:p>
      <w:pPr>
        <w:pStyle w:val="106"/>
        <w:keepNext/>
        <w:keepLines/>
        <w:widowControl/>
        <w:numPr>
          <w:ilvl w:val="1"/>
          <w:numId w:val="1"/>
        </w:numPr>
        <w:tabs>
          <w:tab w:val="left" w:pos="480"/>
        </w:tabs>
        <w:spacing w:before="120" w:after="120"/>
        <w:ind w:firstLineChars="0"/>
        <w:outlineLvl w:val="1"/>
        <w:rPr>
          <w:rFonts w:eastAsia="黑体"/>
          <w:bCs/>
          <w:vanish/>
          <w:kern w:val="44"/>
          <w:sz w:val="28"/>
          <w:szCs w:val="28"/>
        </w:rPr>
      </w:pPr>
    </w:p>
    <w:bookmarkEnd w:id="29"/>
    <w:bookmarkEnd w:id="30"/>
    <w:p>
      <w:pPr>
        <w:pStyle w:val="4"/>
      </w:pPr>
      <w:bookmarkStart w:id="31" w:name="_Toc112169160"/>
      <w:bookmarkStart w:id="32" w:name="_Toc112317347"/>
      <w:r>
        <w:t>前端采集系统</w:t>
      </w:r>
      <w:r>
        <w:rPr>
          <w:rFonts w:hint="eastAsia"/>
        </w:rPr>
        <w:t>服务方案</w:t>
      </w:r>
      <w:bookmarkEnd w:id="31"/>
      <w:bookmarkEnd w:id="32"/>
    </w:p>
    <w:p>
      <w:r>
        <w:t>为进一步提高旗公安视频监控管理水平，增强政府、公安部门应对突发事件的应急能力，同时响应达拉特旗及鄂尔多斯市建设要求，本期共部署前端摄像机2353路，其中单目结构化相机832路，人脸摄像机100路，电警卡口摄像机67路，球机100路，双目结构化摄像机1211路，超高清车辆卡口43路，建立完善的视频图像信息安全防护体系。</w:t>
      </w:r>
    </w:p>
    <w:p>
      <w:r>
        <w:t>本期新建前端高清摄像机根据GB/T28181-2016标准接入达拉特旗公安局视频监控平台进行监看、录像，实现快速、直观了解和掌握监控区域治安动态的目标，同时向上将图像信息实时传输到鄂尔多斯市公安视频共享平台作为统一的视频管理平台，提高全旗社会治安管理的统一指挥、快速反应、协同作战水平。</w:t>
      </w:r>
    </w:p>
    <w:p>
      <w:pPr>
        <w:pStyle w:val="5"/>
      </w:pPr>
      <w:r>
        <w:t>人像卡口</w:t>
      </w:r>
    </w:p>
    <w:p>
      <w:pPr>
        <w:pStyle w:val="6"/>
      </w:pPr>
      <w:bookmarkStart w:id="33" w:name="_Toc514688446"/>
      <w:bookmarkStart w:id="34" w:name="_Toc440267406"/>
      <w:bookmarkStart w:id="35" w:name="_Toc467061895"/>
      <w:bookmarkStart w:id="36" w:name="_Toc484960105"/>
      <w:bookmarkStart w:id="37" w:name="_Toc365378061"/>
      <w:r>
        <w:t>系统概述</w:t>
      </w:r>
      <w:bookmarkEnd w:id="33"/>
      <w:bookmarkEnd w:id="34"/>
      <w:bookmarkEnd w:id="35"/>
      <w:bookmarkEnd w:id="36"/>
    </w:p>
    <w:p>
      <w:r>
        <w:t>前端人脸数据智能采集系统主要通过部署在城市各复杂路口、复杂场所等人像卡口，实现对进出人员的人脸进行自动捕获、跟踪、抓拍，采集性别、年龄段、年龄、是否带眼镜、是否带口罩、上下颜色、下衣纹理等人员属性信息。</w:t>
      </w:r>
    </w:p>
    <w:p>
      <w:r>
        <w:t>本次项目共建设人像卡口100套，其中70套建设在社会面网，30套建设在视频专网，实现对重点场所出入人员的管控。</w:t>
      </w:r>
    </w:p>
    <w:bookmarkEnd w:id="37"/>
    <w:p>
      <w:pPr>
        <w:pStyle w:val="6"/>
      </w:pPr>
      <w:r>
        <w:t>服务参数</w:t>
      </w:r>
    </w:p>
    <w:p>
      <w:r>
        <w:t>（1）像素≥400万像素，传感器尺寸≥1/1.8英寸，内置一体化电动变焦，8-32mm电动变焦镜头；</w:t>
      </w:r>
    </w:p>
    <w:p>
      <w:r>
        <w:t>（2）图像分辨率≥2560*1440；</w:t>
      </w:r>
    </w:p>
    <w:p>
      <w:r>
        <w:t>（3）支持GB/T28181-2016协议；支持GA/T1400视图库协议；</w:t>
      </w:r>
    </w:p>
    <w:p>
      <w:r>
        <w:t>（4）支持人脸、人体检测抓拍及人脸、人体属性提取；</w:t>
      </w:r>
    </w:p>
    <w:p>
      <w:r>
        <w:t>（5）采用混合补光，补光距离不小于50米；</w:t>
      </w:r>
    </w:p>
    <w:p>
      <w:r>
        <w:t>（6）防护等级不低于IP66。</w:t>
      </w:r>
    </w:p>
    <w:p>
      <w:pPr>
        <w:pStyle w:val="5"/>
      </w:pPr>
      <w:r>
        <w:t>治安监控相机</w:t>
      </w:r>
    </w:p>
    <w:p>
      <w:pPr>
        <w:pStyle w:val="6"/>
      </w:pPr>
      <w:r>
        <w:t>系统概述</w:t>
      </w:r>
    </w:p>
    <w:p>
      <w:r>
        <w:t>治安视频前端选型充分考虑多环境的实际采集需求。相机至少要考虑开阔的广角、巷道的景深、低照度、宽动态、自清洁等不同环境的需求。</w:t>
      </w:r>
    </w:p>
    <w:p>
      <w:r>
        <w:t>在产品形态上结合实际情况除了采用高清晰度枪球像机，高清晰度能大幅度提高了智能分析与实战应用的高精确率，选择产品同时兼有宽动态、强光抑制、智能日夜切换、双向语音、支持存储卡本地存储等丰富的市场主流实用功能。</w:t>
      </w:r>
    </w:p>
    <w:p>
      <w:r>
        <w:t>本次项目共建设高清球型摄像机100个，基本实现对全旗重点场所的覆盖。</w:t>
      </w:r>
    </w:p>
    <w:p>
      <w:pPr>
        <w:pStyle w:val="6"/>
      </w:pPr>
      <w:r>
        <w:t>功能特点</w:t>
      </w:r>
    </w:p>
    <w:p>
      <w:r>
        <w:t>（1）多码流同时编码</w:t>
      </w:r>
    </w:p>
    <w:p>
      <w:r>
        <w:t>每路码流可分别设置不同分辨率、帧率、编码格式。最多可达三路甚至更多路码流同时输出，三路码流可分别对应实时监看、录像存储和手机监看等。</w:t>
      </w:r>
    </w:p>
    <w:p>
      <w:r>
        <w:t>（2）高帧率编码</w:t>
      </w:r>
    </w:p>
    <w:p>
      <w:r>
        <w:t>有利于捕捉快速移动物体，避免产生虚影。</w:t>
      </w:r>
    </w:p>
    <w:p>
      <w:r>
        <w:t>（3）电子透雾</w:t>
      </w:r>
    </w:p>
    <w:p>
      <w:r>
        <w:t>采用图像增强技术，实现电子透雾功能，即使在大雨、雾气等雾霾天气下也能够正常监控，获得清晰的视频、图像质量。</w:t>
      </w:r>
    </w:p>
    <w:p>
      <w:r>
        <w:t>（4）强光抑制</w:t>
      </w:r>
    </w:p>
    <w:p>
      <w:r>
        <w:t>在图像中把强光部分的视频信息通过DSP处理，将视频的信号亮度调整为正常范围，避免同一图像中前后反差太大。强光抑制技术能有效抑制强光点直接照射造成的光晕偏大，视频图像模糊，能自动分辨强光点，并对强光点附近区域进行补偿以获得更清晰的图像。</w:t>
      </w:r>
    </w:p>
    <w:p>
      <w:pPr>
        <w:pStyle w:val="6"/>
      </w:pPr>
      <w:r>
        <w:t>服务参数</w:t>
      </w:r>
    </w:p>
    <w:p>
      <w:r>
        <w:t>（1）像素≥400万像素，传感器尺寸≥1/1.8英寸；分辨率≥2560×1440；</w:t>
      </w:r>
    </w:p>
    <w:p>
      <w:r>
        <w:t>（2）不低于33倍光学变倍；</w:t>
      </w:r>
    </w:p>
    <w:p>
      <w:r>
        <w:t>（3）当环境照度低于一定值时，通过红外灯照射，可探测距离不小于200米处所摄目标的轮廓和状态；</w:t>
      </w:r>
    </w:p>
    <w:p>
      <w:r>
        <w:t>（4）支持H.264、H.265编码及MJPEG；</w:t>
      </w:r>
    </w:p>
    <w:p>
      <w:r>
        <w:t>（5）支持GB/T28181-2016协议；支持GA/T1400视图库协议；</w:t>
      </w:r>
    </w:p>
    <w:p>
      <w:r>
        <w:t>（6）防护等级：不低于IP66；支持在-40°~+70°的环境下运行。</w:t>
      </w:r>
    </w:p>
    <w:p>
      <w:pPr>
        <w:pStyle w:val="5"/>
      </w:pPr>
      <w:r>
        <w:t>900W电警卡口</w:t>
      </w:r>
    </w:p>
    <w:p>
      <w:pPr>
        <w:pStyle w:val="6"/>
      </w:pPr>
      <w:r>
        <w:t>系统概述</w:t>
      </w:r>
    </w:p>
    <w:p>
      <w:r>
        <w:t>高清电子警察前端系统按照安装位置来分，主要分为杆件设备和路边设备。杆件设备主要包括智能抓拍相机、LED补光灯、抱杆中继小机箱（抓拍单元离路口控制大机箱的网络线路长度大于100米的方向，需要配置小机箱）组成。路边设备主要包括大机箱以及大机箱内部的前端存储管理设备、红灯信号检测器等主要设备。</w:t>
      </w:r>
    </w:p>
    <w:p>
      <w:r>
        <w:t>本次项目共建设900W高清电警卡口机67个，实现对18个路口的违章检测和抓拍。</w:t>
      </w:r>
    </w:p>
    <w:p>
      <w:pPr>
        <w:pStyle w:val="6"/>
      </w:pPr>
      <w:r>
        <w:t>功能特点</w:t>
      </w:r>
    </w:p>
    <w:p>
      <w:pPr>
        <w:pStyle w:val="106"/>
        <w:numPr>
          <w:ilvl w:val="0"/>
          <w:numId w:val="8"/>
        </w:numPr>
        <w:ind w:firstLineChars="0"/>
      </w:pPr>
      <w:r>
        <w:t>检测方式</w:t>
      </w:r>
      <w:r>
        <w:tab/>
      </w:r>
    </w:p>
    <w:p>
      <w:r>
        <w:t>视频检测：采用智能视频检测技术，可实现经过车辆、多种违法行为自动检测。</w:t>
      </w:r>
    </w:p>
    <w:p>
      <w:pPr>
        <w:pStyle w:val="106"/>
        <w:numPr>
          <w:ilvl w:val="0"/>
          <w:numId w:val="8"/>
        </w:numPr>
        <w:ind w:firstLineChars="0"/>
      </w:pPr>
      <w:r>
        <w:t>信号机线圈复用</w:t>
      </w:r>
    </w:p>
    <w:p>
      <w:r>
        <w:t>可对路口信号机的检测线圈进行复用，实现车辆测速、车型精确分类功能</w:t>
      </w:r>
    </w:p>
    <w:p>
      <w:pPr>
        <w:pStyle w:val="106"/>
        <w:numPr>
          <w:ilvl w:val="0"/>
          <w:numId w:val="8"/>
        </w:numPr>
        <w:ind w:firstLineChars="0"/>
      </w:pPr>
      <w:r>
        <w:t>违法行为检测、记录功能</w:t>
      </w:r>
    </w:p>
    <w:p>
      <w:r>
        <w:t>a)</w:t>
      </w:r>
      <w:r>
        <w:tab/>
      </w:r>
      <w:r>
        <w:t>闯红灯：能实现对闯红灯的违法车辆进行检测、抓拍、记录、保存和号牌、车身颜色等识别（按照国标要求提供三张不同位置的违法过程图片）</w:t>
      </w:r>
    </w:p>
    <w:p>
      <w:r>
        <w:t>b)</w:t>
      </w:r>
      <w:r>
        <w:tab/>
      </w:r>
      <w:r>
        <w:t>逆行：能实现对逆向行驶的违法车辆进行检测、抓拍、记录、保存和号牌、车身颜色等识别。</w:t>
      </w:r>
    </w:p>
    <w:p>
      <w:r>
        <w:t>c)</w:t>
      </w:r>
      <w:r>
        <w:tab/>
      </w:r>
      <w:r>
        <w:t>闯禁令：能实现对违反禁止标志行驶的违法车辆进行检测、抓拍、记录和号牌、车身颜色等识别。</w:t>
      </w:r>
    </w:p>
    <w:p>
      <w:r>
        <w:t>d)</w:t>
      </w:r>
      <w:r>
        <w:tab/>
      </w:r>
      <w:r>
        <w:t>不按车道行驶：能实现对不按车道行驶的违法车辆进行检测、抓拍、记录、保存和号牌、车身颜色等识别。（按照国标要求提供三张不同位置的违法过程图片）</w:t>
      </w:r>
    </w:p>
    <w:p>
      <w:r>
        <w:t>e)</w:t>
      </w:r>
      <w:r>
        <w:tab/>
      </w:r>
      <w:r>
        <w:t>弯道违法变道：能实现对违法变道的违法车辆进行检测、抓拍、记录和号牌、车身颜色等识别。（按照国标要求提供三张不同位置的违法过程图片）</w:t>
      </w:r>
    </w:p>
    <w:p>
      <w:r>
        <w:t>f)</w:t>
      </w:r>
      <w:r>
        <w:tab/>
      </w:r>
      <w:r>
        <w:t>压线行驶：能实现对压线行驶的违法车辆进行检测、抓拍、记录和号牌、车身颜色等识别。</w:t>
      </w:r>
    </w:p>
    <w:p>
      <w:r>
        <w:t>g)</w:t>
      </w:r>
      <w:r>
        <w:tab/>
      </w:r>
      <w:r>
        <w:t>越线停车：在车辆可识别范围内，支持对静止超过规定时间的违法行为进行记录，并发送报警信号</w:t>
      </w:r>
    </w:p>
    <w:p>
      <w:r>
        <w:t>h)</w:t>
      </w:r>
      <w:r>
        <w:tab/>
      </w:r>
      <w:r>
        <w:t>超速：能实现对超速行驶的违法车辆进行检测、抓拍、记录和号牌、车身颜色等识别。（对于未超速车辆，可记录该车辆的行驶速度）</w:t>
      </w:r>
    </w:p>
    <w:p>
      <w:pPr>
        <w:pStyle w:val="106"/>
        <w:numPr>
          <w:ilvl w:val="0"/>
          <w:numId w:val="8"/>
        </w:numPr>
        <w:ind w:firstLineChars="0"/>
      </w:pPr>
      <w:r>
        <w:t>卡口功能</w:t>
      </w:r>
    </w:p>
    <w:p>
      <w:r>
        <w:t>a)</w:t>
      </w:r>
      <w:r>
        <w:tab/>
      </w:r>
      <w:r>
        <w:t>车辆捕获：对进入场景的车辆进行捕获抓拍</w:t>
      </w:r>
    </w:p>
    <w:p>
      <w:r>
        <w:t>b)</w:t>
      </w:r>
      <w:r>
        <w:tab/>
      </w:r>
      <w:r>
        <w:t>车辆记录：对所有的过往车辆进行记录、保存</w:t>
      </w:r>
    </w:p>
    <w:p>
      <w:r>
        <w:t>c)</w:t>
      </w:r>
      <w:r>
        <w:tab/>
      </w:r>
      <w:r>
        <w:t>非机记录：获非机动车，实现对目标的抓拍；捕获行人，实现对目标的抓拍</w:t>
      </w:r>
    </w:p>
    <w:p>
      <w:r>
        <w:t>d)</w:t>
      </w:r>
      <w:r>
        <w:tab/>
      </w:r>
      <w:r>
        <w:t>图片处理：红灯增强功能，根据白天、夜晚环境照度不同，自动调整红灯区域的亮暗程度，解决红灯偏黄的问题；图片合成，将几张违法图片合成到一张图片上，实现车头、人像照片和违法过程照片6合1关联</w:t>
      </w:r>
    </w:p>
    <w:p>
      <w:r>
        <w:t>e)</w:t>
      </w:r>
      <w:r>
        <w:tab/>
      </w:r>
      <w:r>
        <w:t>图片与视频防篡改：支持对所有视频、图片进行水印处理，并可检测是否被篡改</w:t>
      </w:r>
    </w:p>
    <w:p>
      <w:r>
        <w:t>f)</w:t>
      </w:r>
      <w:r>
        <w:tab/>
      </w:r>
      <w:r>
        <w:t>数据存储、传输：系统采集的车辆图片、违法数据、高清录像等数据支持前端和中心集中存储；通过FTP或TCP/IP等多种方式将车辆图片等信息上传到后端中心管理系统</w:t>
      </w:r>
    </w:p>
    <w:p>
      <w:r>
        <w:t>g)</w:t>
      </w:r>
      <w:r>
        <w:tab/>
      </w:r>
      <w:r>
        <w:t>断点续存：当前端网络从故障恢复正常之后，可以直接从故障点续传数据</w:t>
      </w:r>
    </w:p>
    <w:p>
      <w:pPr>
        <w:pStyle w:val="106"/>
        <w:numPr>
          <w:ilvl w:val="0"/>
          <w:numId w:val="8"/>
        </w:numPr>
        <w:ind w:firstLineChars="0"/>
      </w:pPr>
      <w:r>
        <w:tab/>
      </w:r>
      <w:r>
        <w:t>路口拥堵分析功能</w:t>
      </w:r>
    </w:p>
    <w:p>
      <w:r>
        <w:t>系统支持对路口的拥堵情况进行分析和判断，并根据规则自动感知联动信号机</w:t>
      </w:r>
    </w:p>
    <w:p>
      <w:r>
        <w:t>a）信号灯状态视频检测功能</w:t>
      </w:r>
    </w:p>
    <w:p>
      <w:r>
        <w:t>通过视频检测分析的方式判定红绿信号灯状态</w:t>
      </w:r>
    </w:p>
    <w:p>
      <w:r>
        <w:t>b）全天候高清成像</w:t>
      </w:r>
    </w:p>
    <w:p>
      <w:r>
        <w:t>有效解决雨、雪、雾天以及反光和强光直射等问题，全天候高清成像</w:t>
      </w:r>
    </w:p>
    <w:p>
      <w:r>
        <w:t>c）智能补光功能</w:t>
      </w:r>
    </w:p>
    <w:p>
      <w:r>
        <w:t>通过摄像机控制LED频闪灯为视频检测与录像补光，控制闪光灯为图片抓拍补光</w:t>
      </w:r>
    </w:p>
    <w:p>
      <w:r>
        <w:t>d）号牌自动识别功能</w:t>
      </w:r>
    </w:p>
    <w:p>
      <w:r>
        <w:t>根据捕获的目标照片，自动完成车牌号码识别和车牌颜色识别</w:t>
      </w:r>
    </w:p>
    <w:p>
      <w:r>
        <w:t>e）</w:t>
      </w:r>
      <w:r>
        <w:tab/>
      </w:r>
      <w:r>
        <w:t>车身颜色识别功能</w:t>
      </w:r>
    </w:p>
    <w:p>
      <w:r>
        <w:t>从捕获的目标图像中识别出车辆的车身颜色和颜色深浅</w:t>
      </w:r>
    </w:p>
    <w:p>
      <w:r>
        <w:t>f）</w:t>
      </w:r>
      <w:r>
        <w:tab/>
      </w:r>
      <w:r>
        <w:t>高清图像记录功能</w:t>
      </w:r>
    </w:p>
    <w:p>
      <w:r>
        <w:t>准确拍摄包含车辆全部细节信息的高清图像</w:t>
      </w:r>
    </w:p>
    <w:p>
      <w:r>
        <w:t>g）高清录像功能</w:t>
      </w:r>
    </w:p>
    <w:p>
      <w:r>
        <w:t>实现24小时高清视频录像功能</w:t>
      </w:r>
    </w:p>
    <w:p>
      <w:r>
        <w:t>h）关联录像功能</w:t>
      </w:r>
    </w:p>
    <w:p>
      <w:r>
        <w:t>支持对违法抓拍的车辆行为进行录像，将抓拍与录像关联</w:t>
      </w:r>
    </w:p>
    <w:p>
      <w:r>
        <w:t>i）</w:t>
      </w:r>
      <w:r>
        <w:tab/>
      </w:r>
      <w:r>
        <w:t>远程系统管理维护功能</w:t>
      </w:r>
    </w:p>
    <w:p>
      <w:r>
        <w:t>故障自动检测、权限管理功能、日志记录、主动较时、远程维护及参数的设置等</w:t>
      </w:r>
    </w:p>
    <w:p>
      <w:pPr>
        <w:pStyle w:val="6"/>
      </w:pPr>
      <w:r>
        <w:t>服务参数</w:t>
      </w:r>
    </w:p>
    <w:p>
      <w:r>
        <w:t>（1）像素≥900W；分辨率：4096(H)×2160(V)；不低于1" 英寸全局曝光CMOS等传感器；</w:t>
      </w:r>
    </w:p>
    <w:p>
      <w:r>
        <w:t>（2）视频压缩标准：H.265/H.264/MJPEG；</w:t>
      </w:r>
    </w:p>
    <w:p>
      <w:r>
        <w:t>（3）支持GB/T28181-2016协议；支持GA/T1400视图库协议；</w:t>
      </w:r>
    </w:p>
    <w:p>
      <w:r>
        <w:t>（4）接口：支持RJ45 100M/1000M自适应网口、RS485接口等；</w:t>
      </w:r>
    </w:p>
    <w:p>
      <w:r>
        <w:t>（5）目标检测：机动车抓拍，车辆捕获率≥99%（线圈）车辆捕获率≥99%（视频）；</w:t>
      </w:r>
    </w:p>
    <w:p>
      <w:r>
        <w:t>（</w:t>
      </w:r>
      <w:r>
        <w:rPr>
          <w:rFonts w:hint="eastAsia"/>
        </w:rPr>
        <w:t>6</w:t>
      </w:r>
      <w:r>
        <w:t>）违章检测：压线、逆行、闯红灯、不按导向行驶、违法变道等；</w:t>
      </w:r>
    </w:p>
    <w:p>
      <w:r>
        <w:t>（</w:t>
      </w:r>
      <w:r>
        <w:rPr>
          <w:rFonts w:hint="eastAsia"/>
        </w:rPr>
        <w:t>7</w:t>
      </w:r>
      <w:r>
        <w:t>）车辆特征检测：车牌识别、车型识别、车身颜色识别、车辆品牌等特征；</w:t>
      </w:r>
    </w:p>
    <w:p>
      <w:pPr>
        <w:pStyle w:val="5"/>
      </w:pPr>
      <w:r>
        <w:t>双目结构化相机</w:t>
      </w:r>
    </w:p>
    <w:p>
      <w:pPr>
        <w:pStyle w:val="6"/>
      </w:pPr>
      <w:r>
        <w:t>系统概述</w:t>
      </w:r>
    </w:p>
    <w:p>
      <w:r>
        <w:t>双目结构化相机成本高、投入大，所以主要部署在重点路段、重点部位，而大部分城市辅道、乡镇道路仍使用不具备感知能力的常规道路监控设备，导致录像量大而且没有结构化数据，大数据应用难以大范围普及。因此本次前端建设选用双目结构化相机，能够实现7*24小时、全截面、全天候的视频监控，同时具备感知能力，能够实现人员（人脸、人身）和车辆（车牌、车型、车身颜色等）抓拍等特征信息的识别提取。通过创新设计，双目结构化相机大幅降低成本，可广泛部署在城市道路、乡村道路，为大数据应用提供丰富的数据来源。</w:t>
      </w:r>
    </w:p>
    <w:p>
      <w:r>
        <w:t>双目结构化相机建设和完善，将能够对全旗范围内的各种盗抢、交通肇事车辆等行为进行更为密集和准确的布控，及时向相关机关提供报警信息，为刑侦提供重要依据。同时也能实时地对道路情况进行监控，随时掌握辖区内车流量状况，为及时疏导交通，提高通行效率带来便利。</w:t>
      </w:r>
    </w:p>
    <w:p>
      <w:r>
        <w:t>本次项目共建设双目结构化相机1211套，实现人车数据的采集，为后端大数据应用提供基础数据。</w:t>
      </w:r>
    </w:p>
    <w:p>
      <w:pPr>
        <w:pStyle w:val="6"/>
      </w:pPr>
      <w:r>
        <w:t>功能特点</w:t>
      </w:r>
    </w:p>
    <w:p>
      <w:r>
        <w:t>（1）支持对人/机动车/非机动车分类检测、跟踪，最优输出目标特写快照及关联的全景快照；</w:t>
      </w:r>
    </w:p>
    <w:p>
      <w:r>
        <w:t>（2）支持目标方向属性判断；</w:t>
      </w:r>
    </w:p>
    <w:p>
      <w:r>
        <w:t>（3）支持车牌号牌、颜色等属性分析；</w:t>
      </w:r>
    </w:p>
    <w:p>
      <w:pPr>
        <w:pStyle w:val="6"/>
      </w:pPr>
      <w:r>
        <w:t>服务参数</w:t>
      </w:r>
    </w:p>
    <w:p>
      <w:r>
        <w:t>（1）≥400万像素，图像分辨率≥2560*1440，传感器尺寸≥1/1.8英寸；</w:t>
      </w:r>
    </w:p>
    <w:p>
      <w:r>
        <w:t>（2）支持混合补光，补光距离不低于50米；</w:t>
      </w:r>
    </w:p>
    <w:p>
      <w:r>
        <w:t>（3）</w:t>
      </w:r>
      <w:r>
        <w:rPr>
          <w:rFonts w:hint="eastAsia"/>
        </w:rPr>
        <w:t>定焦通道不小于400万像素设备，变焦通道不小于400万像素设备；变焦通道10~50 mm，定焦通道4mm</w:t>
      </w:r>
      <w:r>
        <w:t>；</w:t>
      </w:r>
    </w:p>
    <w:p>
      <w:r>
        <w:t>（4）支持行人检测、车辆检测、行人加车辆检测抓拍模式；</w:t>
      </w:r>
    </w:p>
    <w:p>
      <w:r>
        <w:t>（5）支持常见车型识别，常见车标识别；</w:t>
      </w:r>
    </w:p>
    <w:p>
      <w:r>
        <w:t>（6）支持性别、年龄、是否戴眼镜、是否戴口罩、上下衣款式等人员属性，车牌类型、车牌颜色等属性分析功能；</w:t>
      </w:r>
    </w:p>
    <w:p>
      <w:r>
        <w:t>（7）设备不低于IP66防护等级；</w:t>
      </w:r>
    </w:p>
    <w:p>
      <w:r>
        <w:t>（8）支持GB/T28181-2016协议；支持GA/T1400视图库协议。</w:t>
      </w:r>
    </w:p>
    <w:p>
      <w:pPr>
        <w:pStyle w:val="5"/>
      </w:pPr>
      <w:bookmarkStart w:id="38" w:name="_Toc514688484"/>
      <w:bookmarkStart w:id="39" w:name="_Toc484960150"/>
      <w:r>
        <w:t>单目结构化相机</w:t>
      </w:r>
    </w:p>
    <w:p>
      <w:pPr>
        <w:pStyle w:val="6"/>
      </w:pPr>
      <w:r>
        <w:t>系统概述</w:t>
      </w:r>
    </w:p>
    <w:p>
      <w:r>
        <w:t>双目结构化相机成本高、投入大，所以主要部署在重点路段、重点部位，而大部分城市辅道、乡镇道路仍使用不具备感知能力的常规道路监控设备，导致录像量大而且没有结构化数据，大数据应用难以大范围普及。因此，采用单目结构化相机，针对重点路口、重点部位实现人、机动车及非机动车的直接抓拍。本期建设832路单目结构化相机，全部建设在社会面网。</w:t>
      </w:r>
    </w:p>
    <w:p>
      <w:pPr>
        <w:pStyle w:val="6"/>
      </w:pPr>
      <w:r>
        <w:rPr>
          <w:rFonts w:hint="eastAsia"/>
        </w:rPr>
        <w:t>功</w:t>
      </w:r>
      <w:r>
        <w:t>能特点</w:t>
      </w:r>
    </w:p>
    <w:p>
      <w:r>
        <w:t>单目结构化相机建设和完善，将能够对全旗范围内的各种盗抢、交通肇事车辆等行为进行更为密集和准确的布控，及时向相关机关提供报警信息，为刑侦提供重要依据。同时也能实时地对道路情况进行监控，随时掌握辖区内车流量状况，为及时疏导交通，提高通行效率带来便利。</w:t>
      </w:r>
    </w:p>
    <w:p>
      <w:pPr>
        <w:pStyle w:val="6"/>
      </w:pPr>
      <w:r>
        <w:t>服务参数</w:t>
      </w:r>
    </w:p>
    <w:p>
      <w:r>
        <w:t>（1）像素≥400万像素，传感器尺寸≥1/1.8英寸，内置一体化电动变焦，8-32mm电动变焦镜头；</w:t>
      </w:r>
    </w:p>
    <w:p>
      <w:r>
        <w:t>（2）图像分辨率≥2560*1440；</w:t>
      </w:r>
    </w:p>
    <w:p>
      <w:r>
        <w:t>（3）支持GB/T28181-2016协议；支持GA/T1400视图库协议；</w:t>
      </w:r>
    </w:p>
    <w:p>
      <w:r>
        <w:t>（4）支持人像抓拍、机动车抓拍、非机动车抓拍；</w:t>
      </w:r>
    </w:p>
    <w:p>
      <w:r>
        <w:t>（5）</w:t>
      </w:r>
      <w:r>
        <w:rPr>
          <w:rFonts w:hint="eastAsia"/>
        </w:rPr>
        <w:t>采用混合补光，补光距离不小于50米；</w:t>
      </w:r>
    </w:p>
    <w:p>
      <w:r>
        <w:rPr>
          <w:rFonts w:hint="eastAsia"/>
        </w:rPr>
        <w:t>（6）</w:t>
      </w:r>
      <w:r>
        <w:t>不低于IP66防护等级。</w:t>
      </w:r>
    </w:p>
    <w:p>
      <w:pPr>
        <w:pStyle w:val="5"/>
      </w:pPr>
      <w:r>
        <w:t>900W车辆环保卡口</w:t>
      </w:r>
    </w:p>
    <w:p>
      <w:pPr>
        <w:pStyle w:val="6"/>
      </w:pPr>
      <w:r>
        <w:t>系统概述</w:t>
      </w:r>
    </w:p>
    <w:p>
      <w:r>
        <w:t>车辆卡口系统是指通过车辆卡口抓拍设备，实现对所有经过车辆进行捕获和记录通行车辆信息，并能对机动车特征属性（车牌号码、车牌颜色、车身颜色、车辆类型、车辆标志、车辆子品牌等）自动提取。另外在补光条件允许的情况下，采用视频检测技术还对车辆内部特征属性、驾驶员行为等进行检测识别，同时将驾驶员人脸图片抠出，并与车辆信息进行自动关联，为公安机关针对人员和车辆的管控提供了关联手段。</w:t>
      </w:r>
    </w:p>
    <w:p>
      <w:r>
        <w:t>本次项目共配置43套超高清车辆卡口摄像机，对全旗重点部位、重点场所单位周边进行点位增密补盲。</w:t>
      </w:r>
    </w:p>
    <w:p>
      <w:pPr>
        <w:pStyle w:val="6"/>
      </w:pPr>
      <w:r>
        <w:t>功能</w:t>
      </w:r>
      <w:r>
        <w:rPr>
          <w:rFonts w:hint="eastAsia"/>
        </w:rPr>
        <w:t>特点</w:t>
      </w:r>
    </w:p>
    <w:p>
      <w:r>
        <w:t>（1）实时高清道路监控</w:t>
      </w:r>
    </w:p>
    <w:p>
      <w:r>
        <w:t>在满足系统应用环境要求的条件下，单台辅助卡口能够在保证视频检测分析区域对像素点要求的同时实现对整个道路断面的监控视场全覆盖，监控中心可实时调看900W车辆的高清视频图像。</w:t>
      </w:r>
    </w:p>
    <w:p>
      <w:r>
        <w:t>（2）视频检测分析与抓拍</w:t>
      </w:r>
    </w:p>
    <w:p>
      <w:r>
        <w:t>视频检测与分析，进行车辆检测与跟踪。通过关联过程来确定车辆目标在整个视场中的运行轨迹，并以此来判断是否符合违法或抓拍规则，如符合，则启动抓拍流程。</w:t>
      </w:r>
    </w:p>
    <w:p>
      <w:r>
        <w:t>视频检测与抓拍</w:t>
      </w:r>
    </w:p>
    <w:p>
      <w:r>
        <w:t>（3）车牌号码/车牌颜色识别</w:t>
      </w:r>
    </w:p>
    <w:p>
      <w:r>
        <w:t>可识别的车牌号码包括：</w:t>
      </w:r>
    </w:p>
    <w:p>
      <w:r>
        <w:t>“0～9”十个阿拉伯数字；</w:t>
      </w:r>
    </w:p>
    <w:p>
      <w:r>
        <w:t>“A～Z”二十六个英文字母；</w:t>
      </w:r>
    </w:p>
    <w:p>
      <w:r>
        <w:t>省市区汉字简称（京、津、冀、蒙、辽、吉、黑、沪、浙、皖、闽、赣、豫、鄂、湘、粤、桂、琼、川、贵、云、藏、陕、甘、青、宁、新、渝、港、澳、台）；</w:t>
      </w:r>
    </w:p>
    <w:p>
      <w:r>
        <w:t>“2012”新型军用车牌汉字与号码；</w:t>
      </w:r>
    </w:p>
    <w:p>
      <w:r>
        <w:t>符合“GA36-92”（92 式牌照）和“GA36.1-2001”（02 式新牌照）标准的民用车牌照和警用等特殊牌照的汉字（学、练）、字母、数字、颜色等信息；</w:t>
      </w:r>
    </w:p>
    <w:p>
      <w:r>
        <w:t>号牌分类用汉字（警、学、领、试、挂、港、澳）；</w:t>
      </w:r>
    </w:p>
    <w:p>
      <w:r>
        <w:t>支持2013年新武警车牌字(“WJ、0—9、A-Z、京、津、晋、冀、蒙、辽、吉、黑、沪、苏、浙、皖、闽、赣、鲁、豫、鄂、湘、粤、桂、琼、川、贵、云、藏、陕、甘、青、宁、新、渝”) ；</w:t>
      </w:r>
    </w:p>
    <w:p>
      <w:r>
        <w:t>港澳车内地牌照；使馆、领事馆、民航车牌；</w:t>
      </w:r>
    </w:p>
    <w:p>
      <w:r>
        <w:t>摩托车牌。</w:t>
      </w:r>
    </w:p>
    <w:p>
      <w:r>
        <w:t>可识别的车牌颜色包括：</w:t>
      </w:r>
    </w:p>
    <w:p>
      <w:r>
        <w:t>蓝、白、黑、绿、黄五种底色的机动车号牌。</w:t>
      </w:r>
    </w:p>
    <w:p>
      <w:r>
        <w:t>（4）车身颜色识别：能够识别10种以上车身颜色，白色、银色、黑色、红色、紫色、蓝色、黄色、绿色、褐色、粉红色等。还可以识别车身颜色的深色和浅色。</w:t>
      </w:r>
    </w:p>
    <w:p>
      <w:r>
        <w:t>（5）车型分类识别：应具备汽车、挂车、摩托车等车辆类型的识别功能；对于车辆类型识别为汽车的车辆，应能识别客车、轿车、面包车、越野客车、重中型货车、其他车辆等子类型，宜扩展支持识别GA 802中规定的主要车辆类型。</w:t>
      </w:r>
    </w:p>
    <w:p>
      <w:r>
        <w:t>（6）断点续传与本地储存：系统抓拍的机动车等特征图片数据经过通讯程序向后台存储服务器实时传输，通讯断开情况下，前端数据暂存在高清摄像机内，通讯恢复后断点续传。</w:t>
      </w:r>
    </w:p>
    <w:p>
      <w:r>
        <w:t>（7）图像记录防窜改：遵循GA/T832-2009要求，前端卡口高清摄像机对采集的图片进行防篡改和加密处理，通过加入原始防伪信息，防止原始图片在传输、存贮和校对过程中被人为篡改。</w:t>
      </w:r>
    </w:p>
    <w:p>
      <w:pPr>
        <w:pStyle w:val="6"/>
      </w:pPr>
      <w:r>
        <w:t>服务参数</w:t>
      </w:r>
    </w:p>
    <w:p>
      <w:r>
        <w:t>（1）像素≥900万；</w:t>
      </w:r>
    </w:p>
    <w:p>
      <w:r>
        <w:t>（2）视频分辨率：4096(H)×2160(V)；</w:t>
      </w:r>
    </w:p>
    <w:p>
      <w:r>
        <w:t>（3）支持GB/T28181-2016协议；支持GA/T1400视图库协议；</w:t>
      </w:r>
    </w:p>
    <w:p>
      <w:r>
        <w:t>（4）支持车牌、车型、车身颜色、车辆主品牌及子品牌、安全带、遮阳板等信息识别；</w:t>
      </w:r>
    </w:p>
    <w:p>
      <w:r>
        <w:t>（5）支持多种车牌种类识别；支持多种常见颜色识别；支持多种车型识别；</w:t>
      </w:r>
    </w:p>
    <w:p>
      <w:r>
        <w:t>（6）具有防尘、防水滴、防浪涌等功能；应包含高清镜头、室外防护罩、万向节；</w:t>
      </w:r>
    </w:p>
    <w:p>
      <w:r>
        <w:t>（7）不低于IP66防护等级；</w:t>
      </w:r>
    </w:p>
    <w:p>
      <w:r>
        <w:t>（8）夜间补光使用环保补光灯。</w:t>
      </w:r>
    </w:p>
    <w:p>
      <w:pPr>
        <w:pStyle w:val="5"/>
      </w:pPr>
      <w:r>
        <w:t>前端配套设施</w:t>
      </w:r>
      <w:bookmarkEnd w:id="38"/>
      <w:bookmarkEnd w:id="39"/>
    </w:p>
    <w:p>
      <w:pPr>
        <w:pStyle w:val="6"/>
        <w:rPr>
          <w:lang w:val="en-GB"/>
        </w:rPr>
      </w:pPr>
      <w:r>
        <w:rPr>
          <w:lang w:val="en-GB"/>
        </w:rPr>
        <w:t>立杆</w:t>
      </w:r>
      <w:r>
        <w:rPr>
          <w:rFonts w:hint="eastAsia"/>
          <w:lang w:val="en-GB"/>
        </w:rPr>
        <w:t>要求</w:t>
      </w:r>
    </w:p>
    <w:p>
      <w:r>
        <w:t>立杆用于卡口设备的安装，根据实现的功能不同，立杆的形式不一，实际横臂长度根据业主要求及实际道路状况，实地现场测定，选择不锈钢管或镀锌钢管，在喷涂着色方面，选择杆件1.2米以下为蓝色，其余喷涂为乳白色。在横臂上安装专用避雷针，选择合适位置安装避雷针使得摄像机和设备箱均在避雷针的保护角范围之内，从而对摄像机和设备箱内设备进行直击雷保护。避雷针下引线与防雷接地体连接为一体，立杆整体设计符合国标GB4054及行业标准QB1551-92的要求。</w:t>
      </w:r>
    </w:p>
    <w:p>
      <w:pPr>
        <w:pStyle w:val="7"/>
        <w:rPr>
          <w:lang w:val="en-GB"/>
        </w:rPr>
      </w:pPr>
      <w:r>
        <w:rPr>
          <w:lang w:val="en-GB"/>
        </w:rPr>
        <w:t>监控立杆</w:t>
      </w:r>
    </w:p>
    <w:p>
      <w:pPr>
        <w:rPr>
          <w:lang w:val="en-GB"/>
        </w:rPr>
      </w:pPr>
      <w:r>
        <w:rPr>
          <w:lang w:val="en-GB"/>
        </w:rPr>
        <w:t>室外摄像机不仅能够有宽阔的视野和俯瞰效果，而且图像稳定，不产生机械抖动。监控杆件分为不同规格，根据现场环境设置不同高度的杆件。监控摄像点安装在十字路口或道路边时，需考虑到道路行车安全。在杆件上配置抱杆箱以便于网络等设备安装。</w:t>
      </w:r>
    </w:p>
    <w:p>
      <w:r>
        <w:rPr>
          <w:lang w:val="en-GB"/>
        </w:rPr>
        <w:t>立杆的设计安装目标除考虑日晒雨淋抗腐蚀性外，还考虑了减少迎风面积和抗震抖动因素，显示画面不会抖动。</w:t>
      </w:r>
    </w:p>
    <w:p>
      <w:r>
        <w:t>根据所需监控的范围、角度、场景以及现场条件来选择摄像机的安装方法，由于大部分监控的地点都在道路或室外公共场所，摄像机的安装固定以立杆为主。</w:t>
      </w:r>
    </w:p>
    <w:p>
      <w:r>
        <w:t>立杆采用锥型热镀锌管，6米治安监控杆下底部的管径170mm，上部管径120mm，管壁厚度4mm。4.5米治安监控杆下底部的管径180mm，上部管径140mm，管壁厚度5mm。立杆与设备接地电阻小于10欧姆，立杆安装完成后，应用混凝土做基础保护平台，立杆高度适宜。</w:t>
      </w:r>
    </w:p>
    <w:p>
      <w:r>
        <w:t>独立立杆，杆在装好摄像机后在≤6级风时不晃动，摄像机的输出图像不抖动；</w:t>
      </w:r>
    </w:p>
    <w:p>
      <w:r>
        <w:t>所有的电源、传输设备（如ONU）、防雷器等前端辅助设备都安装在设备箱内，内部安装架的设计充分考虑设备的安装位置，同时具有防雨、防尘、防高温、防盗等功能。</w:t>
      </w:r>
    </w:p>
    <w:p>
      <w:pPr>
        <w:pStyle w:val="7"/>
        <w:rPr>
          <w:lang w:val="en-GB"/>
        </w:rPr>
      </w:pPr>
      <w:r>
        <w:rPr>
          <w:lang w:val="en-GB"/>
        </w:rPr>
        <w:t>卡口立杆</w:t>
      </w:r>
    </w:p>
    <w:p>
      <w:r>
        <w:t>（1）卡口杆件采用6.5m×8米的L型杆，下底部的管径300mm，上部管径240mm，管壁厚度6mm。悬臂高度为6米，悬臂长度不小于8米，下底部的管径220mm，上部管径100mm，悬壁厚度不低于4mm。</w:t>
      </w:r>
    </w:p>
    <w:p>
      <w:r>
        <w:t>（2）卡口杆件采用6.5m×10米的L型杆，下底部的管径330mm，上部管径280mm，管壁厚度8mm。悬臂高度为6米，悬臂长度不小于10米，下底部的管径260mm，上部管径100mm，悬壁厚度不低于5mm。</w:t>
      </w:r>
    </w:p>
    <w:p>
      <w:r>
        <w:t>（3）卡口杆件采用6.5m×12米的L型杆，下底部的管径330mm，上部管径280mm，管壁厚度8mm。悬臂高度为6米，悬臂长度不小于10米，下底部的管径260mm，上部管径100mm，悬壁厚度不低于5mm。</w:t>
      </w:r>
    </w:p>
    <w:p>
      <w:r>
        <w:t>卡口杆件立柱底座与基础预埋件、立柱与悬臂之间通过法兰盘连接。悬臂杆与杆件立柱的夹角须保证在91.5±0.1。表面热浸镀锌处理，镀锌量不少于500克/平方米。底座法兰盘的厚度达到安全要求。钢管杆立柱及横臂均采用八角锥形，断面为正八边形，角度误差控制在0.5范围内，具体视现场情况确定。立柱杆体距地面约400mm处。安装设备处留有出线孔，出线孔配有橡胶保护套。</w:t>
      </w:r>
    </w:p>
    <w:p>
      <w:pPr>
        <w:pStyle w:val="7"/>
      </w:pPr>
      <w:r>
        <w:t>监控杆参数</w:t>
      </w:r>
    </w:p>
    <w:p>
      <w:pPr>
        <w:pStyle w:val="106"/>
        <w:numPr>
          <w:ilvl w:val="0"/>
          <w:numId w:val="9"/>
        </w:numPr>
        <w:ind w:firstLineChars="0"/>
      </w:pPr>
      <w:r>
        <w:t>摄像机立杆材质：采用 Q235 碳素结构钢材；</w:t>
      </w:r>
    </w:p>
    <w:p>
      <w:pPr>
        <w:pStyle w:val="106"/>
        <w:numPr>
          <w:ilvl w:val="0"/>
          <w:numId w:val="9"/>
        </w:numPr>
        <w:ind w:firstLineChars="0"/>
      </w:pPr>
      <w:r>
        <w:t>焊接工艺：整个杆体无任何一处开裂、漏焊、连续气孔等，焊缝光滑平整，无凸凹起伏，无任何焊接缺陷，同时采用热镀锌工艺对表面进行防腐处理，镀锌层厚度≥100μm，锥度2000:1；</w:t>
      </w:r>
    </w:p>
    <w:p>
      <w:pPr>
        <w:pStyle w:val="106"/>
        <w:numPr>
          <w:ilvl w:val="0"/>
          <w:numId w:val="9"/>
        </w:numPr>
        <w:ind w:firstLineChars="0"/>
      </w:pPr>
      <w:r>
        <w:t>杆体与法兰连接处采用双面焊接,外焊加强筋,摄像机底座（设备法兰）位置及高度应满足摄像机安装的尺寸要求。</w:t>
      </w:r>
    </w:p>
    <w:p>
      <w:pPr>
        <w:pStyle w:val="106"/>
        <w:numPr>
          <w:ilvl w:val="0"/>
          <w:numId w:val="9"/>
        </w:numPr>
        <w:ind w:firstLineChars="0"/>
      </w:pPr>
      <w:r>
        <w:t>外表面采用室外耐候性纯聚酯粉末，经高压静电喷涂，要求表面颜色一致、光滑、无微粒、无桔皮现象，塑层平均厚度在 70μｍ以上，无粉化、脱落、剥离现象，杆上喷防粘漆（2米范围）。杆身2.5M上要求喷涂监控点编号。</w:t>
      </w:r>
    </w:p>
    <w:p>
      <w:pPr>
        <w:pStyle w:val="106"/>
        <w:numPr>
          <w:ilvl w:val="0"/>
          <w:numId w:val="9"/>
        </w:numPr>
        <w:ind w:firstLineChars="0"/>
      </w:pPr>
      <w:r>
        <w:t>立杆与挑臂连接选用高强度螺栓,表面热镀锌处理；采用双螺母自锁方式锁紧。</w:t>
      </w:r>
    </w:p>
    <w:p>
      <w:pPr>
        <w:pStyle w:val="106"/>
        <w:numPr>
          <w:ilvl w:val="0"/>
          <w:numId w:val="9"/>
        </w:numPr>
        <w:ind w:firstLineChars="0"/>
      </w:pPr>
      <w:r>
        <w:t>立杆的抗风能力不小于12级，抗震烈度为8 级。</w:t>
      </w:r>
    </w:p>
    <w:p>
      <w:pPr>
        <w:pStyle w:val="106"/>
        <w:numPr>
          <w:ilvl w:val="0"/>
          <w:numId w:val="9"/>
        </w:numPr>
        <w:ind w:firstLineChars="0"/>
      </w:pPr>
      <w:r>
        <w:t>立杆工艺遵循GB50348-2018《安全防范工程技术标准》、GB50009-2012《建筑结构荷载规范》、GB50017-2017《钢结构设计规范》；引用标准:GB/T700-2006《碳素结构钢》；GB/T5117-2012《非合金钢及细晶粒钢焊条》；GB/9793-2012《热喷涂 金属和其他无机覆盖层 锌、铝及其合金》。</w:t>
      </w:r>
    </w:p>
    <w:p>
      <w:pPr>
        <w:pStyle w:val="6"/>
        <w:rPr>
          <w:lang w:val="en-GB"/>
        </w:rPr>
      </w:pPr>
      <w:r>
        <w:rPr>
          <w:lang w:val="en-GB"/>
        </w:rPr>
        <w:t>杆件基础施工</w:t>
      </w:r>
      <w:r>
        <w:rPr>
          <w:rFonts w:hint="eastAsia"/>
          <w:lang w:val="en-GB"/>
        </w:rPr>
        <w:t>要求</w:t>
      </w:r>
    </w:p>
    <w:p>
      <w:pPr>
        <w:pStyle w:val="7"/>
      </w:pPr>
      <w:r>
        <w:t>杆件施工流程</w:t>
      </w:r>
    </w:p>
    <w:p>
      <w:pPr>
        <w:ind w:firstLine="0" w:firstLineChars="0"/>
        <w:jc w:val="center"/>
      </w:pPr>
      <w:r>
        <w:object>
          <v:shape id="_x0000_i1026" o:spt="75" type="#_x0000_t75" style="height:370.8pt;width:414.6pt;" o:ole="t" filled="f" o:preferrelative="t" stroked="f" coordsize="21600,21600">
            <v:path/>
            <v:fill on="f" focussize="0,0"/>
            <v:stroke on="f" joinstyle="miter"/>
            <v:imagedata r:id="rId22" o:title=""/>
            <o:lock v:ext="edit" aspectratio="t"/>
            <w10:wrap type="none"/>
            <w10:anchorlock/>
          </v:shape>
          <o:OLEObject Type="Embed" ProgID="Visio.Drawing.11" ShapeID="_x0000_i1026" DrawAspect="Content" ObjectID="_1468075726" r:id="rId21">
            <o:LockedField>false</o:LockedField>
          </o:OLEObject>
        </w:object>
      </w:r>
    </w:p>
    <w:p>
      <w:pPr>
        <w:pStyle w:val="10"/>
      </w:pPr>
      <w:r>
        <w:t>杆件施工流程图</w:t>
      </w:r>
    </w:p>
    <w:p>
      <w:r>
        <w:t>施工时需要严格执行如上的流程图，以保证施工质量和安全。</w:t>
      </w:r>
    </w:p>
    <w:p>
      <w:r>
        <w:t>基础开挖过程时做好对原有地面覆砖的保护，启封地砖依次码放整齐，基础开挖过程中采用人力开挖加轻型电动工具结合，禁止使用大规模开挖设备进行野蛮施工，施工过程中遇相关管道设施做好保护工作，避免因施工造成的管路跑、冒、滴、漏情况。作业时严禁掏洞挖土、搜底扩槽、在槽内休息。</w:t>
      </w:r>
    </w:p>
    <w:p>
      <w:r>
        <w:t>基础砌置在老土层上，基础采用明挖法施工，基底应先平整、夯实，控制好标高。如受场地限制，不能放坡开挖，可采取基础挡板，每边留出超出垫层300的工作面。本工程采用天然基础,基础持力层须为原土,地基承载力特征值必须满足fak≥110KPa。当地质异常或设计与现场不符时应及时通知设计人员。因建设方未有提供地质报告，地基承载力由建设方另行委托确定。</w:t>
      </w:r>
    </w:p>
    <w:p>
      <w:r>
        <w:t>基础的深度、宽度必须按图纸要求进行基础开挖（必要时还应根据现场条件进行加固）；基础施工必须垂直下挖，四方有形，并及时清理开挖垃圾杂物；基础开挖好后工程技术人员对开挖尺寸进行实际测量、核实，符合要求后才能进行下一步工序。施工中，应做好隐蔽工程的随工验收，并做好记录（照片按照业主与监理要求拍摄）。</w:t>
      </w:r>
    </w:p>
    <w:p>
      <w:r>
        <w:t xml:space="preserve">基坑挖好后采用C25混凝土立即浇注垫层混凝土，待混凝土硬化后，再绑扎钢筋，混凝土保护层厚度40mm。 </w:t>
      </w:r>
    </w:p>
    <w:p>
      <w:r>
        <w:t>在立杆基础挖掘过程中，要在立杆基础附近制作一个电缆井，井壁、井底需用水泥砖砌成，井壁内侧需用水泥砂浆抹平，所安装的井框盖上井盖后要与步道砖上面或地面齐平，井底要低于由立杆基础处引至的下线管头</w:t>
      </w:r>
    </w:p>
    <w:p>
      <w:pPr>
        <w:pStyle w:val="7"/>
      </w:pPr>
      <w:r>
        <w:t>地笼预埋</w:t>
      </w:r>
    </w:p>
    <w:p>
      <w:r>
        <w:t>每根立杆配备一个地笼。地笼含地笼骨架、镀锌扁铁、接地桩、通线管和接地电缆。将地笼放置在基础中心位置，用水平尺测量每个螺栓保证地笼放置水平，调整好垂直与水平；地笼的地脚螺栓、螺母、垫片数量应与杆件下法兰盘的安装孔数一致，并预留调整用垫片；必须注意地脚螺栓位置，保证挑臂方向朝向监控范围内。</w:t>
      </w:r>
    </w:p>
    <w:p>
      <w:r>
        <w:t>基础的预埋件在浇注前应该临时固定，避免下步浇筑混凝土时地笼倾斜移位，用水平尺确定骨架定位法兰呈水平状态；因地下原有管道位置导致地笼不能放正中的，可以合理安放，不适合做基础的应及早更换位置。</w:t>
      </w:r>
    </w:p>
    <w:p>
      <w:r>
        <w:t>基础内下线管的安放可与地笼安放同步或稍后进行，要求如下：</w:t>
      </w:r>
    </w:p>
    <w:p>
      <w:r>
        <w:t>（1）下线管的尺寸、数量及走线方向要事先规划好，留有余量；</w:t>
      </w:r>
    </w:p>
    <w:p>
      <w:r>
        <w:t>（2）管内洁净不准有异物、毛刺，管头切口平直、整齐，管弯曲处无变形、压扁现象；</w:t>
      </w:r>
    </w:p>
    <w:p>
      <w:r>
        <w:t>（3）下线管另一端从电缆井引出，要求管头水平或稍向下倾斜，在电缆井内留有20～50mm的余量。</w:t>
      </w:r>
    </w:p>
    <w:p>
      <w:r>
        <w:t>（4）线管弯曲半径需大于下线管直径的15倍；</w:t>
      </w:r>
    </w:p>
    <w:p>
      <w:r>
        <w:t>（5）浇注混凝土前将管口纱头堵住，同时管口应高出基础上端面50mm以上。</w:t>
      </w:r>
    </w:p>
    <w:p>
      <w:r>
        <w:t>以上操作完成后，采用C25混凝土实施浇注（注意在这之前要把杆件防雷接地同步做好，详细施工要求见防雷接地桩制作），水泥强度等级为42.5，符合GB 50204-2015 的规定；将混凝土倒入基坑内，必须一边浇灌一边用振动棒震动；浇筑三分之一后用振动棒振实，反复操作，直到浇筑完毕，防止混凝土有空鼓，同时还要保证各螺栓的相对尺寸要保持不变。</w:t>
      </w:r>
    </w:p>
    <w:p>
      <w:r>
        <w:t>混凝土浇筑完成，表面水分蒸发后有可塑性时，需对基础表面抹光处理，基础边缘整齐，棱角分明。</w:t>
      </w:r>
    </w:p>
    <w:p>
      <w:r>
        <w:t>基础浇注完成后，上表面裸露的部分应及时用材料覆盖，做好定期保养；混凝土基础保养期一般7-10天；基础养生时间需根据所采用的水泥混凝土砂浆性能要求执行，养护期间要做好现场的保护工作，在初始两天内应多次使用水平尺检验。</w:t>
      </w:r>
    </w:p>
    <w:p>
      <w:r>
        <w:t>基础挖掘产生的残土、碎石等，在下线管敷设完毕和基础养生完毕后，尽量回填并夯实，如有绿化带或步道砖等市政设施，必须尽量恢复原状；恢复基础及下线管剩余的残土、废料等，现场人员必须依照当地的管理要求予以妥善处理；基础回填土必须分层夯实，其压实系数不小于0.94。</w:t>
      </w:r>
    </w:p>
    <w:p>
      <w:r>
        <w:t>施工过程中通过水平仪保证基础平面水平，即用水平尺在基础顶板垂直两个方向测量，工程技术人员随时跟踪检查。</w:t>
      </w:r>
    </w:p>
    <w:p>
      <w:r>
        <w:t>地笼基础件上螺纹杆在运输及施工过程中必须保护好，防止螺纹生锈及螺纹损坏。</w:t>
      </w:r>
    </w:p>
    <w:p>
      <w:pPr>
        <w:ind w:firstLine="0" w:firstLineChars="0"/>
        <w:jc w:val="center"/>
      </w:pPr>
      <w:r>
        <w:drawing>
          <wp:inline distT="0" distB="0" distL="0" distR="0">
            <wp:extent cx="4614545" cy="30397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614545" cy="3039745"/>
                    </a:xfrm>
                    <a:prstGeom prst="rect">
                      <a:avLst/>
                    </a:prstGeom>
                    <a:noFill/>
                    <a:ln>
                      <a:noFill/>
                    </a:ln>
                  </pic:spPr>
                </pic:pic>
              </a:graphicData>
            </a:graphic>
          </wp:inline>
        </w:drawing>
      </w:r>
    </w:p>
    <w:p>
      <w:pPr>
        <w:pStyle w:val="10"/>
      </w:pPr>
      <w:r>
        <w:t>基础结构效果图</w:t>
      </w:r>
    </w:p>
    <w:p>
      <w:pPr>
        <w:pStyle w:val="6"/>
      </w:pPr>
      <w:r>
        <w:t>窨井施工</w:t>
      </w:r>
      <w:r>
        <w:rPr>
          <w:rFonts w:hint="eastAsia"/>
        </w:rPr>
        <w:t>要求</w:t>
      </w:r>
    </w:p>
    <w:p>
      <w:r>
        <w:t>窨井是方便线缆敷设及系统检测维修。窨井的深度、宽度必须按图纸要求进行基础开挖，窨井一侧与道路侧石线平行，出线管口伸出窨井50mm左右，管口要光滑无毛刺且用纱头堵住，以防杂物进入。</w:t>
      </w:r>
    </w:p>
    <w:p>
      <w:r>
        <w:t>用砖砌四壁，井壁以水泥砖为主，砌好后工程技术人员对尺寸进行实际测量、核实，符合要求后才能进行下一步工序。施工中，应做好隐蔽工程的随工验收，并做好记录（照片按照业主与监理要求拍摄）。再对井壁内侧需用水泥砂浆抹平，在井内设排水导管,导水管通向附近雨水井；所安装的井框盖上井盖后要与步道砖上面或地面齐平，井底要低于由立杆基础处引至的下线管头。定额按挖深1.0m计算，如增减0.1m，则应增减机砖24块和水泥5kg；高地下水位地点，将</w:t>
      </w:r>
      <w:r>
        <w:rPr>
          <w:rFonts w:hint="eastAsia" w:ascii="MS Gothic" w:hAnsi="MS Gothic" w:eastAsia="MS Gothic" w:cs="MS Gothic"/>
        </w:rPr>
        <w:t>∅</w:t>
      </w:r>
      <w:r>
        <w:t>200渗排水孔改为积水坑。</w:t>
      </w:r>
    </w:p>
    <w:p>
      <w:pPr>
        <w:pStyle w:val="6"/>
      </w:pPr>
      <w:r>
        <w:t>基础要求</w:t>
      </w:r>
    </w:p>
    <w:p>
      <w:r>
        <w:t>采用混凝土加钢筋浇注，6 m立杆灌浇水泥尺寸不小于1.0m×1.0m×1.2m，4.5m立杆灌浇水泥尺寸不小于1.0m×1.0m×1.0m。预埋走线管道，没有特殊情况所有监控立杆预埋件混凝土为C25商品砼，所配钢筋需符合国标及受风要求。</w:t>
      </w:r>
    </w:p>
    <w:p>
      <w:pPr>
        <w:pStyle w:val="6"/>
        <w:rPr>
          <w:lang w:val="en-GB"/>
        </w:rPr>
      </w:pPr>
      <w:r>
        <w:rPr>
          <w:lang w:val="en-GB"/>
        </w:rPr>
        <w:t>设备箱</w:t>
      </w:r>
      <w:r>
        <w:rPr>
          <w:rFonts w:hint="eastAsia"/>
          <w:lang w:val="en-GB"/>
        </w:rPr>
        <w:t>要求</w:t>
      </w:r>
    </w:p>
    <w:p>
      <w:pPr>
        <w:rPr>
          <w:lang w:val="en-GB"/>
        </w:rPr>
      </w:pPr>
      <w:r>
        <w:rPr>
          <w:lang w:val="en-GB"/>
        </w:rPr>
        <w:t>本期工程每个视频监控杆上均配置一个设备箱，设备箱内置电源插座、电源适配器、光纤熔接盘、空开、防雷器等设备。设备箱可以采用挂杆或立水泥墩两种方式进行安装。</w:t>
      </w:r>
    </w:p>
    <w:p>
      <w:pPr>
        <w:pStyle w:val="7"/>
        <w:rPr>
          <w:lang w:val="en-GB"/>
        </w:rPr>
      </w:pPr>
      <w:r>
        <w:rPr>
          <w:lang w:val="en-GB"/>
        </w:rPr>
        <w:t>监控前端设备箱</w:t>
      </w:r>
      <w:r>
        <w:rPr>
          <w:rFonts w:hint="eastAsia"/>
          <w:lang w:val="en-GB"/>
        </w:rPr>
        <w:t>要求</w:t>
      </w:r>
    </w:p>
    <w:p>
      <w:r>
        <w:t>箱体采用2mm的标号304不锈钢板，整体喷塑，然后丝印标志和文字。箱体技术要求如下：</w:t>
      </w:r>
    </w:p>
    <w:p>
      <w:r>
        <w:t>（1）箱体的宽×高×深为500mm×450mm×400mm；1.2mm厚镀锌板，集成自动重合闸、电源输出、电源防雷、网络防雷、空开、风扇、LED灯等模块于一体；支持AC220V电源插座，AC24V电源输出端子、DC12V电源输出端子；</w:t>
      </w:r>
    </w:p>
    <w:p>
      <w:r>
        <w:t>（2）一个箱体配备两个抱箍；</w:t>
      </w:r>
    </w:p>
    <w:p>
      <w:r>
        <w:t>（3）箱体内部安装铝板，铝板上打孔攻丝，所有设备安装在安装铝板上；</w:t>
      </w:r>
    </w:p>
    <w:p>
      <w:r>
        <w:t>（4）提供箱体内部安装设备的安装附件和安装螺钉；</w:t>
      </w:r>
    </w:p>
    <w:p>
      <w:r>
        <w:t>（5）箱体安装防水锁，所有锁芯统一钥匙；</w:t>
      </w:r>
    </w:p>
    <w:p>
      <w:r>
        <w:t>（6）整箱防水，箱门内侧粘有密封条,其密封条宽度应大于10mm,并具有一定的厚度，保证箱门的密封性良好；</w:t>
      </w:r>
    </w:p>
    <w:p>
      <w:r>
        <w:t>箱体外部喷印标志和文字。</w:t>
      </w:r>
    </w:p>
    <w:p>
      <w:r>
        <w:t>箱体的结构图如下图：</w:t>
      </w:r>
    </w:p>
    <w:p>
      <w:pPr>
        <w:jc w:val="center"/>
      </w:pPr>
      <w:r>
        <w:drawing>
          <wp:inline distT="0" distB="0" distL="0" distR="0">
            <wp:extent cx="4624070" cy="236347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635050" cy="2369218"/>
                    </a:xfrm>
                    <a:prstGeom prst="rect">
                      <a:avLst/>
                    </a:prstGeom>
                  </pic:spPr>
                </pic:pic>
              </a:graphicData>
            </a:graphic>
          </wp:inline>
        </w:drawing>
      </w:r>
    </w:p>
    <w:p>
      <w:pPr>
        <w:pStyle w:val="10"/>
      </w:pPr>
      <w:r>
        <w:t>箱体内部布局图</w:t>
      </w:r>
    </w:p>
    <w:p>
      <w:r>
        <w:t>避雷器、空气开关、网络设备、电源适配器安装在同一个设备箱内。考虑到设备安全和维修方便，同时防止人员随手破坏，设备箱安装于监控立杆距地面3.5m处。</w:t>
      </w:r>
    </w:p>
    <w:p>
      <w:r>
        <w:t>设备箱内安装一个防雷器和两个接地柱。两个接地柱分别为电源接地和防雷接地，接地柱通过接地铜线连接到接地镀锌扁铁上。如下图</w:t>
      </w:r>
    </w:p>
    <w:p>
      <w:pPr>
        <w:keepNext/>
        <w:jc w:val="center"/>
      </w:pPr>
      <w:r>
        <w:drawing>
          <wp:inline distT="0" distB="0" distL="0" distR="0">
            <wp:extent cx="2619375" cy="1209675"/>
            <wp:effectExtent l="0" t="0" r="9525" b="9525"/>
            <wp:docPr id="87" name="图片 87" descr="8896290821450944129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88962908214509441295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619375" cy="1209675"/>
                    </a:xfrm>
                    <a:prstGeom prst="rect">
                      <a:avLst/>
                    </a:prstGeom>
                    <a:noFill/>
                    <a:ln>
                      <a:noFill/>
                    </a:ln>
                  </pic:spPr>
                </pic:pic>
              </a:graphicData>
            </a:graphic>
          </wp:inline>
        </w:drawing>
      </w:r>
    </w:p>
    <w:p>
      <w:pPr>
        <w:pStyle w:val="10"/>
      </w:pPr>
      <w:r>
        <w:t>卡口前端设备箱安装图</w:t>
      </w:r>
    </w:p>
    <w:p>
      <w:r>
        <w:t>卡口系统采用路口落地机箱，外部美观大方，机箱尺寸1200×650×600mm，安装后距地高度≥X50mm。采用1.2mm厚镀锌板制作，喷涂深灰或银灰镀塑材料，门隙、门锁具有防撬措施。集成自动重合闸、电源输出、电源防雷、网络防雷、空开、风扇、LED灯等模块于一体；支持AC220V电源插座。</w:t>
      </w:r>
    </w:p>
    <w:p>
      <w:r>
        <w:t>机箱箱体结构为双层板材制作，以保证暴晒下箱体内部温度最大限度不受影响。机箱顶端有双排风装置。机箱内电器安装规范整洁。220V进线、出线须安装空气开关，避雷装置。</w:t>
      </w:r>
    </w:p>
    <w:p>
      <w:r>
        <w:t>机箱预留足够的通讯设备安装空间。</w:t>
      </w:r>
    </w:p>
    <w:p>
      <w:pPr>
        <w:pStyle w:val="7"/>
        <w:rPr>
          <w:lang w:val="en-GB"/>
        </w:rPr>
      </w:pPr>
      <w:r>
        <w:rPr>
          <w:lang w:val="en-GB"/>
        </w:rPr>
        <w:t>机箱内布线</w:t>
      </w:r>
      <w:r>
        <w:rPr>
          <w:rFonts w:hint="eastAsia"/>
          <w:lang w:val="en-GB"/>
        </w:rPr>
        <w:t>要求</w:t>
      </w:r>
    </w:p>
    <w:p>
      <w:r>
        <w:t>监控点所用网线规格为CAT 6（屏蔽）国标线，此线用于摄像机－避雷器-网络设备之间的网络接口连接。</w:t>
      </w:r>
    </w:p>
    <w:p>
      <w:r>
        <w:t>强电线路和弱电线路通过不同的穿线孔从杆体内穿入设备箱内，设备箱内强电、弱电分别通过隔板两端的专用穿线孔进行穿线，穿线孔距离符合安全距离要求。线端的标识依据统一编码规则做好永久标签。</w:t>
      </w:r>
    </w:p>
    <w:p>
      <w:pPr>
        <w:pStyle w:val="6"/>
      </w:pPr>
      <w:bookmarkStart w:id="40" w:name="_Toc514688486"/>
      <w:bookmarkStart w:id="41" w:name="_Toc450751238"/>
      <w:bookmarkStart w:id="42" w:name="_Toc484960152"/>
      <w:r>
        <w:t>标识牌</w:t>
      </w:r>
      <w:bookmarkEnd w:id="40"/>
      <w:bookmarkEnd w:id="41"/>
      <w:bookmarkEnd w:id="42"/>
      <w:r>
        <w:rPr>
          <w:rFonts w:hint="eastAsia"/>
        </w:rPr>
        <w:t>要求</w:t>
      </w:r>
    </w:p>
    <w:p>
      <w:r>
        <w:t>室外单面标志牌所用铝板符合GB/T3880.1和GB/T3880.2标准。标志牌底边与地面净高2.2米以上。标志牌外框规格为600*400mm，铝板四周翻折10mm框边，背面采用50mm铝型材，铝板与背面铝型材采用焊接连接，焊缝打磨平滑；所有结构的焊接必须满足国家行业标准。JGJ81-2002《建筑钢结构焊接技术规程》的技术要求；标志牌底板采用2mm厚铝板，没有拼接，是整块成形，牌面反光膜选用反光膜，反光膜的各项指标达到国标GB/T1833-2002。</w:t>
      </w:r>
    </w:p>
    <w:p>
      <w:pPr>
        <w:pStyle w:val="7"/>
      </w:pPr>
      <w:r>
        <w:t>位置要求</w:t>
      </w:r>
    </w:p>
    <w:p>
      <w:r>
        <w:t>视频监控区域标志应设置在视频监控区域的入口和视频监控区域内的醒目位置。视频监控区域较大的，应根据需要设置多个标志。</w:t>
      </w:r>
    </w:p>
    <w:p>
      <w:pPr>
        <w:pStyle w:val="7"/>
      </w:pPr>
      <w:r>
        <w:t>规格选择</w:t>
      </w:r>
    </w:p>
    <w:p>
      <w:r>
        <w:t>（1）应根据标志设置的位置、标志设置区域大小及标志所要传递信息的视距要求确定标志的最大观察距离。</w:t>
      </w:r>
    </w:p>
    <w:p>
      <w:r>
        <w:t>（2）应根据确定的最大观察距离，从尺寸系列中选择对应的标志尺寸，并按照标志进行等比例放大。</w:t>
      </w:r>
    </w:p>
    <w:p>
      <w:pPr>
        <w:pStyle w:val="7"/>
      </w:pPr>
      <w:r>
        <w:t>安装要求</w:t>
      </w:r>
    </w:p>
    <w:p>
      <w:r>
        <w:t>（1）应根据视频监控区域的实际情况和特点选择恰当的安装方式：</w:t>
      </w:r>
    </w:p>
    <w:p>
      <w:pPr>
        <w:pStyle w:val="106"/>
        <w:numPr>
          <w:ilvl w:val="0"/>
          <w:numId w:val="10"/>
        </w:numPr>
        <w:ind w:firstLineChars="0"/>
      </w:pPr>
      <w:r>
        <w:t>附着式：标志直接固定在建筑物上；</w:t>
      </w:r>
    </w:p>
    <w:p>
      <w:pPr>
        <w:pStyle w:val="106"/>
        <w:numPr>
          <w:ilvl w:val="0"/>
          <w:numId w:val="10"/>
        </w:numPr>
        <w:ind w:firstLineChars="0"/>
      </w:pPr>
      <w:r>
        <w:t>柱式：固定在一根或多根支撑杆上；</w:t>
      </w:r>
    </w:p>
    <w:p>
      <w:pPr>
        <w:pStyle w:val="106"/>
        <w:numPr>
          <w:ilvl w:val="0"/>
          <w:numId w:val="10"/>
        </w:numPr>
        <w:ind w:firstLineChars="0"/>
      </w:pPr>
      <w:r>
        <w:t>框架式：固定在框架内或支撑杆之间：</w:t>
      </w:r>
    </w:p>
    <w:p>
      <w:pPr>
        <w:pStyle w:val="106"/>
        <w:numPr>
          <w:ilvl w:val="0"/>
          <w:numId w:val="10"/>
        </w:numPr>
        <w:ind w:firstLineChars="0"/>
      </w:pPr>
      <w:r>
        <w:t>悬挂式：悬空连接在安装位置上；</w:t>
      </w:r>
    </w:p>
    <w:p>
      <w:pPr>
        <w:pStyle w:val="106"/>
        <w:numPr>
          <w:ilvl w:val="0"/>
          <w:numId w:val="10"/>
        </w:numPr>
        <w:ind w:firstLineChars="0"/>
      </w:pPr>
      <w:r>
        <w:t>台式：摆放在台面上。</w:t>
      </w:r>
    </w:p>
    <w:p>
      <w:r>
        <w:t>（2）附着式和框架式视频监控区域标志的上边缘与地面之间的垂直距离宜为 1.6m～2.0m。</w:t>
      </w:r>
    </w:p>
    <w:p>
      <w:r>
        <w:t>（3）悬挂式视频监控区域标志的下边缘与地面之间的垂直距离应不小于 2.2m。</w:t>
      </w:r>
    </w:p>
    <w:p>
      <w:r>
        <w:t>（4）同一视频监控区域内的相同安装方式的视频监控区域标志设置高度、大小应相同。</w:t>
      </w:r>
    </w:p>
    <w:p>
      <w:r>
        <w:t>在制作时，板面为蓝底白字白边框白图案。标志牌文字采用大黑字体。标志牌与监控立杆采用不锈钢卡子固定，详见下图：</w:t>
      </w:r>
    </w:p>
    <w:p>
      <w:pPr>
        <w:keepNext/>
        <w:jc w:val="center"/>
      </w:pPr>
      <w:r>
        <w:drawing>
          <wp:inline distT="0" distB="0" distL="0" distR="0">
            <wp:extent cx="1766570" cy="1475740"/>
            <wp:effectExtent l="0" t="0" r="0" b="0"/>
            <wp:docPr id="86" name="图片 86" descr="243255116145094413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24325511614509441303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771367" cy="1480183"/>
                    </a:xfrm>
                    <a:prstGeom prst="rect">
                      <a:avLst/>
                    </a:prstGeom>
                    <a:noFill/>
                    <a:ln>
                      <a:noFill/>
                    </a:ln>
                  </pic:spPr>
                </pic:pic>
              </a:graphicData>
            </a:graphic>
          </wp:inline>
        </w:drawing>
      </w:r>
      <w:r>
        <w:drawing>
          <wp:inline distT="0" distB="0" distL="0" distR="0">
            <wp:extent cx="2987040" cy="1473835"/>
            <wp:effectExtent l="0" t="0" r="0" b="0"/>
            <wp:docPr id="85" name="图片 85" descr="618459117145094413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618459117145094413039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994026" cy="1477402"/>
                    </a:xfrm>
                    <a:prstGeom prst="rect">
                      <a:avLst/>
                    </a:prstGeom>
                    <a:noFill/>
                    <a:ln>
                      <a:noFill/>
                    </a:ln>
                  </pic:spPr>
                </pic:pic>
              </a:graphicData>
            </a:graphic>
          </wp:inline>
        </w:drawing>
      </w:r>
    </w:p>
    <w:p>
      <w:pPr>
        <w:pStyle w:val="9"/>
      </w:pPr>
      <w:r>
        <w:t>标志牌与监控立杆图</w:t>
      </w:r>
    </w:p>
    <w:p>
      <w:pPr>
        <w:pStyle w:val="7"/>
      </w:pPr>
      <w:r>
        <w:t>杆体标识牌</w:t>
      </w:r>
      <w:r>
        <w:rPr>
          <w:rFonts w:hint="eastAsia"/>
        </w:rPr>
        <w:t>要求</w:t>
      </w:r>
    </w:p>
    <w:p>
      <w:r>
        <w:t>对本项目新建的前端点位杆体进行统一编号设计，在每个监控杆上贴上标识牌，标识牌信息包括“雪亮工程”字样、杆体编号和联系电话。</w:t>
      </w:r>
    </w:p>
    <w:p>
      <w:pPr>
        <w:pStyle w:val="6"/>
      </w:pPr>
      <w:bookmarkStart w:id="43" w:name="_Toc450751240"/>
      <w:bookmarkStart w:id="44" w:name="_Toc484960154"/>
      <w:bookmarkStart w:id="45" w:name="_Toc514688488"/>
      <w:r>
        <w:t>前端取电及实施方式</w:t>
      </w:r>
      <w:bookmarkEnd w:id="43"/>
      <w:bookmarkEnd w:id="44"/>
      <w:bookmarkEnd w:id="45"/>
    </w:p>
    <w:p>
      <w:r>
        <w:rPr>
          <w:lang w:val="en-GB"/>
        </w:rPr>
        <w:t>本工程采取就近取电的方式为前端设备来进行供电。各摄像机终端在就近的公共供电网络(如路灯供电网)取一路220V市电，采用RVV3*2.5mm²电缆进行供电，市电经加装自动重合闸开关（含SPD），</w:t>
      </w:r>
      <w:r>
        <w:t>与主干线路隔离并</w:t>
      </w:r>
      <w:r>
        <w:rPr>
          <w:lang w:val="en-GB"/>
        </w:rPr>
        <w:t>引到设备箱使用，保证了引入部分电源线路的漏电及防雷防护。</w:t>
      </w:r>
      <w:r>
        <w:t>所有供电线路在管道中间不允许有任何接头。</w:t>
      </w:r>
    </w:p>
    <w:p>
      <w:r>
        <w:t>主干线路通过立杆下端的接线井送入到安装在立杆上的设备箱内，如不是主干线路路由终点，主干线路从设备箱内迂回接线井并往下一监控点续传。所有接线在设备箱内完成，接线井内不留供电线路的接线头，以保证用电安全。供电线路做好标签（标牌），内容明确本段供电线路“源头”和“去向”。标签设置在设备箱内，标牌设置在接线井内，标牌防腐蚀性强，具有永久标识特性。</w:t>
      </w:r>
    </w:p>
    <w:p>
      <w:r>
        <w:t>取电线路接入设备箱内空气开关电源的输入端，空气开关电源输出端接二合一避雷器（避雷器）的电源输入端，避雷器电源输出端再接各电源适配器，适配器连接各类设备。通过避雷器的电源接口过度后再连接各类电源适配器的目的是将电源适配器和设备置于避雷器的保护之下。</w:t>
      </w:r>
    </w:p>
    <w:p>
      <w:r>
        <w:t>安装在同一位置的数个前端摄像的供电由设备箱</w:t>
      </w:r>
      <w:r>
        <w:rPr>
          <w:lang w:val="en-GB"/>
        </w:rPr>
        <w:t>（电缆型号RVV3*1.0mm²）</w:t>
      </w:r>
      <w:r>
        <w:t>统一供电</w:t>
      </w:r>
      <w:r>
        <w:rPr>
          <w:lang w:val="en-GB"/>
        </w:rPr>
        <w:t>，</w:t>
      </w:r>
      <w:r>
        <w:t>而设备箱采用就近取电的供电方式，如涉及到引电下户时由具体施工方统一解决。</w:t>
      </w:r>
    </w:p>
    <w:p>
      <w:pPr>
        <w:pStyle w:val="6"/>
      </w:pPr>
      <w:bookmarkStart w:id="46" w:name="_Toc484960155"/>
      <w:bookmarkStart w:id="47" w:name="_Toc450751241"/>
      <w:bookmarkStart w:id="48" w:name="_Toc514688489"/>
      <w:r>
        <w:t>防雷接地</w:t>
      </w:r>
      <w:bookmarkEnd w:id="46"/>
      <w:bookmarkEnd w:id="47"/>
      <w:bookmarkEnd w:id="48"/>
      <w:r>
        <w:rPr>
          <w:rFonts w:hint="eastAsia"/>
        </w:rPr>
        <w:t>要求</w:t>
      </w:r>
    </w:p>
    <w:p>
      <w:r>
        <w:t>严格执行国家的有关标准和规范，立杆防雷接地电阻</w:t>
      </w:r>
      <w:r>
        <w:rPr>
          <w:rFonts w:hint="eastAsia" w:ascii="宋体" w:hAnsi="宋体" w:cs="宋体"/>
        </w:rPr>
        <w:t>≦</w:t>
      </w:r>
      <w:r>
        <w:t>10Ω,接地网布置依据地形进行设计。立杆的基础由钢筋网加混凝土构成，首先用三根Ф50毫米的钢管或50*50*5mm的角钢作为接地极，同时用镀锌扁钢把四根接地极焊接形成接地网的一部分，再此接地网与法兰盘进行焊接，钢管或角钢经过热镀锌工艺处理，以增加抗腐性能和提高其导电性能。</w:t>
      </w:r>
    </w:p>
    <w:p>
      <w:r>
        <w:t>当土壤电阻率太高而不能满足要求时，采用垂直接地极＋减阻剂的方法使地网接地电阻符合要求，确保接地电阻小于10Ω。，垂直接地体可采用热镀锌角铁或热镀锌圆钢，水平接地体采用镀锌扁钢，以防止接地体受潮腐蚀后造成接地电阻漂移。</w:t>
      </w:r>
    </w:p>
    <w:p>
      <w:r>
        <w:t>接地施工时如监控点附近有符合要求的良好接地体，最好能将监控点接地点与其连接，增强接地效果。</w:t>
      </w:r>
    </w:p>
    <w:p>
      <w:r>
        <w:t>使用立杆安装的摄像机，在监控立杆横臂上安装避雷针，对设备进行直击雷保护，避雷针下引线和接地引线可连接到一起，接入到接地体上。在设备箱安装铜质接地排通过直径为16mm2软质铜绞线连接接地体，设备箱内设备信号通过二合一避雷器进行防雷保护。</w:t>
      </w:r>
    </w:p>
    <w:p>
      <w:r>
        <w:t>所有设备包括：摄像机、避雷器等的金属外壳、设备接地端子、空开漏保接地端子，线缆屏蔽层均可靠连接到设备箱的接地铜排上，施工时确保设备箱的接地铜排与接地体有效紧固连接。</w:t>
      </w:r>
    </w:p>
    <w:p>
      <w:pPr>
        <w:pStyle w:val="7"/>
      </w:pPr>
      <w:r>
        <w:t>防雷器参数</w:t>
      </w:r>
    </w:p>
    <w:p>
      <w:r>
        <w:t>电源防雷：</w:t>
      </w:r>
    </w:p>
    <w:p>
      <w:pPr>
        <w:pStyle w:val="106"/>
        <w:numPr>
          <w:ilvl w:val="0"/>
          <w:numId w:val="11"/>
        </w:numPr>
        <w:ind w:firstLineChars="0"/>
      </w:pPr>
      <w:r>
        <w:t>标称放电电流：≥20KA（8/20uS）；</w:t>
      </w:r>
    </w:p>
    <w:p>
      <w:pPr>
        <w:pStyle w:val="106"/>
        <w:numPr>
          <w:ilvl w:val="0"/>
          <w:numId w:val="11"/>
        </w:numPr>
        <w:ind w:firstLineChars="0"/>
      </w:pPr>
      <w:r>
        <w:t>最大持续运行电压：275V ；</w:t>
      </w:r>
    </w:p>
    <w:p>
      <w:pPr>
        <w:pStyle w:val="106"/>
        <w:numPr>
          <w:ilvl w:val="0"/>
          <w:numId w:val="11"/>
        </w:numPr>
        <w:ind w:firstLineChars="0"/>
      </w:pPr>
      <w:r>
        <w:t>保护水平：≤1000V；</w:t>
      </w:r>
    </w:p>
    <w:p>
      <w:pPr>
        <w:pStyle w:val="106"/>
        <w:numPr>
          <w:ilvl w:val="0"/>
          <w:numId w:val="11"/>
        </w:numPr>
        <w:ind w:firstLineChars="0"/>
      </w:pPr>
      <w:r>
        <w:t>响应时间：20nS；       </w:t>
      </w:r>
    </w:p>
    <w:p>
      <w:pPr>
        <w:pStyle w:val="106"/>
        <w:numPr>
          <w:ilvl w:val="0"/>
          <w:numId w:val="11"/>
        </w:numPr>
        <w:ind w:firstLineChars="0"/>
      </w:pPr>
      <w:r>
        <w:t>漏电流：≤0.1mA；</w:t>
      </w:r>
    </w:p>
    <w:p>
      <w:pPr>
        <w:pStyle w:val="106"/>
        <w:numPr>
          <w:ilvl w:val="0"/>
          <w:numId w:val="11"/>
        </w:numPr>
        <w:ind w:firstLineChars="0"/>
      </w:pPr>
      <w:r>
        <w:t>负载功率：串联≤2000W、并联无限制。</w:t>
      </w:r>
    </w:p>
    <w:p>
      <w:pPr>
        <w:pStyle w:val="106"/>
        <w:numPr>
          <w:ilvl w:val="0"/>
          <w:numId w:val="11"/>
        </w:numPr>
        <w:ind w:firstLineChars="0"/>
      </w:pPr>
      <w:r>
        <w:t>标称放电电流In：5KA（8/20nS）；</w:t>
      </w:r>
    </w:p>
    <w:p>
      <w:pPr>
        <w:pStyle w:val="106"/>
        <w:numPr>
          <w:ilvl w:val="0"/>
          <w:numId w:val="11"/>
        </w:numPr>
        <w:ind w:firstLineChars="0"/>
      </w:pPr>
      <w:r>
        <w:t>最大放电电流：10KA；</w:t>
      </w:r>
    </w:p>
    <w:p>
      <w:pPr>
        <w:pStyle w:val="106"/>
        <w:numPr>
          <w:ilvl w:val="0"/>
          <w:numId w:val="11"/>
        </w:numPr>
        <w:ind w:firstLineChars="0"/>
      </w:pPr>
      <w:r>
        <w:t>响应时间：≤20nS ；</w:t>
      </w:r>
    </w:p>
    <w:p>
      <w:pPr>
        <w:pStyle w:val="106"/>
        <w:numPr>
          <w:ilvl w:val="0"/>
          <w:numId w:val="11"/>
        </w:numPr>
        <w:ind w:firstLineChars="0"/>
      </w:pPr>
      <w:r>
        <w:t>最大连续工作电压：3V（p-p）；</w:t>
      </w:r>
    </w:p>
    <w:p>
      <w:pPr>
        <w:pStyle w:val="106"/>
        <w:numPr>
          <w:ilvl w:val="0"/>
          <w:numId w:val="11"/>
        </w:numPr>
        <w:ind w:firstLineChars="0"/>
      </w:pPr>
      <w:r>
        <w:t>电压保护水平：≤17V ；                 </w:t>
      </w:r>
    </w:p>
    <w:p>
      <w:pPr>
        <w:pStyle w:val="106"/>
        <w:numPr>
          <w:ilvl w:val="0"/>
          <w:numId w:val="11"/>
        </w:numPr>
        <w:ind w:firstLineChars="0"/>
      </w:pPr>
      <w:r>
        <w:t>频率范围：0-100MHZ ；</w:t>
      </w:r>
    </w:p>
    <w:p>
      <w:pPr>
        <w:pStyle w:val="106"/>
        <w:numPr>
          <w:ilvl w:val="0"/>
          <w:numId w:val="11"/>
        </w:numPr>
        <w:ind w:firstLineChars="0"/>
      </w:pPr>
      <w:r>
        <w:t>接口形式：RJ45 ；</w:t>
      </w:r>
    </w:p>
    <w:p>
      <w:pPr>
        <w:pStyle w:val="106"/>
        <w:numPr>
          <w:ilvl w:val="0"/>
          <w:numId w:val="11"/>
        </w:numPr>
        <w:ind w:firstLineChars="0"/>
      </w:pPr>
      <w:r>
        <w:t>保护线路：1.2/3.6 ；</w:t>
      </w:r>
    </w:p>
    <w:p>
      <w:pPr>
        <w:pStyle w:val="106"/>
        <w:numPr>
          <w:ilvl w:val="0"/>
          <w:numId w:val="11"/>
        </w:numPr>
        <w:ind w:firstLineChars="0"/>
      </w:pPr>
      <w:r>
        <w:t>插入损耗：≤0.5dB ；</w:t>
      </w:r>
    </w:p>
    <w:p>
      <w:pPr>
        <w:pStyle w:val="106"/>
        <w:numPr>
          <w:ilvl w:val="0"/>
          <w:numId w:val="11"/>
        </w:numPr>
        <w:ind w:firstLineChars="0"/>
      </w:pPr>
      <w:r>
        <w:t>响应时间：≤25ns 。</w:t>
      </w:r>
    </w:p>
    <w:p>
      <w:pPr>
        <w:pStyle w:val="7"/>
      </w:pPr>
      <w:r>
        <w:t>浪涌保护器安装要求</w:t>
      </w:r>
    </w:p>
    <w:p>
      <w:r>
        <w:t>（1）置于户外的前端设备的供电线路、视音频信号线路、控制信号线路宜穿钢管埋地敷设，钢管应至少两端接地。</w:t>
      </w:r>
    </w:p>
    <w:p>
      <w:r>
        <w:t>（2）为防止高电位反击设备，摄像机的信号线、控制线、电源线的输入、输出端口应分别安装适配的信号线浪涌保护器、控制线浪涌保护器及电源线浪涌保护器。</w:t>
      </w:r>
    </w:p>
    <w:p>
      <w:r>
        <w:t>（3）电源线路浪涌保护器（SPD）的安装应符合GB50343-2012《建筑物电子信息系统防雷技术规范》中的规定。</w:t>
      </w:r>
    </w:p>
    <w:p>
      <w:r>
        <w:t>（4）信号线路浪涌保护器（SPD）的安装应符合GB50343-2012《建筑物电子信息系统防雷技术规范》中的规定。</w:t>
      </w:r>
    </w:p>
    <w:p>
      <w:r>
        <w:t>（5）浪涌保护器连接线敷设应符合 GB 50343-2012《建筑物电子信息系统防雷技术规范》中的规定。</w:t>
      </w:r>
    </w:p>
    <w:p>
      <w:r>
        <w:t>（6）浪涌保护器应安装牢固，其位置及布线正确。</w:t>
      </w:r>
    </w:p>
    <w:p>
      <w:pPr>
        <w:pStyle w:val="6"/>
      </w:pPr>
      <w:r>
        <w:t>布线布管施工</w:t>
      </w:r>
      <w:r>
        <w:rPr>
          <w:rFonts w:hint="eastAsia"/>
        </w:rPr>
        <w:t>要求</w:t>
      </w:r>
    </w:p>
    <w:p>
      <w:pPr>
        <w:pStyle w:val="7"/>
      </w:pPr>
      <w:r>
        <w:t>室外线缆敷设要求</w:t>
      </w:r>
    </w:p>
    <w:p>
      <w:r>
        <w:t>线缆的布放自然平直，不得产生扭绞、打圈接头等现象，不应受到外力的挤压和损伤。</w:t>
      </w:r>
    </w:p>
    <w:p>
      <w:r>
        <w:t>道路施工必须遵守《建筑工程施工规范》和《市政工程施工规范》。供电线路采用埋地穿管的敷设方式，必须破坏人行道路面时，应采用立即开挖、立即修复方式。室外地埋PE管深度应不低于500mm，且接口处应采用热熔焊接，防止线管内进水。线缆敷设后，用细砂回填、夯实，再根据实际情况复原路面。</w:t>
      </w:r>
    </w:p>
    <w:p>
      <w:r>
        <w:t xml:space="preserve">电源线与网络通信线分别穿在不同的线管内，而不应同时穿在同一线管内，且电源线线管与各控制、信号线线管尽量不要平行布置，如不可避免时，二者的的距离应大于15公分。 </w:t>
      </w:r>
    </w:p>
    <w:p>
      <w:r>
        <w:t>为穿线和今后维修方便起见尽量避免线管转弯，如不可避免，则其转弯半径应大于90度，并应尽可能大；在方便的同时，在各线管内同时穿12号铁丝，以便于今后的维修。</w:t>
      </w:r>
    </w:p>
    <w:p>
      <w:r>
        <w:t>破土时尽量选择绿化少、城市建设管道少的位置开挖，开挖后应及时回填。开挖管道沟后要对管道基础进行压实处理,管道上的回填土必须每15cm分层夯实。开挖时要注意对园林绿化的保护，开挖出来的土方不允许直接堆放在绿化上，可以将土方运送到人行道上，也可在绿化草坪上铺垫木板、彩条布等设施，将土方堆放到这些设施上，回填时直接回填，石块等垃圾清运走后，撤走木板等设施，绿化恢复原样。</w:t>
      </w:r>
    </w:p>
    <w:p>
      <w:r>
        <w:t>管道通入窑井的管口应伸出井壁3~5cm，同时管口要除去各种毛刺，在管道敷设在管沟前应预先在管内穿入一根铁丝并保留在内，方便传线缆用； 以上若不能满足使用，数量和直径视具体工程设计而定。</w:t>
      </w:r>
    </w:p>
    <w:p>
      <w:r>
        <w:t>线路以地下铺设为主，原则上是不允许线缆架空铺设，部分线路因特殊情况需要架空时，架空高度不得低于6米。架空线路必须采用架空钢丝绳，采用挂钩将线缆挂于空中，并与有关部门或单位做好协调工作。</w:t>
      </w:r>
    </w:p>
    <w:p>
      <w:r>
        <w:t>工程实施应注重安全、文明施工，考虑施工过程的围挡、安全防护、垃圾清运，减少对市政环境的影响，最大程度降低对行人及车辆的威胁。</w:t>
      </w:r>
    </w:p>
    <w:p>
      <w:pPr>
        <w:pStyle w:val="7"/>
      </w:pPr>
      <w:r>
        <w:t>电缆敷设要求</w:t>
      </w:r>
    </w:p>
    <w:p>
      <w:r>
        <w:t>本工程项目前端点位所需电力直接由附近村居、新建专用电力配电箱线路引入。</w:t>
      </w:r>
    </w:p>
    <w:p>
      <w:r>
        <w:t>配电系统需在卡式电表箱中装设SPD，放电电流不小于20KA（8/20µs）；在控制电源处装设SPD，放电电流不小于5KA（8/20µs）；工程配电系统接地方式采用TN-S接地形式，并在监控点处做若干重复接地。</w:t>
      </w:r>
    </w:p>
    <w:p>
      <w:r>
        <w:t>电力电缆在井内的接线采用热缩式电缆头制作工艺，保证接头的防水及耐腐性能不低于电缆的相应指标要求。</w:t>
      </w:r>
    </w:p>
    <w:p>
      <w:r>
        <w:t>摄像机取电方式为集中就近取电，根据实际情况，取电线缆敷设方式为埋地管道取电（特殊情况下可采取架空取电）</w:t>
      </w:r>
    </w:p>
    <w:p>
      <w:r>
        <w:t>电缆敷设应严格按照设计要求施工，本项目要求电力线路在布设过程中，须自取电点位敷设至设备箱内。电力线路布设过程中应确保所有地下敷设电线均加PE管或钢管保护，地上敷设电线加镀锌钢管保护（杆体内部除外），并尽量避开恶劣环境条件或易使管线损伤地段，应避开干扰较大区域。电缆敷设应严格按照设计要求施工，井内电缆适当盘留，尽量减少电缆接头，如有接头尽量放在有防雨功能的地方（如设备箱、杆体内等），或增加设备箱及空开。施工完成后依照实际敷设情况绘制竣工图纸，图纸中应标注报装电表，电缆长度，电缆规格等信息。</w:t>
      </w:r>
    </w:p>
    <w:p>
      <w:pPr>
        <w:pStyle w:val="7"/>
      </w:pPr>
      <w:r>
        <w:t>机箱接线要求</w:t>
      </w:r>
    </w:p>
    <w:p>
      <w:r>
        <w:t>线缆的布放自然平直，不得产生扭绞、打圈接头等现象，不应受到外力的挤压和损伤。</w:t>
      </w:r>
    </w:p>
    <w:p>
      <w:r>
        <w:t>根据接线图将布好的电源线、网线等线缆接到相应的接线端子，接好后轻轻拽拉，检查线缆连接是否牢固，并做好标记；根据设备箱布局图，布设设备箱内设备；</w:t>
      </w:r>
    </w:p>
    <w:p>
      <w:r>
        <w:t>在网线制作完成后用网络测试仪测量一下，保证每根网线的水晶头都是通的。</w:t>
      </w:r>
    </w:p>
    <w:p>
      <w:r>
        <w:t>有接地极的设备都需要做接地处理。</w:t>
      </w:r>
    </w:p>
    <w:p>
      <w:r>
        <w:t>在整套系统调试通缆过后，把机柜内的线捆扎整理好。</w:t>
      </w:r>
    </w:p>
    <w:p>
      <w:pPr>
        <w:pStyle w:val="6"/>
      </w:pPr>
      <w:r>
        <w:t>标签粘贴</w:t>
      </w:r>
      <w:r>
        <w:rPr>
          <w:rFonts w:hint="eastAsia"/>
        </w:rPr>
        <w:t>要求</w:t>
      </w:r>
    </w:p>
    <w:p>
      <w:r>
        <w:t>安装调试完毕后，抱杆机箱内的设备、电缆线及网线需粘贴固定、醒目的标签，标注设备名称及IP地址（标签具体格式按业主与监理要求）。</w:t>
      </w:r>
    </w:p>
    <w:p>
      <w:r>
        <w:t>标签要用打印字体，应清晰、正确；粘贴时应保证标签位置准确，方向端正，粘贴牢固；注意所用标签完整干净、不能破损；标识大小、张贴要整齐划一，注意不能挡住设备指示灯；标签尺寸大小适中，可用时间一般应保证三年。</w:t>
      </w:r>
    </w:p>
    <w:p>
      <w:pPr>
        <w:pStyle w:val="7"/>
      </w:pPr>
      <w:r>
        <w:t>标签材料及相关规范要求</w:t>
      </w:r>
    </w:p>
    <w:p>
      <w:r>
        <w:t xml:space="preserve">标签要求：采用专业型标签打印机，统一品牌的标签机色带标签纸；  </w:t>
      </w:r>
    </w:p>
    <w:p>
      <w:r>
        <w:t xml:space="preserve">标签方式：旗帜式线缆标签。 字体：宋体； </w:t>
      </w:r>
    </w:p>
    <w:p>
      <w:r>
        <w:t>标签带规格：12MM。 字体大小：根据标签长度调整；</w:t>
      </w:r>
    </w:p>
    <w:p>
      <w:r>
        <w:t xml:space="preserve">标签内容大小：宽度 50mm，高度 10mm； </w:t>
      </w:r>
    </w:p>
    <w:p>
      <w:r>
        <w:t xml:space="preserve">标签文字位置：两端水平距离 2mm，垂直距离1mm； </w:t>
      </w:r>
    </w:p>
    <w:p>
      <w:r>
        <w:t>标签总长度 ：130mm 。</w:t>
      </w:r>
    </w:p>
    <w:p>
      <w:pPr>
        <w:pStyle w:val="7"/>
      </w:pPr>
      <w:r>
        <w:t xml:space="preserve">标签粘贴要求 </w:t>
      </w:r>
    </w:p>
    <w:p>
      <w:r>
        <w:t xml:space="preserve">粘贴位置：距离线缆接头处 2cm-3cm 粘贴，特殊情况可特殊处理。 </w:t>
      </w:r>
    </w:p>
    <w:p>
      <w:r>
        <w:t>粘贴方式：旗帜式对折粘贴。</w:t>
      </w:r>
    </w:p>
    <w:p>
      <w:pPr>
        <w:pStyle w:val="4"/>
      </w:pPr>
      <w:bookmarkStart w:id="49" w:name="_Toc112169161"/>
      <w:bookmarkStart w:id="50" w:name="_Toc112317352"/>
      <w:r>
        <w:t>应用支撑系统平台和应用系统</w:t>
      </w:r>
      <w:r>
        <w:rPr>
          <w:rFonts w:hint="eastAsia"/>
        </w:rPr>
        <w:t>服务方案</w:t>
      </w:r>
      <w:bookmarkEnd w:id="49"/>
      <w:bookmarkEnd w:id="50"/>
    </w:p>
    <w:p>
      <w:pPr>
        <w:pStyle w:val="5"/>
      </w:pPr>
      <w:bookmarkStart w:id="51" w:name="_Toc16128"/>
      <w:bookmarkStart w:id="52" w:name="_Toc93862428"/>
      <w:bookmarkStart w:id="53" w:name="_Toc112317353"/>
      <w:bookmarkStart w:id="54" w:name="_Toc43126033"/>
      <w:r>
        <w:t>社会面视频资源接入平台</w:t>
      </w:r>
      <w:bookmarkEnd w:id="51"/>
      <w:bookmarkEnd w:id="52"/>
      <w:bookmarkEnd w:id="53"/>
      <w:bookmarkEnd w:id="54"/>
    </w:p>
    <w:p>
      <w:pPr>
        <w:pStyle w:val="6"/>
      </w:pPr>
      <w:bookmarkStart w:id="55" w:name="_Toc12377656"/>
      <w:bookmarkStart w:id="56" w:name="_Toc93862431"/>
      <w:r>
        <w:rPr>
          <w:rFonts w:hint="eastAsia"/>
        </w:rPr>
        <w:t>服务</w:t>
      </w:r>
      <w:r>
        <w:t>功能</w:t>
      </w:r>
      <w:bookmarkEnd w:id="55"/>
      <w:bookmarkEnd w:id="56"/>
    </w:p>
    <w:p>
      <w:r>
        <w:t>各行业以及各部门针对”雪亮工程”方面的应用功能有较大的共通性，主要应用功能目录如下：</w:t>
      </w:r>
    </w:p>
    <w:p>
      <w:r>
        <w:t>（1）实时视频调阅</w:t>
      </w:r>
    </w:p>
    <w:p>
      <w:r>
        <w:t>（2）视频录像调阅</w:t>
      </w:r>
    </w:p>
    <w:p>
      <w:r>
        <w:t>（3）监控点云镜控制</w:t>
      </w:r>
    </w:p>
    <w:p>
      <w:r>
        <w:t>（4）视频图像抓拍</w:t>
      </w:r>
    </w:p>
    <w:p>
      <w:r>
        <w:t>（5）监控点告警设置</w:t>
      </w:r>
    </w:p>
    <w:p>
      <w:r>
        <w:t>（6）视频和前端告警联动：传感器告警联动、告警主机/系统联动、手动报警联动、视频告警联动。</w:t>
      </w:r>
    </w:p>
    <w:p>
      <w:pPr>
        <w:pStyle w:val="6"/>
      </w:pPr>
      <w:bookmarkStart w:id="57" w:name="_Toc93862432"/>
      <w:r>
        <w:t>社会面视频资源接入单位</w:t>
      </w:r>
      <w:bookmarkEnd w:id="57"/>
    </w:p>
    <w:p>
      <w:r>
        <w:t>本次项目社会面视频接入平台接入重点单位152家，治安复杂场所230家（包含商场、超市、宾馆酒店、网吧、KTV等），小区170家，满足25000路的接入能力。</w:t>
      </w:r>
    </w:p>
    <w:p>
      <w:pPr>
        <w:pStyle w:val="6"/>
      </w:pPr>
      <w:bookmarkStart w:id="58" w:name="_Toc93862433"/>
      <w:r>
        <w:t>系统</w:t>
      </w:r>
      <w:bookmarkEnd w:id="58"/>
      <w:r>
        <w:t>服务参数</w:t>
      </w:r>
    </w:p>
    <w:p>
      <w:r>
        <w:t>支持直连管理的前端监控点数量不少于5000路；</w:t>
      </w:r>
    </w:p>
    <w:p>
      <w:r>
        <w:t>支持级联管理的前端监控点数量不少于100000路；</w:t>
      </w:r>
    </w:p>
    <w:p>
      <w:r>
        <w:t>支持的实时视频预览和媒体转发路数不少于200路；</w:t>
      </w:r>
    </w:p>
    <w:p>
      <w:r>
        <w:t>支持的录像回放并发路数不少于100路；</w:t>
      </w:r>
    </w:p>
    <w:p>
      <w:r>
        <w:t>支持的并发在线用户数不少于100个。</w:t>
      </w:r>
    </w:p>
    <w:p>
      <w:pPr>
        <w:pStyle w:val="5"/>
      </w:pPr>
      <w:bookmarkStart w:id="59" w:name="_Toc112317354"/>
      <w:r>
        <w:t>视频共享平台</w:t>
      </w:r>
      <w:bookmarkEnd w:id="59"/>
    </w:p>
    <w:p>
      <w:pPr>
        <w:pStyle w:val="6"/>
      </w:pPr>
      <w:r>
        <w:t>系统概述</w:t>
      </w:r>
    </w:p>
    <w:p>
      <w:r>
        <w:t>视频共享平台是视频图像资源的管理、调度、共享和应用中心。负责平台视频资源、全旗各政府单位已建视频资源及重点公共区域视频资源的接入整合，对其信息资源的管理，进行基础解析应用，实现视频图像和服务的跨县调度，面向政府各单位用户提供视频资源共享，并服务于视频防控、应急联动等业务应用。</w:t>
      </w:r>
    </w:p>
    <w:p>
      <w:r>
        <w:t>根据达拉特旗雪亮工程项目总体架构，在社会面网侧，需要新建社会面视频接入平台，用于接入本期新建的70路人脸相机/832路单目结构化相机及25000路和3000路大数据平台推送的视频资源。在视频专网侧，需要对达拉特旗已建视频共享平台进行扩容以满足本期新建前端对平台的要求，并且需与鄂尔多斯市市共享平台对接。其中视频专网共享平台作为本项目的主体平台，主要用于联网整合各类公共安全视频图像资源，及向各级用户提供共享应用服务。实现“雪亮工程”设施及视频图像的接入管理、安全认证、联网整合、共享应用等功能。</w:t>
      </w:r>
    </w:p>
    <w:p>
      <w:r>
        <w:t>达拉特公共安全视频共享平台的定位：用于汇聚政府部门、重点行业领域、目前已建的公共安全视频图像资源；通过视频专网与市视频共享平台进行级联，将重要的视频图像信息往上推送；该平台也可与公安联网平台、政府其他信息系统进行对接，实现资源共享给本级用户。</w:t>
      </w:r>
    </w:p>
    <w:p>
      <w:pPr>
        <w:pStyle w:val="6"/>
      </w:pPr>
      <w:r>
        <w:rPr>
          <w:rFonts w:hint="eastAsia"/>
        </w:rPr>
        <w:t>服务</w:t>
      </w:r>
      <w:r>
        <w:t>功能</w:t>
      </w:r>
    </w:p>
    <w:p>
      <w:pPr>
        <w:pStyle w:val="7"/>
      </w:pPr>
      <w:r>
        <w:t>组织管理</w:t>
      </w:r>
    </w:p>
    <w:p>
      <w:r>
        <w:t>组织机构的管理，包括组织机构的添加、删除和修改，支持组织机构和监控区域多层级管理。</w:t>
      </w:r>
    </w:p>
    <w:p>
      <w:r>
        <w:t xml:space="preserve">添加设备和用户之前，您需要添加当前设备和用户所属的组织。通过配置“组织结构”，可以部署、组织、管理设备和用户的层级。系统默认第一级组织为“根节点”。用户可以根据实际需求添加配置组织层级。 </w:t>
      </w:r>
    </w:p>
    <w:p>
      <w:pPr>
        <w:pStyle w:val="7"/>
      </w:pPr>
      <w:r>
        <w:t>角色管理</w:t>
      </w:r>
    </w:p>
    <w:p>
      <w:r>
        <w:t>角色管理中，支持对角色进行增删改，通过角色管理可以细化权限到角色类型、有效期设置、功能权限、资源权限，可支持关联用户；相关权限说明如下：</w:t>
      </w:r>
    </w:p>
    <w:p>
      <w:r>
        <w:t>（1）角色类型：主要分为管理员和用户。管理员可以登录BS管理平台进行配置，也可以登录CS客户端进行操作查看；用户只能登录CS客户端进行操作查看。</w:t>
      </w:r>
    </w:p>
    <w:p>
      <w:r>
        <w:t>（2）有效期设置：可对角色的使用期进行设置；</w:t>
      </w:r>
    </w:p>
    <w:p>
      <w:r>
        <w:t>（3）功能权限：主要包含配置与控制两大块，配置主要针对BS管理端的基本设置、业务设置、系统设置和日志管理等权限配置；控制主要针对CS客户端视频通道、电视墙、业务组织的操作控制，若角色中未配置相关模块，该角色的用户登录CS时，即无相应模块权限；</w:t>
      </w:r>
    </w:p>
    <w:p>
      <w:r>
        <w:t>（4）资源权限：可针对视频系统的资源配置相应的权限，如可配置某监控点的视频预览，录像回放，下载，云台控制，语音对讲等权限；</w:t>
      </w:r>
    </w:p>
    <w:p>
      <w:r>
        <w:t>（5）关联用户：角色关联用户后，该用户即继承该角色的权限；</w:t>
      </w:r>
    </w:p>
    <w:p>
      <w:pPr>
        <w:pStyle w:val="7"/>
      </w:pPr>
      <w:r>
        <w:t>用户和权限管理</w:t>
      </w:r>
    </w:p>
    <w:p>
      <w:r>
        <w:t>（1）可进行用户的新增、修改和删除；</w:t>
      </w:r>
    </w:p>
    <w:p>
      <w:r>
        <w:t>（2）可对用户设置所属组织，关联角色获取权限；</w:t>
      </w:r>
    </w:p>
    <w:p>
      <w:r>
        <w:t xml:space="preserve">（3）同一用户可以复用，同时登录多个CS客户端； </w:t>
      </w:r>
    </w:p>
    <w:p>
      <w:pPr>
        <w:pStyle w:val="7"/>
      </w:pPr>
      <w:r>
        <w:t>设备管理</w:t>
      </w:r>
    </w:p>
    <w:p>
      <w:r>
        <w:t>设备管理是用来管理设备的模块，主要又分为设备和通道两个方面：</w:t>
      </w:r>
    </w:p>
    <w:p>
      <w:r>
        <w:t>（1）设备：以设备的形式进行管理，可以添加、修改和删除设备，支持设备导入导出功能，并对所有已添加的设备进行配置和管理。主要分为编码器、解码器和卡口设备。</w:t>
      </w:r>
    </w:p>
    <w:p>
      <w:r>
        <w:t>（2）通道：以通道的形式进行管理，可以显示所有设备的视频通道。</w:t>
      </w:r>
    </w:p>
    <w:p>
      <w:pPr>
        <w:pStyle w:val="7"/>
      </w:pPr>
      <w:r>
        <w:t>实时预览</w:t>
      </w:r>
    </w:p>
    <w:p>
      <w:r>
        <w:t>（1）支持指定设备实时视频播放，及点播视频的缩放、抓图、录像；</w:t>
      </w:r>
    </w:p>
    <w:p>
      <w:r>
        <w:t>（2）支持视频主码流子码流切换，画面分割；</w:t>
      </w:r>
    </w:p>
    <w:p>
      <w:r>
        <w:t>（3）支持多用户对统一视频资源的播放；</w:t>
      </w:r>
    </w:p>
    <w:p>
      <w:r>
        <w:t>（4）支持1 、4、6、8、9、13、16、25、32、36、64多分屏画面显示；</w:t>
      </w:r>
    </w:p>
    <w:p>
      <w:pPr>
        <w:pStyle w:val="7"/>
      </w:pPr>
      <w:r>
        <w:t>云台控制</w:t>
      </w:r>
    </w:p>
    <w:p>
      <w:r>
        <w:t>（1）支持对前端IPC的全功能远程，包括云台方向控制、调整步长、镜头变倍、镜头变焦；</w:t>
      </w:r>
    </w:p>
    <w:p>
      <w:r>
        <w:t>（2）支持球机预置点设置、轮巡设置；</w:t>
      </w:r>
    </w:p>
    <w:p>
      <w:pPr>
        <w:pStyle w:val="7"/>
      </w:pPr>
      <w:r>
        <w:t>录像管理</w:t>
      </w:r>
    </w:p>
    <w:p>
      <w:r>
        <w:t>用来管理录像的存储，包括对前端设备的录像计划配置，集中存储的录像计划配置。</w:t>
      </w:r>
    </w:p>
    <w:p>
      <w:r>
        <w:t>（1）支持云储存、服务器硬盘本地存储；</w:t>
      </w:r>
    </w:p>
    <w:p>
      <w:r>
        <w:t>（2）支持录像计划配置，包括按时间录像、周期录像等；</w:t>
      </w:r>
    </w:p>
    <w:p>
      <w:pPr>
        <w:pStyle w:val="7"/>
      </w:pPr>
      <w:r>
        <w:t>录像检索和回放</w:t>
      </w:r>
    </w:p>
    <w:p>
      <w:r>
        <w:t>（1）支持指定设备通道、时间等要素的录像检索和回放；</w:t>
      </w:r>
    </w:p>
    <w:p>
      <w:r>
        <w:t>（2）支持回放时正常播放、倍速播放、时间轴回放、单帧播放、画面暂停、图像抓拍功能；</w:t>
      </w:r>
    </w:p>
    <w:p>
      <w:r>
        <w:t>（3）支持多窗口多路视频的同步回放和异步回放；</w:t>
      </w:r>
    </w:p>
    <w:p>
      <w:r>
        <w:t>（4）支持标签回放：对监控点的某段时间内录像数据添加标签，对该段录像数据进行附加说明，并且可以对已经被标记的录像进行查询和回放；</w:t>
      </w:r>
    </w:p>
    <w:p>
      <w:pPr>
        <w:pStyle w:val="7"/>
      </w:pPr>
      <w:r>
        <w:t>录像下载</w:t>
      </w:r>
    </w:p>
    <w:p>
      <w:r>
        <w:t>支持按录像时间和录像文件的录像下载</w:t>
      </w:r>
    </w:p>
    <w:p>
      <w:pPr>
        <w:pStyle w:val="7"/>
      </w:pPr>
      <w:r>
        <w:t>电视墙控制</w:t>
      </w:r>
    </w:p>
    <w:p>
      <w:r>
        <w:t>（1）大屏拼控：支持自定义的大屏布局、画面分割、拼接功能；</w:t>
      </w:r>
    </w:p>
    <w:p>
      <w:r>
        <w:t>（2）全景拼接：支持基于全景球的多路实况视频拼接为一副视频图像；</w:t>
      </w:r>
    </w:p>
    <w:p>
      <w:r>
        <w:t>（3）支持云</w:t>
      </w:r>
      <w:r>
        <w:rPr>
          <w:rFonts w:hint="eastAsia"/>
        </w:rPr>
        <w:t>台</w:t>
      </w:r>
      <w:r>
        <w:t>控制八个方向；</w:t>
      </w:r>
    </w:p>
    <w:p>
      <w:r>
        <w:t>（4）支持键盘控制监控点上墙和控制云台，操作快捷简单；</w:t>
      </w:r>
    </w:p>
    <w:p>
      <w:pPr>
        <w:pStyle w:val="7"/>
      </w:pPr>
      <w:r>
        <w:t>解码上墙</w:t>
      </w:r>
    </w:p>
    <w:p>
      <w:r>
        <w:t>（1）支持4K/1080P/720P/D1等解码；</w:t>
      </w:r>
    </w:p>
    <w:p>
      <w:r>
        <w:t>（2）支持onvif、GB/T 28181 解码上墙；</w:t>
      </w:r>
    </w:p>
    <w:p>
      <w:pPr>
        <w:pStyle w:val="7"/>
      </w:pPr>
      <w:r>
        <w:t>上墙</w:t>
      </w:r>
    </w:p>
    <w:p>
      <w:r>
        <w:t>（1）可将窗口设置为回放窗口，在该窗口进行录像回放上墙功能；</w:t>
      </w:r>
    </w:p>
    <w:p>
      <w:r>
        <w:t>（2）支持分屏等不同画面的显示方式；</w:t>
      </w:r>
    </w:p>
    <w:p>
      <w:r>
        <w:t>（3）支持拼接的场景下进行回放上墙；</w:t>
      </w:r>
    </w:p>
    <w:p>
      <w:pPr>
        <w:pStyle w:val="7"/>
      </w:pPr>
      <w:r>
        <w:t>电视墙预案</w:t>
      </w:r>
    </w:p>
    <w:p>
      <w:r>
        <w:t>（1）可对大屏进行预览上墙、拼接、开窗、分割等操作后，将场景保存为预案；</w:t>
      </w:r>
    </w:p>
    <w:p>
      <w:r>
        <w:t>（2）可设置多个预案场景，且支持在不同的预案上进行切换，方便快捷地根据不同监控场景打开预案；</w:t>
      </w:r>
    </w:p>
    <w:p>
      <w:r>
        <w:t>（3）支持大屏轮巡预案计划配置；</w:t>
      </w:r>
    </w:p>
    <w:p>
      <w:r>
        <w:t>（4）支持轮巡开始、停止，时间间隔设置；</w:t>
      </w:r>
    </w:p>
    <w:p>
      <w:r>
        <w:t>（5）支持配置轮巡预案选择不同区域监控点；</w:t>
      </w:r>
    </w:p>
    <w:p>
      <w:r>
        <w:t>（6）支持轮巡监控点添加、删除、上移、下移；</w:t>
      </w:r>
    </w:p>
    <w:p>
      <w:pPr>
        <w:pStyle w:val="7"/>
      </w:pPr>
      <w:r>
        <w:t>平台级联</w:t>
      </w:r>
    </w:p>
    <w:p>
      <w:r>
        <w:t>（1）支持基于GB/T28181国家标准实现上下级平台级联；</w:t>
      </w:r>
    </w:p>
    <w:p>
      <w:r>
        <w:t>（2）支持与第三方平台进行级联对接；</w:t>
      </w:r>
    </w:p>
    <w:p>
      <w:r>
        <w:t>（3）支持级联预览、录像查询回放、云台控制等功能；</w:t>
      </w:r>
    </w:p>
    <w:p>
      <w:pPr>
        <w:pStyle w:val="7"/>
      </w:pPr>
      <w:r>
        <w:t>电子地图</w:t>
      </w:r>
    </w:p>
    <w:p>
      <w:r>
        <w:t>（1）支持对地图进行放大、缩小，更加方便直观查看监控点与地图的信息。</w:t>
      </w:r>
    </w:p>
    <w:p>
      <w:r>
        <w:t>（2）支持在电子地图上标注摄像机点位；</w:t>
      </w:r>
    </w:p>
    <w:p>
      <w:r>
        <w:t>（3）支持地图上弹出视频窗口，对监控点的实况视频进行浏览；</w:t>
      </w:r>
    </w:p>
    <w:p>
      <w:pPr>
        <w:pStyle w:val="7"/>
      </w:pPr>
      <w:r>
        <w:t>视频运维和质量诊断</w:t>
      </w:r>
    </w:p>
    <w:p>
      <w:r>
        <w:t>（1）支持监控点统计，包括设备在线率、通道在线率、录像视频达标率、报警统计等；</w:t>
      </w:r>
    </w:p>
    <w:p>
      <w:r>
        <w:t>（2）支持监控点资源、设备通道录像详情、卡口设备、编码器设备、解码器设备、运行详情查看及导出；</w:t>
      </w:r>
    </w:p>
    <w:p>
      <w:r>
        <w:t>（3）支持实时、历史报警信息查询展示，包括报警等级、报警内容描述、报警源、所属组织、报警类型、报警时间等，支持历史报警详情的批量导出；</w:t>
      </w:r>
    </w:p>
    <w:p>
      <w:r>
        <w:t>（4）支持录像完整性的诊断；</w:t>
      </w:r>
    </w:p>
    <w:p>
      <w:r>
        <w:t>（5）支持方案和预案的显示、添加、修改、删除、批量删除，以及预案的启用、批量启用、禁用、批量禁用；</w:t>
      </w:r>
    </w:p>
    <w:p>
      <w:r>
        <w:rPr>
          <w:rFonts w:hint="eastAsia"/>
        </w:rPr>
        <w:t>（6）支持视频质量诊断，包含条纹干扰检测、视频信号丢失检测、视频遮挡检测、视频卡顿检测、视频对比度异常检测、亮度异常检测、噪声干扰检测、颜色异常检测、清晰度异常检测、场景变化检测</w:t>
      </w:r>
      <w:r>
        <w:t>。</w:t>
      </w:r>
    </w:p>
    <w:p>
      <w:pPr>
        <w:pStyle w:val="6"/>
      </w:pPr>
      <w:r>
        <w:t>系统服务参数</w:t>
      </w:r>
    </w:p>
    <w:p>
      <w:r>
        <w:t>根据视频专网共享平台建设完成后，满足当前和今后一段时间的视频接入、级联对接和用户使用需求，平台性能设计如下：</w:t>
      </w:r>
    </w:p>
    <w:p>
      <w:r>
        <w:t>支持直连管理的前端监控点数量不少于5000路；</w:t>
      </w:r>
    </w:p>
    <w:p>
      <w:r>
        <w:t>支持级联管理的前端监控点数量不少于100000路；</w:t>
      </w:r>
    </w:p>
    <w:p>
      <w:r>
        <w:t>支持的实时视频预览和媒体转发路数不少于200路；</w:t>
      </w:r>
    </w:p>
    <w:p>
      <w:r>
        <w:t>支持的录像回放并发路数不少于100路；</w:t>
      </w:r>
    </w:p>
    <w:p>
      <w:r>
        <w:t>支持的并发在线用户数不少于100个。</w:t>
      </w:r>
    </w:p>
    <w:p>
      <w:pPr>
        <w:pStyle w:val="5"/>
      </w:pPr>
      <w:bookmarkStart w:id="60" w:name="_Toc112317355"/>
      <w:r>
        <w:t>公安视频图像数据库</w:t>
      </w:r>
      <w:bookmarkEnd w:id="60"/>
    </w:p>
    <w:p>
      <w:r>
        <w:t>通过建设公安视频图像信息数据库平台，对现有各应用子系统进行统筹规划和数据共享，一方面能够为各部门、各警种提供视频图像浏览和人员、车辆及案事件的解析和大数据挖掘等深度应用，并形成安全监控、运行监测、评估评价等保障能力；另一方面能够为其它政府单位和社会相关行业提供视频图像解析数据共享服务。项目建成后将有效支撑公安机关跨区域侦查破案、重大活动治安防范、应急指挥、反恐防暴和维稳处突。</w:t>
      </w:r>
    </w:p>
    <w:p>
      <w:pPr>
        <w:pStyle w:val="6"/>
      </w:pPr>
      <w:r>
        <w:t>系统概述</w:t>
      </w:r>
    </w:p>
    <w:p>
      <w:r>
        <w:t>本次建设公安视频图像信息数据库，汇聚整合各县、各部门掌握的车辆、人员、案事件等视频图像信息资源，为各警种提供视频图像信息数据资源服务。</w:t>
      </w:r>
    </w:p>
    <w:p>
      <w:r>
        <w:t>具体需求如下：</w:t>
      </w:r>
    </w:p>
    <w:p>
      <w:r>
        <w:t>（1）按照GA/T1400标准构建视频图像信息数据库平台；</w:t>
      </w:r>
    </w:p>
    <w:p>
      <w:r>
        <w:t>（2）实现对在线采集设备或者采集系统视频图像信息的采集和接入；</w:t>
      </w:r>
    </w:p>
    <w:p>
      <w:r>
        <w:t>（3）实现人员信息的存储及检索应用功能；</w:t>
      </w:r>
    </w:p>
    <w:p>
      <w:r>
        <w:t>（4）实现车辆信息的存储及检索应用功能；</w:t>
      </w:r>
    </w:p>
    <w:p>
      <w:r>
        <w:t>（5）实现案事件数据信息的存储及检索应用功能</w:t>
      </w:r>
    </w:p>
    <w:p>
      <w:r>
        <w:t>（6）建设完成后的视图库可以与上级及下级视图库系统进行数据级联。</w:t>
      </w:r>
    </w:p>
    <w:p>
      <w:r>
        <w:t>（7）视图库提供各类数据服务接口为各类业务系统提供数据支撑；</w:t>
      </w:r>
    </w:p>
    <w:p>
      <w:pPr>
        <w:pStyle w:val="6"/>
      </w:pPr>
      <w:r>
        <w:rPr>
          <w:rFonts w:hint="eastAsia"/>
        </w:rPr>
        <w:t>服务功能</w:t>
      </w:r>
    </w:p>
    <w:p>
      <w:pPr>
        <w:pStyle w:val="7"/>
      </w:pPr>
      <w:r>
        <w:t>应用功能</w:t>
      </w:r>
    </w:p>
    <w:p>
      <w:r>
        <w:t>目前视图库可以接入多种数据，目前可以接入车辆、人脸、人员、案件等GA1400标准协议的数据，后续还将接入更多的数据类型。</w:t>
      </w:r>
    </w:p>
    <w:p>
      <w:r>
        <w:t>多维数据接入服务可以接入基于GA1400协议的对象数据，同时将数据中的非结构化数据（图片、视频等）存入存储服务中，然后将路径连同消息内容送入消息总线中；</w:t>
      </w:r>
    </w:p>
    <w:p>
      <w:r>
        <w:t>数据基础服务会根据自己的服务类型，从消息总线中获取对应的消息；</w:t>
      </w:r>
    </w:p>
    <w:p>
      <w:r>
        <w:t>结构化数据和特征数据分离存储，其中结构化数据存储在数据库中，特征数据存储在SSD盘上；</w:t>
      </w:r>
    </w:p>
    <w:p>
      <w:r>
        <w:t>数据库服务底层可以使用多种数据库，如：MPP或者HBase等，本次项目设计使用MPP数据库；</w:t>
      </w:r>
    </w:p>
    <w:p>
      <w:pPr>
        <w:pStyle w:val="7"/>
      </w:pPr>
      <w:r>
        <w:t>结构化数据检索</w:t>
      </w:r>
    </w:p>
    <w:p>
      <w:r>
        <w:t>视图库提供检索视图库存储的所有数据信息的功能，可以进行条件过滤，分页，排序等操作，并且对外提供SQL支持。</w:t>
      </w:r>
    </w:p>
    <w:p>
      <w:r>
        <w:t>用户可以通过应用来检索需要的结构化信息；</w:t>
      </w:r>
    </w:p>
    <w:p>
      <w:r>
        <w:t>数据基础服务对外提供Restful，并且对外支持SQL标准；</w:t>
      </w:r>
    </w:p>
    <w:p>
      <w:pPr>
        <w:pStyle w:val="7"/>
      </w:pPr>
      <w:r>
        <w:t>特征数据检索</w:t>
      </w:r>
    </w:p>
    <w:p>
      <w:r>
        <w:t>用户可以通过视图库进行图片检索，视图库目前提供人脸以图搜图，车辆以图搜图，人体以图搜图功能，支持分布式检索，支持GPU加速。</w:t>
      </w:r>
    </w:p>
    <w:p>
      <w:r>
        <w:t>用户可以通过视图库提供的接口来进行图片检索（以车搜车、以脸搜脸、以人搜人）；</w:t>
      </w:r>
    </w:p>
    <w:p>
      <w:r>
        <w:t>基础数据服务接收到检索任务之后，将图片解析成特征之后，在内部进行特征比对；</w:t>
      </w:r>
    </w:p>
    <w:p>
      <w:r>
        <w:t>基础数据服务检索出用户需要的TopN之后，从数据库中查询对应记录的结构化信息，然后进行返回；</w:t>
      </w:r>
    </w:p>
    <w:p>
      <w:r>
        <w:t>基础数据服务会根据配置预先从SSD将对应的特征数据加载到内存中；</w:t>
      </w:r>
    </w:p>
    <w:p>
      <w:pPr>
        <w:pStyle w:val="7"/>
      </w:pPr>
      <w:r>
        <w:t>布控告警</w:t>
      </w:r>
    </w:p>
    <w:p>
      <w:r>
        <w:t>视图库支持规格布控，当有符合规格的数据产生的时候，就会上报告警给指定用户。</w:t>
      </w:r>
    </w:p>
    <w:p>
      <w:pPr>
        <w:ind w:firstLine="482"/>
        <w:rPr>
          <w:b/>
          <w:bCs/>
        </w:rPr>
      </w:pPr>
      <w:r>
        <w:rPr>
          <w:b/>
          <w:bCs/>
        </w:rPr>
        <w:t>布控流程</w:t>
      </w:r>
    </w:p>
    <w:p>
      <w:r>
        <w:t>用户通过应用平台进行布控任务的下发；</w:t>
      </w:r>
    </w:p>
    <w:p>
      <w:r>
        <w:t>多维数据接入服务接收到布控规则之后，需要先将布控任务规则入库，然后通过消息总线发送布控信息变更通知；</w:t>
      </w:r>
    </w:p>
    <w:p>
      <w:r>
        <w:t>所以的基础数据服务，根据自己服务的类型获取指定的布控规则，然后记录到内存中进行布控；</w:t>
      </w:r>
    </w:p>
    <w:p>
      <w:r>
        <w:t>基础数据服务在系统启动的时候，需要从数据库中加载对应的布控规则；</w:t>
      </w:r>
    </w:p>
    <w:p>
      <w:pPr>
        <w:ind w:firstLine="482"/>
        <w:rPr>
          <w:b/>
          <w:bCs/>
        </w:rPr>
      </w:pPr>
      <w:r>
        <w:rPr>
          <w:b/>
          <w:bCs/>
        </w:rPr>
        <w:t>告警流程</w:t>
      </w:r>
    </w:p>
    <w:p>
      <w:r>
        <w:t>产生告警的数据源有两方面，一个是直接智能抓拍相机产生的数据，通过多维数据接入服务接入，一个是智能解析系统通过视频流分析产生的数据；</w:t>
      </w:r>
    </w:p>
    <w:p>
      <w:r>
        <w:t>基础数据服务从消息总线获取所有的数据记录，然后进行布控规则的比对；</w:t>
      </w:r>
    </w:p>
    <w:p>
      <w:r>
        <w:t>对于能够匹配规则的记录，基础数据服务会将其放入消息总线中；</w:t>
      </w:r>
    </w:p>
    <w:p>
      <w:r>
        <w:t>多维数据服务会从消息总线中提取告警信息，然后根据每条告警记录的布控信息进行分发；</w:t>
      </w:r>
    </w:p>
    <w:p>
      <w:pPr>
        <w:pStyle w:val="7"/>
      </w:pPr>
      <w:r>
        <w:t>订阅通知</w:t>
      </w:r>
    </w:p>
    <w:p>
      <w:r>
        <w:t>视图库支持用户订阅功能，可以将订阅的数据类型转发到用户指定的地址。</w:t>
      </w:r>
    </w:p>
    <w:p>
      <w:pPr>
        <w:ind w:firstLine="482"/>
        <w:rPr>
          <w:b/>
          <w:bCs/>
        </w:rPr>
      </w:pPr>
      <w:r>
        <w:rPr>
          <w:b/>
          <w:bCs/>
        </w:rPr>
        <w:t>订阅流程</w:t>
      </w:r>
    </w:p>
    <w:p>
      <w:r>
        <w:t>用户通过应用平台进行订阅任务的下发；</w:t>
      </w:r>
    </w:p>
    <w:p>
      <w:r>
        <w:t>多维数据接入服务接收到订阅规则之后，需要先将订阅任务规则入库，然后通过消息总线发送订阅信息变更通知；</w:t>
      </w:r>
    </w:p>
    <w:p>
      <w:r>
        <w:t>所以的基础数据服务，根据自己服务的类型获取指定的订阅规则，然后记录到内存中进行订阅；</w:t>
      </w:r>
    </w:p>
    <w:p>
      <w:r>
        <w:t>基础数据服务在系统启动的时候，需要从数据库中加载对应的订阅规则；</w:t>
      </w:r>
    </w:p>
    <w:p>
      <w:pPr>
        <w:ind w:firstLine="482"/>
        <w:rPr>
          <w:b/>
          <w:bCs/>
        </w:rPr>
      </w:pPr>
      <w:r>
        <w:rPr>
          <w:b/>
          <w:bCs/>
        </w:rPr>
        <w:t xml:space="preserve">通知流程 </w:t>
      </w:r>
    </w:p>
    <w:p>
      <w:r>
        <w:t>订阅数据源有两方面，一个是直接智能抓拍相机产生的数据，通过多维数据接入服务接入，一个是智能解析系统通过视频流分析产生的数据；</w:t>
      </w:r>
    </w:p>
    <w:p>
      <w:r>
        <w:t>基础数据服务从消息总线获取所有的数据记录，然后进行订阅规则的比对；</w:t>
      </w:r>
    </w:p>
    <w:p>
      <w:r>
        <w:t>对于能够匹配规则的记录，基础数据服务会将其放入消息总线中；</w:t>
      </w:r>
    </w:p>
    <w:p>
      <w:r>
        <w:t>多维数据服务会从消息总线中提取通知信息，然后根据每条通知记录的订阅信息进行分发。</w:t>
      </w:r>
    </w:p>
    <w:p>
      <w:pPr>
        <w:pStyle w:val="7"/>
      </w:pPr>
      <w:r>
        <w:t>管理功能</w:t>
      </w:r>
    </w:p>
    <w:p>
      <w:pPr>
        <w:ind w:left="420" w:firstLine="0" w:firstLineChars="0"/>
        <w:rPr>
          <w:b/>
          <w:bCs/>
        </w:rPr>
      </w:pPr>
      <w:r>
        <w:rPr>
          <w:b/>
          <w:bCs/>
        </w:rPr>
        <w:t>存储管理</w:t>
      </w:r>
    </w:p>
    <w:p>
      <w:r>
        <w:t>支持对存储对象的分类存储管理，并符合以下要求：</w:t>
      </w:r>
    </w:p>
    <w:p>
      <w:r>
        <w:t>（1）支持设置自动采集视频图像信息对象的存储时间及周期；</w:t>
      </w:r>
    </w:p>
    <w:p>
      <w:r>
        <w:t>（2）支持设置视频分析规则对象的存储时间及周期；</w:t>
      </w:r>
    </w:p>
    <w:p>
      <w:r>
        <w:t>（3）支持存储容量的平滑扩展；</w:t>
      </w:r>
    </w:p>
    <w:p>
      <w:r>
        <w:t>（4）支持配置数据导入与导出；</w:t>
      </w:r>
    </w:p>
    <w:p>
      <w:r>
        <w:t>（5）支持业务数据备份与恢复。</w:t>
      </w:r>
    </w:p>
    <w:p>
      <w:r>
        <w:t>建议结构化存储使用的数据库优先选用MPPDB，宜支持SQL，且单节点存储数据量不少于20亿，最大节点数量不少于200个节点。</w:t>
      </w:r>
    </w:p>
    <w:p>
      <w:pPr>
        <w:ind w:left="420" w:firstLine="0" w:firstLineChars="0"/>
        <w:rPr>
          <w:b/>
          <w:bCs/>
        </w:rPr>
      </w:pPr>
      <w:r>
        <w:rPr>
          <w:b/>
          <w:bCs/>
        </w:rPr>
        <w:t>用户管理</w:t>
      </w:r>
    </w:p>
    <w:p>
      <w:r>
        <w:t>（1）用户注册及身份认证</w:t>
      </w:r>
    </w:p>
    <w:p>
      <w:r>
        <w:t>具备用户注册功能；具备独立的认证鉴权功能，应对接入视图库的用户身份进行合法性认证。</w:t>
      </w:r>
    </w:p>
    <w:p>
      <w:r>
        <w:t>（2）身份认证模式</w:t>
      </w:r>
    </w:p>
    <w:p>
      <w:r>
        <w:t>应符合GA/T 669.2中的相关规定。</w:t>
      </w:r>
    </w:p>
    <w:p>
      <w:r>
        <w:t>（3）用户访问控制</w:t>
      </w:r>
    </w:p>
    <w:p>
      <w:r>
        <w:t>应支持以下访问控制方式：限制用户登录端使用的IP地址； 限制用户多点登录。</w:t>
      </w:r>
    </w:p>
    <w:p>
      <w:r>
        <w:t>（4）根据用户对视图库使用权限的不同，应将用户至少分为管理用户和系统用户两大类：</w:t>
      </w:r>
    </w:p>
    <w:p>
      <w:r>
        <w:t>管理用户：提供给人员登陆使用的帐号，能够对系统软硬件资源、系统运行状态以及安全配置等进行管理的用户；应具有添加、修改和删除系统用户权限等功能；除超过系统规定存储期限的数据外，管理用户应不能浏览、修改、删除系统中系统用户生成的数据；</w:t>
      </w:r>
    </w:p>
    <w:p>
      <w:r>
        <w:t>系统用户：提供给远程设备/系统使用与视图库之间进行通信用的帐号，包括接入视图库的采集设备、采集系统、应用平台、上级视图库和分析系统等；应对系统用户可操作的功能、以及可访问的视频图像信息对象进行认证鉴权。</w:t>
      </w:r>
    </w:p>
    <w:p>
      <w:pPr>
        <w:ind w:left="420" w:firstLine="0" w:firstLineChars="0"/>
        <w:rPr>
          <w:b/>
          <w:bCs/>
        </w:rPr>
      </w:pPr>
      <w:r>
        <w:rPr>
          <w:b/>
          <w:bCs/>
        </w:rPr>
        <w:t>设备管理</w:t>
      </w:r>
    </w:p>
    <w:p>
      <w:r>
        <w:t>支持配置应用平台、分析系统和上级视图库等服务器的地址信息及访问账号信息；</w:t>
      </w:r>
    </w:p>
    <w:p>
      <w:r>
        <w:t>支持采集系统、采集设备、视频卡口、车道对象的创建、查询、更新、删除操作；应支持配置采集系统、采集设备访问账号信息；</w:t>
      </w:r>
    </w:p>
    <w:p>
      <w:r>
        <w:t>支持采集设备登录口令/密码的动态管理，能定期自动更新采集设备登录口令/密码；</w:t>
      </w:r>
    </w:p>
    <w:p>
      <w:r>
        <w:t>支持查看应用平台、分析系统、上下级视图库的状态信息；</w:t>
      </w:r>
    </w:p>
    <w:p>
      <w:r>
        <w:t>支持查看所管理的采集系统、采集设备的状态信息。</w:t>
      </w:r>
    </w:p>
    <w:p>
      <w:pPr>
        <w:ind w:left="420" w:firstLine="0" w:firstLineChars="0"/>
        <w:rPr>
          <w:b/>
          <w:bCs/>
        </w:rPr>
      </w:pPr>
      <w:r>
        <w:rPr>
          <w:b/>
          <w:bCs/>
        </w:rPr>
        <w:t>日志管理</w:t>
      </w:r>
    </w:p>
    <w:p>
      <w:r>
        <w:t>支持记录系统运行日志和操作日志，运行日志包括视图库内服务模块的启动、停止，系统用户的注册、注销、对象删除操作等信息，操作日志包括管理用户登录、退出、配置操作等使用信息；</w:t>
      </w:r>
    </w:p>
    <w:p>
      <w:r>
        <w:t>运行日志及操作日志的存储时间不少于6个月；</w:t>
      </w:r>
    </w:p>
    <w:p>
      <w:r>
        <w:t>支持日志的统计分析，生成日志分析报表；</w:t>
      </w:r>
    </w:p>
    <w:p>
      <w:r>
        <w:t>符合公安信息系统相关管理要求。</w:t>
      </w:r>
    </w:p>
    <w:p>
      <w:pPr>
        <w:ind w:left="420" w:firstLine="0" w:firstLineChars="0"/>
        <w:rPr>
          <w:b/>
          <w:bCs/>
        </w:rPr>
      </w:pPr>
      <w:r>
        <w:rPr>
          <w:b/>
          <w:bCs/>
        </w:rPr>
        <w:t>时钟同步</w:t>
      </w:r>
    </w:p>
    <w:p>
      <w:r>
        <w:t>支持基于NTP/SNTP协议与NTP时钟源同步；</w:t>
      </w:r>
    </w:p>
    <w:p>
      <w:r>
        <w:t>支持向所管理的采集设备提供时钟同步功能，并符合GA/T 1400.4中的相关规定。</w:t>
      </w:r>
    </w:p>
    <w:p>
      <w:pPr>
        <w:ind w:left="420" w:firstLine="0" w:firstLineChars="0"/>
        <w:rPr>
          <w:b/>
          <w:bCs/>
        </w:rPr>
      </w:pPr>
      <w:r>
        <w:rPr>
          <w:b/>
          <w:bCs/>
        </w:rPr>
        <w:t>多算法管理</w:t>
      </w:r>
    </w:p>
    <w:p>
      <w:r>
        <w:t>视频图像信息数据库使用的检索算法并不与特定的厂家绑定，可以根据需要灵活更换算法，多算法管理包括两类接口，一类是算法版本管理接口，包括算法导入、算法删除、算法查询接口；一类是算法插件接口，第三方算法厂商的算法包必须满足该接口要求，才能被视频图像信息数据库所使用。</w:t>
      </w:r>
    </w:p>
    <w:p>
      <w:pPr>
        <w:pStyle w:val="6"/>
      </w:pPr>
      <w:r>
        <w:t>技术指标</w:t>
      </w:r>
    </w:p>
    <w:p>
      <w:pPr>
        <w:pStyle w:val="7"/>
      </w:pPr>
      <w:r>
        <w:t>对象存储时间</w:t>
      </w:r>
    </w:p>
    <w:p>
      <w:r>
        <w:t>社会资源接入网，大图存储时间不少于7天，小图、结构化信息和特征值向量存储时间不少于7天；视频专网侧大图存储时间不少于365天，小图、结构化信息和特征值向量存储时间不少于365天。</w:t>
      </w:r>
    </w:p>
    <w:p>
      <w:pPr>
        <w:pStyle w:val="7"/>
      </w:pPr>
      <w:r>
        <w:t>存储对象格式</w:t>
      </w:r>
    </w:p>
    <w:p>
      <w:r>
        <w:t>视频图像信息数据库中视图信息对象的存储格式符合：</w:t>
      </w:r>
    </w:p>
    <w:p>
      <w:r>
        <w:t>（1）支持存储、管理JPEG、JPEG 2000、BMP、PNG、TIF（TIFF）格式的图像资源；</w:t>
      </w:r>
    </w:p>
    <w:p>
      <w:r>
        <w:t>（2）支持存储、管理SVAC、H.264、H.265、MPEG-4、MPEG-2、MJPEG格式的视频资源，可兼容CIF（352×288）、2CIF（704×288）、4CIF（704×576）、D1（720×576）、720P（1280×720）、1080P（1920×1080）、4K（4096×2160）或以上视频分辨率；视频文件格式应支持.ps、.avi、.ts、 .mp4等；</w:t>
      </w:r>
    </w:p>
    <w:p>
      <w:r>
        <w:t>（3）支持存储管理SVAC、G.711a、G.711u、G.723、G.729格式的音频资源。</w:t>
      </w:r>
    </w:p>
    <w:p>
      <w:pPr>
        <w:pStyle w:val="7"/>
      </w:pPr>
      <w:r>
        <w:t>并发性能规格</w:t>
      </w:r>
    </w:p>
    <w:p>
      <w:r>
        <w:t>（1）并发接收图像对象的速度不小于2^7张/s；</w:t>
      </w:r>
    </w:p>
    <w:p>
      <w:r>
        <w:t>（2）并发接入系统用户数不少于2^5个；</w:t>
      </w:r>
    </w:p>
    <w:p>
      <w:r>
        <w:t>（3）视图库管理的采集设备对象不少于2^13个；</w:t>
      </w:r>
    </w:p>
    <w:p>
      <w:r>
        <w:t>（4）视图库管理的采集系统对象不少于2^7个；</w:t>
      </w:r>
    </w:p>
    <w:p>
      <w:r>
        <w:t>（5）视图库管理的视频图像信息对象不少于2^30个；</w:t>
      </w:r>
    </w:p>
    <w:p>
      <w:r>
        <w:t>（6）视图库管理的视频分析规则对象不少于2^17个；</w:t>
      </w:r>
    </w:p>
    <w:p>
      <w:r>
        <w:t>（7）视图库管理的视频标签对象不少于2^30个；</w:t>
      </w:r>
    </w:p>
    <w:p>
      <w:r>
        <w:t>（8）视图库管理的目标统计信息对象不少于2^17个；</w:t>
      </w:r>
    </w:p>
    <w:p>
      <w:r>
        <w:t>（9）视图库管理的视频案事件对象不少于2^17个；</w:t>
      </w:r>
    </w:p>
    <w:p>
      <w:r>
        <w:t>（10）视图库支持的并发处于布控状态的布控对象不少于2^10个；</w:t>
      </w:r>
    </w:p>
    <w:p>
      <w:r>
        <w:t>（11）视图库支持的并发处于订阅状态的订阅对象不少于2^10个。</w:t>
      </w:r>
    </w:p>
    <w:p>
      <w:r>
        <w:t>（12）态的订阅对象不少于210个。</w:t>
      </w:r>
    </w:p>
    <w:p>
      <w:pPr>
        <w:pStyle w:val="6"/>
      </w:pPr>
      <w:bookmarkStart w:id="61" w:name="_Toc532983183"/>
      <w:bookmarkStart w:id="62" w:name="_Toc532998870"/>
      <w:bookmarkStart w:id="63" w:name="_Toc443865659"/>
      <w:bookmarkStart w:id="64" w:name="_Toc520314952"/>
      <w:bookmarkStart w:id="65" w:name="_Toc56184574"/>
      <w:bookmarkStart w:id="66" w:name="_Toc490769740"/>
      <w:r>
        <w:t>视图库服务接口</w:t>
      </w:r>
      <w:bookmarkEnd w:id="61"/>
      <w:bookmarkEnd w:id="62"/>
      <w:bookmarkEnd w:id="63"/>
      <w:bookmarkEnd w:id="64"/>
      <w:bookmarkEnd w:id="65"/>
      <w:bookmarkEnd w:id="66"/>
      <w:r>
        <w:t>功能</w:t>
      </w:r>
    </w:p>
    <w:p>
      <w:r>
        <w:t>公安视频图像信息数据库的接口分类与协议结构、接口功能、接口资源描述、接口消息、关键消息交互流程、消息交互安全性等技术要求应符合GA/T 1400.4—2017《公安视频图像信息应用系统 第4部分：接口协议要求》中的相关描述。</w:t>
      </w:r>
    </w:p>
    <w:p>
      <w:pPr>
        <w:pStyle w:val="7"/>
      </w:pPr>
      <w:r>
        <w:t>公共功能</w:t>
      </w:r>
    </w:p>
    <w:p>
      <w:r>
        <w:t>应支持注册、保活、注销、校时。注册失败时，应延迟300s内的随机时间后重新注册。注册成功后，在90s 内未交互信息则进行心跳保活。</w:t>
      </w:r>
    </w:p>
    <w:p>
      <w:pPr>
        <w:pStyle w:val="7"/>
      </w:pPr>
      <w:r>
        <w:t>采集接口</w:t>
      </w:r>
    </w:p>
    <w:p>
      <w:r>
        <w:t>支持采集设备、采集系统、分析系统向视图库进行自动采集视频图像信息的上传，上传信息后，若在一定延迟时间（例如5s）内未接收到响应，则视为上传失败，应重传。如连续多次（例如3次）重传仍未成功，则视为链路发生问题，缓存信息，并重新进行注册。在注册成功后，补传所有未报送数据。</w:t>
      </w:r>
    </w:p>
    <w:p>
      <w:r>
        <w:t>支持视图库向采集系统进行采集设备或采集系统、视频卡口、车道等信息的查询。</w:t>
      </w:r>
    </w:p>
    <w:p>
      <w:r>
        <w:t>支持分析系统向视图库进行视频图像分析规则的上传。</w:t>
      </w:r>
    </w:p>
    <w:p>
      <w:pPr>
        <w:pStyle w:val="7"/>
      </w:pPr>
      <w:r>
        <w:t>数据服务接口</w:t>
      </w:r>
    </w:p>
    <w:p>
      <w:r>
        <w:t>支持应用平台、其他信息系统等向视图库进行基于视频图像信息对象、视频案事件、布控任务与告警记录、订阅任务与通知记录、视频图像分析规则等的特征属性及其组合的查询，支持分析系统向视图库进行基于视频图像信息对象等的特征属性及其组合的查询。</w:t>
      </w:r>
    </w:p>
    <w:p>
      <w:r>
        <w:t>支持应用平台、其他信息系统等向视图库进行人工采集视频案事件及视频图像信息对象的创建、更新、删除。</w:t>
      </w:r>
    </w:p>
    <w:p>
      <w:r>
        <w:t>支持应用平台、其他信息系统等向视图库进行采集设备或采集系统等的查询、更新。</w:t>
      </w:r>
    </w:p>
    <w:p>
      <w:r>
        <w:t>支持应用平台、其他信息系统等向视图库进行基于视频图像信息对象特征属性对指定目标的布控与告警。</w:t>
      </w:r>
    </w:p>
    <w:p>
      <w:r>
        <w:t>支持应用平台、其他信息系统等向视图库进行基于视频图像信息、采集设备或采集系统等对象特征属性对指定目标的订阅与通知。</w:t>
      </w:r>
    </w:p>
    <w:p>
      <w:pPr>
        <w:pStyle w:val="7"/>
      </w:pPr>
      <w:r>
        <w:t>级联接口</w:t>
      </w:r>
    </w:p>
    <w:p>
      <w:r>
        <w:t>支持上级视图库向视图库进行基于视频图像信息对象、视频案事件、布控任务与告警记录、订阅任务与通知记录、视频图像分析规则等的特征属性及其组合的查询。</w:t>
      </w:r>
    </w:p>
    <w:p>
      <w:r>
        <w:t>支持上级视图库向视图库进行对于采集设备或采集系统列表的查询。</w:t>
      </w:r>
    </w:p>
    <w:p>
      <w:r>
        <w:t>支持上级视图库向视图库进行基于视频图像信息对象特征属性对指定目标的布控与告警。</w:t>
      </w:r>
    </w:p>
    <w:p>
      <w:r>
        <w:t>支持上级视图库向视图库进行基于视频图像信息、采集设备或采集系统等对象特征属性对指定目标的订阅与通知，通知发出后，若在一定延迟时间（例如5s）内未接收到响应，则视为通知失败，应重传。如连续多次（例如3次）重传仍未成功，则视为链路发生问题，缓存信息，并重新进行注册。在注册成功后，补传所有未通知数据。</w:t>
      </w:r>
    </w:p>
    <w:p>
      <w:pPr>
        <w:pStyle w:val="7"/>
      </w:pPr>
      <w:r>
        <w:t>人脸资源接口</w:t>
      </w:r>
    </w:p>
    <w:p>
      <w:r>
        <w:t>一人一档资源检索接口参照附录C《人脸资源新增接口》。</w:t>
      </w:r>
    </w:p>
    <w:p>
      <w:pPr>
        <w:pStyle w:val="6"/>
      </w:pPr>
      <w:r>
        <w:t>系统服务参数</w:t>
      </w:r>
    </w:p>
    <w:p>
      <w:r>
        <w:rPr>
          <w:rFonts w:hint="eastAsia"/>
        </w:rPr>
        <w:t>（</w:t>
      </w:r>
      <w:r>
        <w:t>1</w:t>
      </w:r>
      <w:r>
        <w:rPr>
          <w:rFonts w:hint="eastAsia"/>
        </w:rPr>
        <w:t>）</w:t>
      </w:r>
      <w:r>
        <w:t>支持本次项目建设的人脸抓拍、车辆抓拍、微卡等智能化前端感知数据接入，社会面视图库系统前端接入量不低于2500路；</w:t>
      </w:r>
    </w:p>
    <w:p>
      <w:r>
        <w:rPr>
          <w:rFonts w:hint="eastAsia"/>
        </w:rPr>
        <w:t>（2） 社会面侧视图库系统支持不少于832路结构化相机、70路人脸相机图片流接入转发；并发能力不低于1500张/秒，小图/结构化/半结构化数据并发转发22500条/秒，大图存储时间不小于365天，小图存储时间不少于365天。</w:t>
      </w:r>
    </w:p>
    <w:p>
      <w:r>
        <w:rPr>
          <w:rFonts w:hint="eastAsia"/>
        </w:rPr>
        <w:t>（3）视频专网侧视图库系统支持不少于2043路结构化相机、100路人脸相机、110路电警卡口、原有230路非标车辆卡口转码后进行解析图片流接入转发，并发大小图、URL不低于2500条/秒；小图/结构化/半结构化数据并发转发37500 条/秒，大图存储时间不小于365天，小图存储时间不少于365天，结构化/半结构化冷数据数据存储时间不少于365天</w:t>
      </w:r>
      <w:r>
        <w:t>。</w:t>
      </w:r>
    </w:p>
    <w:p>
      <w:pPr>
        <w:pStyle w:val="5"/>
      </w:pPr>
      <w:bookmarkStart w:id="67" w:name="_Toc112317356"/>
      <w:r>
        <w:t>视频图像解析系统</w:t>
      </w:r>
      <w:bookmarkEnd w:id="67"/>
    </w:p>
    <w:p>
      <w:pPr>
        <w:contextualSpacing/>
      </w:pPr>
      <w:r>
        <w:t>视频图像解析系统基于微服务架构设计，通过组件搭建应用系统功能，适应软件架构对复用性、扩展性、维护性的要求。通过“高内聚、松耦合、可复用”的组件设计核心思想，最大程度地提高代码的重用率，提高系统的可维护性和灵活性。</w:t>
      </w:r>
    </w:p>
    <w:p>
      <w:pPr>
        <w:pStyle w:val="6"/>
      </w:pPr>
      <w:r>
        <w:rPr>
          <w:rFonts w:hint="eastAsia"/>
        </w:rPr>
        <w:t>服务</w:t>
      </w:r>
      <w:r>
        <w:t>功能</w:t>
      </w:r>
    </w:p>
    <w:p>
      <w:pPr>
        <w:contextualSpacing/>
      </w:pPr>
      <w:r>
        <w:t>视频图像解析是指通过视频图像智能计算，从视频流、视频片段、图片中识别并提取人脸、人体、车辆、物品、场景等对象的图片、特征值和特征属性信息等。</w:t>
      </w:r>
    </w:p>
    <w:p>
      <w:pPr>
        <w:pStyle w:val="7"/>
      </w:pPr>
      <w:r>
        <w:t>视频图像输入</w:t>
      </w:r>
    </w:p>
    <w:p>
      <w:pPr>
        <w:contextualSpacing/>
      </w:pPr>
      <w:r>
        <w:t>（1）视频图像格式</w:t>
      </w:r>
    </w:p>
    <w:p>
      <w:pPr>
        <w:contextualSpacing/>
      </w:pPr>
      <w:r>
        <w:t>视频图像解析系统支持以下视频图像格式：</w:t>
      </w:r>
    </w:p>
    <w:p>
      <w:pPr>
        <w:pStyle w:val="106"/>
        <w:numPr>
          <w:ilvl w:val="0"/>
          <w:numId w:val="12"/>
        </w:numPr>
        <w:ind w:firstLineChars="0"/>
        <w:contextualSpacing/>
      </w:pPr>
      <w:r>
        <w:t>支持但不限于CIF（352×288）、4CIF（704×576）、D1（720×576）、720P（1280×720）、1080P（1920×1080），4K（4096×2160）等分辨率的视频图像；</w:t>
      </w:r>
    </w:p>
    <w:p>
      <w:pPr>
        <w:pStyle w:val="106"/>
        <w:numPr>
          <w:ilvl w:val="0"/>
          <w:numId w:val="12"/>
        </w:numPr>
        <w:ind w:firstLineChars="0"/>
        <w:contextualSpacing/>
      </w:pPr>
      <w:r>
        <w:t>网络视频流封装格式符合GB/T 28181-2016的相关要求；</w:t>
      </w:r>
    </w:p>
    <w:p>
      <w:pPr>
        <w:pStyle w:val="106"/>
        <w:numPr>
          <w:ilvl w:val="0"/>
          <w:numId w:val="12"/>
        </w:numPr>
        <w:ind w:firstLineChars="0"/>
        <w:contextualSpacing/>
      </w:pPr>
      <w:r>
        <w:t>视频文件支持PS、MP4、AVI等封装格式；</w:t>
      </w:r>
    </w:p>
    <w:p>
      <w:pPr>
        <w:pStyle w:val="106"/>
        <w:numPr>
          <w:ilvl w:val="0"/>
          <w:numId w:val="12"/>
        </w:numPr>
        <w:ind w:firstLineChars="0"/>
        <w:contextualSpacing/>
      </w:pPr>
      <w:r>
        <w:t>支持H.264、MPEG-4等视频编码格式，支持H.265视频编码格式；</w:t>
      </w:r>
    </w:p>
    <w:p>
      <w:pPr>
        <w:pStyle w:val="106"/>
        <w:numPr>
          <w:ilvl w:val="0"/>
          <w:numId w:val="12"/>
        </w:numPr>
        <w:ind w:firstLineChars="0"/>
        <w:contextualSpacing/>
      </w:pPr>
      <w:r>
        <w:t>支持JPEG、JPEG2000、BMP、PNG等格式的图像。</w:t>
      </w:r>
    </w:p>
    <w:p>
      <w:pPr>
        <w:contextualSpacing/>
      </w:pPr>
      <w:r>
        <w:t>（2）输入方式</w:t>
      </w:r>
    </w:p>
    <w:p>
      <w:pPr>
        <w:contextualSpacing/>
      </w:pPr>
      <w:r>
        <w:t>视频图像分析系统的数据输入方式符合以下要求：</w:t>
      </w:r>
    </w:p>
    <w:p>
      <w:pPr>
        <w:pStyle w:val="106"/>
        <w:numPr>
          <w:ilvl w:val="0"/>
          <w:numId w:val="13"/>
        </w:numPr>
        <w:ind w:firstLineChars="0"/>
        <w:contextualSpacing/>
      </w:pPr>
      <w:r>
        <w:t>从视频监控共享平台获取实时视频符合GB/T 28181-2016的相关要求；</w:t>
      </w:r>
    </w:p>
    <w:p>
      <w:pPr>
        <w:pStyle w:val="106"/>
        <w:numPr>
          <w:ilvl w:val="0"/>
          <w:numId w:val="13"/>
        </w:numPr>
        <w:ind w:firstLineChars="0"/>
        <w:contextualSpacing/>
      </w:pPr>
      <w:r>
        <w:t>从</w:t>
      </w:r>
      <w:r>
        <w:rPr>
          <w:rFonts w:hint="eastAsia"/>
        </w:rPr>
        <w:t>视频</w:t>
      </w:r>
      <w:r>
        <w:t>共享平台获取过车过人图片数据，对卡口图片进二次解析处理；</w:t>
      </w:r>
    </w:p>
    <w:p>
      <w:pPr>
        <w:pStyle w:val="106"/>
        <w:numPr>
          <w:ilvl w:val="0"/>
          <w:numId w:val="13"/>
        </w:numPr>
        <w:ind w:firstLineChars="0"/>
        <w:contextualSpacing/>
      </w:pPr>
      <w:r>
        <w:t>支持从本地存储设备获取视频图像文件输入。</w:t>
      </w:r>
    </w:p>
    <w:p>
      <w:pPr>
        <w:pStyle w:val="7"/>
      </w:pPr>
      <w:r>
        <w:t>人脸解析</w:t>
      </w:r>
    </w:p>
    <w:p>
      <w:pPr>
        <w:contextualSpacing/>
      </w:pPr>
      <w:r>
        <w:t>对输入的视频图像进行面向人脸对象的检测与解析，提取人脸图片、人脸特征值及人脸面部的特征属性信息，如性别、年龄、发型、口罩、眼镜、帽子、脸型、脸部特征等。</w:t>
      </w:r>
    </w:p>
    <w:p>
      <w:pPr>
        <w:pStyle w:val="7"/>
      </w:pPr>
      <w:r>
        <w:t>人体解析</w:t>
      </w:r>
    </w:p>
    <w:p>
      <w:pPr>
        <w:contextualSpacing/>
      </w:pPr>
      <w:r>
        <w:t>对输入的视频图像进行面向人体对象的检测与解析，提取人体图片、人体特征值和人体的特征属性信息，如身高、体型、姿态、体貌特征、体表特征、附属物、上衣、裤子、鞋子等。</w:t>
      </w:r>
    </w:p>
    <w:p>
      <w:pPr>
        <w:pStyle w:val="7"/>
      </w:pPr>
      <w:r>
        <w:t>车辆解析</w:t>
      </w:r>
    </w:p>
    <w:p>
      <w:pPr>
        <w:contextualSpacing/>
      </w:pPr>
      <w:r>
        <w:t>对输入的视频图像进行面向车辆对象的检测与解析，包括机动车与非机动车辆，提取车辆图片、车辆图片特征值和车辆的特征属性信息、车辆行为等：</w:t>
      </w:r>
    </w:p>
    <w:p>
      <w:pPr>
        <w:contextualSpacing/>
      </w:pPr>
      <w:r>
        <w:t>对于机动车的特征属性信息，如车牌、车身、车辆品牌、车辆年款、车身颜色、车前后盖、车轮、车窗、车顶、车窗、车厢、后视镜、贴膜、撞痕、车前部物品、车内人数、遮阳板、安全带等；</w:t>
      </w:r>
    </w:p>
    <w:p>
      <w:pPr>
        <w:contextualSpacing/>
      </w:pPr>
      <w:r>
        <w:t>对于非机动车的特征属性信息，如有无车牌、车型、车款、车身、车身颜色等；</w:t>
      </w:r>
    </w:p>
    <w:p>
      <w:pPr>
        <w:pStyle w:val="7"/>
      </w:pPr>
      <w:r>
        <w:t>多算法解析</w:t>
      </w:r>
    </w:p>
    <w:p>
      <w:pPr>
        <w:contextualSpacing/>
      </w:pPr>
      <w:r>
        <w:t>支持多种比对算法导入、设置各算法权重。在以图搜图时可以选择单种算法检索，或多种算法融合检索，检索结果按照各算法权重进行综合排序，结果可以显示各算法的相似度。</w:t>
      </w:r>
    </w:p>
    <w:p>
      <w:pPr>
        <w:contextualSpacing/>
      </w:pPr>
      <w:r>
        <w:t>现有建设方案多为单一算法识别，容易造成误报、漏报。误报增加审核人员工作量，无法投入更多精力到实战平台数据分析中；漏报会使线索中断，错过重大嫌疑人线索，对破案和安保带来不可逆的后果和影响</w:t>
      </w:r>
    </w:p>
    <w:p>
      <w:pPr>
        <w:contextualSpacing/>
      </w:pPr>
      <w:r>
        <w:t>多种算法合并检索，可以增加数据的可靠性和准确性，既丰富的算法的种类，又充分利用了不同算法的优势，相互取长补短，将多算法合并检索带来的效果最大化。</w:t>
      </w:r>
    </w:p>
    <w:p>
      <w:pPr>
        <w:pStyle w:val="7"/>
      </w:pPr>
      <w:r>
        <w:t>加速解析</w:t>
      </w:r>
    </w:p>
    <w:p>
      <w:pPr>
        <w:contextualSpacing/>
      </w:pPr>
      <w:r>
        <w:t>由于传统录像分析存在分析速度慢，效率低的问题。为了解决该问题，视图解析系统设计了存储录像加速分析的方法。在资源有限的情况下，对视频录像进行合理的分片切割然后并行分析，能够实现视频解析速度的提升。本项目规划设计200路实时视频流，能够做到最大倍速为200倍。</w:t>
      </w:r>
    </w:p>
    <w:p>
      <w:pPr>
        <w:contextualSpacing/>
      </w:pPr>
      <w:r>
        <w:t>加速解析功能在离线文件分析和中心录像分析中均支持，倍速指可达到的分析倍速在1~200倍之间。单个环境中能够达到的最大倍速主要依赖于解析算法资源（需要有200路视频流空闲资源）、存储性能（离线文件需要存储读带宽支持）、视频基础平台性能（中心录像需要流媒体转发性能上限支持）。</w:t>
      </w:r>
    </w:p>
    <w:p>
      <w:pPr>
        <w:pStyle w:val="6"/>
      </w:pPr>
      <w:r>
        <w:t>视图解析指标规格</w:t>
      </w:r>
    </w:p>
    <w:p>
      <w:pPr>
        <w:pStyle w:val="7"/>
      </w:pPr>
      <w:r>
        <w:t>分辨率支持规格</w:t>
      </w:r>
    </w:p>
    <w:p>
      <w:pPr>
        <w:contextualSpacing/>
      </w:pPr>
      <w:r>
        <w:t>应支持对4096×2160（4K）、1920×1080（1080P）、1280×720（720P）、960×576 (960H) 、 720×576（D1）、704×576(4CIF)、352×288(CIF)等分辨率的视频进行解析处理。</w:t>
      </w:r>
    </w:p>
    <w:p>
      <w:pPr>
        <w:pStyle w:val="7"/>
      </w:pPr>
      <w:r>
        <w:t>视频格式支持规格</w:t>
      </w:r>
    </w:p>
    <w:p>
      <w:pPr>
        <w:contextualSpacing/>
      </w:pPr>
      <w:r>
        <w:t>应支持MPEG-4、H.264、H.265等视频编码格式，支持RTSP/ONVIF/GB28181协议视频接入，支持PS/TS封装格式接入，支持4K、1080P视频接入解析，支持2Mbps-6Mbps的码流视频接入解析，支持25帧/S、30帧/S、60帧/S的视频流接入解析；支持本地文件解析，文件大小≤2G；</w:t>
      </w:r>
    </w:p>
    <w:p>
      <w:pPr>
        <w:pStyle w:val="7"/>
      </w:pPr>
      <w:r>
        <w:t>图片格式支持规格</w:t>
      </w:r>
    </w:p>
    <w:p>
      <w:pPr>
        <w:contextualSpacing/>
      </w:pPr>
      <w:r>
        <w:t>应支持对JPEG、BMP、PNG 等多种格式的图片进行解析处理，支持≤50K大小的图片解析，支持私有格式接入（Kafka）；</w:t>
      </w:r>
    </w:p>
    <w:p>
      <w:pPr>
        <w:pStyle w:val="7"/>
      </w:pPr>
      <w:r>
        <w:t>人脸解析规格</w:t>
      </w:r>
    </w:p>
    <w:p>
      <w:pPr>
        <w:contextualSpacing/>
      </w:pPr>
      <w:r>
        <w:t>支持多种角度人脸检测，包括正脸、侧脸、部分遮挡、光线过暗、曝光过度等；支持多种场景的人脸检测和特征提取，包括证件照、面部照、上身半照、摄像头抓拍、全身照；支持人员年龄、性别、是否戴口罩、是否戴眼镜、眼镜款式、眼镜颜色识别；支持一图一脸、一图多脸比对。</w:t>
      </w:r>
    </w:p>
    <w:p>
      <w:pPr>
        <w:contextualSpacing/>
      </w:pPr>
      <w:r>
        <w:t>支持单张T4卡并发解析32路1080P人脸视频流解析；支持单张T4卡并发解析200张/S人脸图片。</w:t>
      </w:r>
    </w:p>
    <w:p>
      <w:pPr>
        <w:pStyle w:val="7"/>
      </w:pPr>
      <w:r>
        <w:t>视频结构化规格</w:t>
      </w:r>
    </w:p>
    <w:p>
      <w:pPr>
        <w:contextualSpacing/>
      </w:pPr>
      <w:r>
        <w:t>支持行人性别、年龄、包款式、上衣颜色、裤子颜色、上衣长度、裤子长度识别；支持车辆号牌种类、车牌号、车牌识别可信度、车身颜色、车辆品牌、车辆型号、车辆年款识别。</w:t>
      </w:r>
    </w:p>
    <w:p>
      <w:pPr>
        <w:contextualSpacing/>
      </w:pPr>
      <w:r>
        <w:t>支持单张T4卡解析32路1080P视频流。</w:t>
      </w:r>
    </w:p>
    <w:p>
      <w:pPr>
        <w:pStyle w:val="7"/>
      </w:pPr>
      <w:r>
        <w:t>多算法规格</w:t>
      </w:r>
    </w:p>
    <w:p>
      <w:pPr>
        <w:contextualSpacing/>
      </w:pPr>
      <w:r>
        <w:t>需支持不同厂商的多算法、同一厂商不同版本的多算法的管理，支持算法版本的添加和升级，支持多算法的解析。</w:t>
      </w:r>
    </w:p>
    <w:p>
      <w:pPr>
        <w:pStyle w:val="6"/>
      </w:pPr>
      <w:r>
        <w:t>视图解析接口定义</w:t>
      </w:r>
    </w:p>
    <w:p>
      <w:pPr>
        <w:pStyle w:val="7"/>
      </w:pPr>
      <w:r>
        <w:t>解析接口</w:t>
      </w:r>
    </w:p>
    <w:p>
      <w:pPr>
        <w:contextualSpacing/>
      </w:pPr>
      <w:r>
        <w:t>公安视频图像解析系统应参照GA/T 1399.1-2017标准对外提供解析接口，包括任务下发、启动、暂停、停止、状态查询及视频图像解析规则的创建、更新或删除等。</w:t>
      </w:r>
    </w:p>
    <w:p>
      <w:pPr>
        <w:pStyle w:val="7"/>
      </w:pPr>
      <w:r>
        <w:t>采集接口/数据服务接口</w:t>
      </w:r>
    </w:p>
    <w:p>
      <w:pPr>
        <w:contextualSpacing/>
      </w:pPr>
      <w:r>
        <w:t>公安视频图像信息数据库应参照GA/T 1400.3-2017标准提供采集接口和数据服务接口。</w:t>
      </w:r>
    </w:p>
    <w:p>
      <w:pPr>
        <w:pStyle w:val="6"/>
      </w:pPr>
      <w:r>
        <w:t>系统服务参数</w:t>
      </w:r>
    </w:p>
    <w:p>
      <w:r>
        <w:t>根据视频图像解析系统建设规划，确保行人、非机动车、机动车流量高峰时图片流实时解析。</w:t>
      </w:r>
    </w:p>
    <w:p>
      <w:r>
        <w:rPr>
          <w:rFonts w:hint="eastAsia"/>
        </w:rPr>
        <w:t>（1）</w:t>
      </w:r>
      <w:r>
        <w:t>支持不少于2500路图片流实时解析，支持不少于200路400万像素视频流（可对新旧前端）实时解析；</w:t>
      </w:r>
    </w:p>
    <w:p>
      <w:r>
        <w:rPr>
          <w:rFonts w:hint="eastAsia"/>
        </w:rPr>
        <w:t>（2）</w:t>
      </w:r>
      <w:r>
        <w:t>人脸图片峰值并发解析能力710张/秒；</w:t>
      </w:r>
    </w:p>
    <w:p>
      <w:r>
        <w:rPr>
          <w:rFonts w:hint="eastAsia"/>
        </w:rPr>
        <w:t>（3）</w:t>
      </w:r>
      <w:r>
        <w:t>人体、机动车、非机动车图片峰值并发解析能力1</w:t>
      </w:r>
      <w:r>
        <w:rPr>
          <w:rFonts w:hint="eastAsia"/>
        </w:rPr>
        <w:t>50</w:t>
      </w:r>
      <w:r>
        <w:t>0张/秒；</w:t>
      </w:r>
    </w:p>
    <w:p>
      <w:r>
        <w:rPr>
          <w:rFonts w:hint="eastAsia"/>
        </w:rPr>
        <w:t>（4）支持对同一静态画面内人脸检测数量不小于150个；</w:t>
      </w:r>
    </w:p>
    <w:p>
      <w:r>
        <w:rPr>
          <w:rFonts w:hint="eastAsia"/>
        </w:rPr>
        <w:t>（5）白天机动车、非机动车、人体三类活动目标类型识别率≥99%；</w:t>
      </w:r>
    </w:p>
    <w:p>
      <w:r>
        <w:rPr>
          <w:rFonts w:hint="eastAsia"/>
        </w:rPr>
        <w:t>（</w:t>
      </w:r>
      <w:r>
        <w:t>6</w:t>
      </w:r>
      <w:r>
        <w:rPr>
          <w:rFonts w:hint="eastAsia"/>
        </w:rPr>
        <w:t>）支持主、副驾驶未系安全带检测识别，识别准确率不低于95%。</w:t>
      </w:r>
    </w:p>
    <w:p>
      <w:pPr>
        <w:pStyle w:val="5"/>
      </w:pPr>
      <w:bookmarkStart w:id="68" w:name="_Toc112317357"/>
      <w:bookmarkStart w:id="69" w:name="_Toc80703413"/>
      <w:r>
        <w:t>视图大数据应用平台</w:t>
      </w:r>
      <w:bookmarkEnd w:id="68"/>
    </w:p>
    <w:p>
      <w:r>
        <w:t>视图大数据应用平台部署在视频专网，</w:t>
      </w:r>
      <w:r>
        <w:rPr>
          <w:rFonts w:hint="eastAsia"/>
        </w:rPr>
        <w:t>应做到统一门户，把各种应用系统、数据资源和视频资源统一集到同一个信息门户之下，根据用户使用特点和角色的不同，形成个性化的应用界面，</w:t>
      </w:r>
      <w:r>
        <w:t>通过调用视频共享服务、视频图像分析服务、视频图像数据服务等服务能力，提供包括实时调阅、历史回放、以图搜图、布控告警、轨迹分析、关系分析、规律分析、融合分析、算法建模等基础应用功能。</w:t>
      </w:r>
    </w:p>
    <w:p>
      <w:pPr>
        <w:pStyle w:val="6"/>
      </w:pPr>
      <w:r>
        <w:t>视频图像基础应用</w:t>
      </w:r>
    </w:p>
    <w:p>
      <w:pPr>
        <w:pStyle w:val="7"/>
      </w:pPr>
      <w:r>
        <w:t>实时预览</w:t>
      </w:r>
    </w:p>
    <w:p>
      <w:r>
        <w:t>用户可在Web浏览器上对各接入监控点的实时画面进行预览，</w:t>
      </w:r>
      <w:r>
        <w:rPr>
          <w:rFonts w:hint="eastAsia"/>
        </w:rPr>
        <w:t>同时，可进行云台控制、电子放大、变倍变焦、自动轮巡等。每个监控点都在资源树上，可通过资源树查找定位监控点，并显示通道在线状态，并支持收藏夹功能。</w:t>
      </w:r>
      <w:r>
        <w:t>所有监控设备均支持GIS地图展示和资源树展示，可通过地图上的监控设备播放实时视频。</w:t>
      </w:r>
    </w:p>
    <w:p>
      <w:pPr>
        <w:pStyle w:val="7"/>
      </w:pPr>
      <w:r>
        <w:t>录像回放与下载</w:t>
      </w:r>
    </w:p>
    <w:p>
      <w:r>
        <w:t>用户可在Web浏览器上查看各接入监控设备的录像，同时可进行剪辑、抓图、下载等操作，并支持回放、倍速、锁定以及下载到本地备份的功能，</w:t>
      </w:r>
      <w:r>
        <w:rPr>
          <w:rFonts w:hint="eastAsia"/>
        </w:rPr>
        <w:t>可以拉动时间进度条进行切换时间。键盘快捷键支持方向键左、右修改播放速度，可从倒放-16逐级切换到快放16。方向键上为逐帧播放。空格键播放、暂停。界面上每个按钮都会显示快捷键提示</w:t>
      </w:r>
      <w:r>
        <w:t>。</w:t>
      </w:r>
    </w:p>
    <w:p>
      <w:pPr>
        <w:pStyle w:val="7"/>
      </w:pPr>
      <w:r>
        <w:t>基础GIS地图功能</w:t>
      </w:r>
    </w:p>
    <w:p>
      <w:r>
        <w:t>用户可在地图上进行资源添加、备注、分类查看、搜索等操作，在发生紧急情况时直观快速地定位到某个范围中的视频监控点位并查看其信息。地图可定期进行更新，防止地图老旧，无最新路况，引起信息滞后的情况发生。同时，地图上也包含缩放、平移等基础功能。</w:t>
      </w:r>
    </w:p>
    <w:p>
      <w:pPr>
        <w:pStyle w:val="6"/>
      </w:pPr>
      <w:r>
        <w:t>视图研判应用</w:t>
      </w:r>
    </w:p>
    <w:p>
      <w:r>
        <w:t>视图研判作为民警的主要侦查手段，在实际案件侦破中发挥了重要作用。基于地图上的智能搜索模块，提供人脸、人体、背影以及特征的有图和无图搜索功能，形成人脸人体个性化检索分析、背影寻脸、特征识人、人脸人体关联、对比分析的特色应用，为客户提供全方位、立体化图片寻人方式，从而实现“找到人”的重要一步。</w:t>
      </w:r>
    </w:p>
    <w:p>
      <w:r>
        <w:t>在搜索结果研判上，提供搜索结果轨迹可定制、视频回放再确认、关注图片可下载和收藏、确定对象可布控、落脚位置可查询的高效便捷应用，以方便用户在研判过程中，能对搜索目标进行个性化处理。同时，在搜索结果未命中、同行人员确认等基于图片的研判中，提供截图快搜的渐进式搜索方式。</w:t>
      </w:r>
    </w:p>
    <w:p>
      <w:pPr>
        <w:pStyle w:val="7"/>
      </w:pPr>
      <w:r>
        <w:t>人脸检索</w:t>
      </w:r>
    </w:p>
    <w:p>
      <w:r>
        <w:t>通过获取到的一张目标人脸照片，上传人脸图片，使用人脸检索功能获取到相似度较高的清晰的人脸照片。也可通过设置筛选条件进行无图检索获取符合条件的人脸抓拍图片。检索结果可进行综合排序、相似度等多种排序，同时支持对搜索结果进行操作，包括将搜索结果加入轨迹，平台可将指定时间段内卡口抓拍到的符合相似度阈值的人脸在地图上进行依次描点，形成一条人脸轨迹，从而在地图上展示目标的行动轨迹。除此之外还可以查看抓拍大图，下载抓拍图片，以及将搜索结果与已有案件相关联或基于该搜索结果新建案件。</w:t>
      </w:r>
    </w:p>
    <w:p>
      <w:pPr>
        <w:pStyle w:val="7"/>
      </w:pPr>
      <w:r>
        <w:t>特征检索</w:t>
      </w:r>
    </w:p>
    <w:p>
      <w:r>
        <w:t>进行目标搜索时，当目标人物有着非常明显的局部特征，上传图片后，通过框选重点关注的特征区域，由平台对结果进行深度匹配，搜索出特征和照片主体都匹配的结果，最终能够返回清晰的人脸结果。省去了人工对比、辨别特征的繁琐工作，可以极大地提升搜索效率。检索结果可进行综合排序、相似度等多种排序，同时支持对搜索结果进行操作，将搜索结果加入轨迹，在地图上展示目标的行动轨迹，查看抓拍大图，下载抓拍图片，以及将搜索结果与已有案件相关联或基于该搜索结果新建案件。</w:t>
      </w:r>
    </w:p>
    <w:p>
      <w:pPr>
        <w:pStyle w:val="7"/>
      </w:pPr>
      <w:r>
        <w:t>人体检索</w:t>
      </w:r>
    </w:p>
    <w:p>
      <w:r>
        <w:t>用户可通过获取到目标的一张模糊的人体照片，通过人体搜索和特征搜索获取到更多人体/人脸照片，同时可以由人体/人脸进行渐进式搜索，最终得到清晰的人脸照片，并展示其多维轨迹，进行布控抓捕。人体搜索可以通过上传人体照片以图搜图，也可通过设定筛选条件进行无图搜索。检索结果可进行综合排序、相似度等多种排序，同时支持对搜索结果进行操作，将搜索结果加入轨迹，在地图上展示目标的行动轨迹，查看抓拍大图，下载抓拍图片，以及将搜索结果与已有案件相关联或基于该搜索结果新建案件。</w:t>
      </w:r>
    </w:p>
    <w:p>
      <w:pPr>
        <w:pStyle w:val="7"/>
      </w:pPr>
      <w:r>
        <w:t>背影寻脸</w:t>
      </w:r>
    </w:p>
    <w:p>
      <w:r>
        <w:t>在线索有限的情况下，用户获取到一张模糊的背影图片后，通过上传图片，使用背影寻脸功能，通过时空匹配和平台深度检索，返回清晰的人脸正面照，省去了反复搜索、反复对比的繁琐工作。检索结果可进行综合排序、相似度等多种排序，从而实现通过背影线索搜索得到相应的人脸图片。同时支持对搜索结果进行操作，将搜索结果加入轨迹，在地图上展示目标的行动轨迹，查看抓拍大图，下载抓拍图片，以及将搜索结果与已有案件相关联或基于该搜索结果新建案件。</w:t>
      </w:r>
    </w:p>
    <w:p>
      <w:pPr>
        <w:pStyle w:val="7"/>
      </w:pPr>
      <w:r>
        <w:t>车辆检索</w:t>
      </w:r>
    </w:p>
    <w:p>
      <w:r>
        <w:t>可以通过上传车辆图片，进行以图搜图。支持用户自行设定搜索条件，如相似度阈值、Top K显示、过车时段、过车区域；检索结果车辆图片展示，包括过车图片、车牌号、相似度、过车卡口、过车时间信息；基于以图搜车服务可以支持对检索车辆图片进行录像回放、轨迹查询、车辆布控的功能。</w:t>
      </w:r>
    </w:p>
    <w:p>
      <w:pPr>
        <w:pStyle w:val="7"/>
      </w:pPr>
      <w:r>
        <w:t>非机动车检索</w:t>
      </w:r>
    </w:p>
    <w:p>
      <w:r>
        <w:t>可以通过上传非机动车图片，进行以图搜图，搜索过程中可以将非机动车上的骑行人与非机动车相关联，进行人与非机动车的相互关联搜索；检索结果可以图片展示，包括过车图片、相似度、抓拍相机、抓拍时间等信息；基于搜索结果可以支持对结果图片进行录像回放、轨迹查询等功能。</w:t>
      </w:r>
    </w:p>
    <w:p>
      <w:pPr>
        <w:pStyle w:val="7"/>
      </w:pPr>
      <w:r>
        <w:t>线索摸排</w:t>
      </w:r>
    </w:p>
    <w:p>
      <w:r>
        <w:t>在应对部分案发时空条件具备在线录像和离线视频的场景下，提供了非实时视频自定义倍速解析以及针对解析结果数据中进行线索摸排的功能。</w:t>
      </w:r>
    </w:p>
    <w:p>
      <w:r>
        <w:t>用户可在地图上直接选取录像设备或者上传本地视频文件快速建立解析任务，通过非实时视频的多倍速解析功能快速解析视频中的人脸人体特征，并为用户提供针对这些视频中的人脸人体对象搜索和查看。搜索结果上同样提供图片寻人类似的便捷操作。</w:t>
      </w:r>
    </w:p>
    <w:p>
      <w:pPr>
        <w:pStyle w:val="6"/>
      </w:pPr>
      <w:r>
        <w:t>布控告警应用</w:t>
      </w:r>
    </w:p>
    <w:p>
      <w:pPr>
        <w:pStyle w:val="7"/>
      </w:pPr>
      <w:r>
        <w:t>人脸布控</w:t>
      </w:r>
    </w:p>
    <w:p>
      <w:r>
        <w:t>人脸布控可按照布控类型、布控范围、有效期、预警阀值等维度进行实时布控，并提供对布控任务进行撤控、布控、删除等基础管理功能。</w:t>
      </w:r>
    </w:p>
    <w:p>
      <w:pPr>
        <w:pStyle w:val="7"/>
      </w:pPr>
      <w:r>
        <w:t>车辆布控</w:t>
      </w:r>
    </w:p>
    <w:p>
      <w:r>
        <w:t>车辆布控可按照布控类型、布控范围、有效期、预警阀值等维度进行实时布控，并提供对布控任务进行撤控、布控、删除等基础管理功能</w:t>
      </w:r>
      <w:r>
        <w:rPr>
          <w:rFonts w:hint="eastAsia"/>
        </w:rPr>
        <w:t>。</w:t>
      </w:r>
    </w:p>
    <w:p>
      <w:pPr>
        <w:pStyle w:val="7"/>
      </w:pPr>
      <w:r>
        <w:t>名单库管理</w:t>
      </w:r>
    </w:p>
    <w:p>
      <w:r>
        <w:t>名单库管理提供名单库的新建、修改、删除以及对名单库中人员进行添加、删除和对应的批量操作，用户可用此对日常关注人员进行区别管理、分类布控。</w:t>
      </w:r>
    </w:p>
    <w:p>
      <w:pPr>
        <w:pStyle w:val="7"/>
      </w:pPr>
      <w:r>
        <w:t>多级防控</w:t>
      </w:r>
    </w:p>
    <w:p>
      <w:r>
        <w:t>多级防控将重点区域划分为不同等级的防控圈以对目标进行布控，从而在不同等级区域产生不同类型的告警，方便用户对告警区域进行差异化管理和响应。</w:t>
      </w:r>
    </w:p>
    <w:p>
      <w:pPr>
        <w:pStyle w:val="7"/>
      </w:pPr>
      <w:r>
        <w:t>布控告警</w:t>
      </w:r>
    </w:p>
    <w:p>
      <w:r>
        <w:t>用户可通过布控告警模块对人脸布控和多级防控产生的告警数据进行研判和处理。实时告警提供告警数据的地图研判功能，包括告警位置查看、告警抓拍对比、告警确认/误报等功能。历史告警提供针对历史告警数据的管理功能，包括告警详情查看、告警抓拍对比、告警确认/误报等功能。</w:t>
      </w:r>
      <w:r>
        <w:rPr>
          <w:rFonts w:hint="eastAsia"/>
        </w:rPr>
        <w:t>将告警信息以消息的形式推送到告警接收人的消息列表内，告警详情包括：产生告警的设备、布控类型、布控任务名称、布控时间范围、布控级别、告警人姓名、车辆号牌、告警人身份证号、处理状态、通知人、反馈人等。</w:t>
      </w:r>
    </w:p>
    <w:p>
      <w:r>
        <w:rPr>
          <w:rFonts w:hint="eastAsia"/>
        </w:rPr>
        <w:t>系统</w:t>
      </w:r>
      <w:r>
        <w:t>支持通过短信</w:t>
      </w:r>
      <w:r>
        <w:rPr>
          <w:rFonts w:hint="eastAsia"/>
        </w:rPr>
        <w:t>的</w:t>
      </w:r>
      <w:r>
        <w:t>方式将告警</w:t>
      </w:r>
      <w:r>
        <w:rPr>
          <w:rFonts w:hint="eastAsia"/>
        </w:rPr>
        <w:t>和布控</w:t>
      </w:r>
      <w:r>
        <w:t>信息发送给相关</w:t>
      </w:r>
      <w:r>
        <w:rPr>
          <w:rFonts w:hint="eastAsia"/>
        </w:rPr>
        <w:t>布控民警。</w:t>
      </w:r>
    </w:p>
    <w:p>
      <w:pPr>
        <w:pStyle w:val="6"/>
      </w:pPr>
      <w:r>
        <w:t>轨迹研判应用</w:t>
      </w:r>
    </w:p>
    <w:p>
      <w:r>
        <w:t>对某一目标进行查询后，对车辆、MAC、人像等数据信息进行关系关联，补全人员或车辆的完整轨迹，根据GPS信息在地图上进行追踪，显现实际运动形成的轨迹，按需在地图中展示。通过对数据的清理和筛选，描绘出用户想要观察到的某种规律。这种轨迹刻画应用在治安领域能帮助公安更加迅速地分析出犯罪嫌疑人的行动轨迹，结合多轨迹进行碰撞分析，得到某些行动规律以及落脚点定位。</w:t>
      </w:r>
    </w:p>
    <w:p>
      <w:pPr>
        <w:pStyle w:val="7"/>
      </w:pPr>
      <w:r>
        <w:t>人脸轨迹</w:t>
      </w:r>
    </w:p>
    <w:p>
      <w:r>
        <w:t>支持传入一张人脸图片，在指定范围内的人脸卡口抓拍的人脸图片数据中进行比对查询；</w:t>
      </w:r>
    </w:p>
    <w:p>
      <w:r>
        <w:t>支持将指定时间段内卡口抓拍到的指定相似度阈值的人脸在地图上进行依次描点，形成一条人脸轨迹，并显示抓拍人脸信息；</w:t>
      </w:r>
    </w:p>
    <w:p>
      <w:r>
        <w:t>支持针对错误识别出的人脸图片，进行手动校准。</w:t>
      </w:r>
    </w:p>
    <w:p>
      <w:pPr>
        <w:pStyle w:val="7"/>
      </w:pPr>
      <w:r>
        <w:t>车辆轨迹</w:t>
      </w:r>
    </w:p>
    <w:p>
      <w:r>
        <w:t>支持输入一个或多个车牌号，最多可输入十个，在指定范围内的车辆卡口抓拍的车牌数据中进行比对查询；</w:t>
      </w:r>
    </w:p>
    <w:p>
      <w:r>
        <w:t>支持将指定时间段内卡口抓拍到的指定的一个或多个车牌号在地图上分别进行依次描点，形成一条或多条车辆轨迹，并查看车辆位置信息；</w:t>
      </w:r>
    </w:p>
    <w:p>
      <w:r>
        <w:t>支持从多条不同车牌号的车辆轨迹碰撞中分析出作案人员是否有同伙以及同伙作案的规律。</w:t>
      </w:r>
    </w:p>
    <w:p>
      <w:pPr>
        <w:pStyle w:val="6"/>
      </w:pPr>
      <w:r>
        <w:t>公安业务应用</w:t>
      </w:r>
    </w:p>
    <w:p>
      <w:pPr>
        <w:tabs>
          <w:tab w:val="left" w:pos="912"/>
          <w:tab w:val="left" w:pos="1080"/>
        </w:tabs>
      </w:pPr>
      <w:r>
        <w:t xml:space="preserve">支持车牌号码（号码+颜色）、停留时间（大于多少小时）、时间段选择搜索，分析结果展示落脚地点、落脚次数、平均停留时长（小时）、最长停留时长（小时）及详情的功能 </w:t>
      </w:r>
    </w:p>
    <w:p>
      <w:pPr>
        <w:tabs>
          <w:tab w:val="left" w:pos="912"/>
          <w:tab w:val="left" w:pos="1080"/>
        </w:tabs>
      </w:pPr>
      <w:r>
        <w:t>支持车牌号码（号码+颜色）、时间段分析被跟车辆，间隔时间前设置、间隔时间后设置、跟车次数设置（大于等于次数）分析跟车，分析结果展示车牌号码（号码+颜色）、跟车次数及详情的功能</w:t>
      </w:r>
    </w:p>
    <w:p>
      <w:pPr>
        <w:tabs>
          <w:tab w:val="left" w:pos="912"/>
          <w:tab w:val="left" w:pos="1080"/>
        </w:tabs>
      </w:pPr>
      <w:r>
        <w:t>支持时间段选择、路径选择（地图选择、资源树选择）、车牌规则（包含和剔除）分析，结果展示车牌号码（号码+颜色）、频次及详情，支持导出分析结果的功能</w:t>
      </w:r>
    </w:p>
    <w:p>
      <w:pPr>
        <w:tabs>
          <w:tab w:val="left" w:pos="912"/>
          <w:tab w:val="left" w:pos="1080"/>
        </w:tabs>
      </w:pPr>
      <w:r>
        <w:t xml:space="preserve">支持根据夜出次数，昼出次数、车牌、时段、卡口进行分析，结果展示序号、车牌号码（号码+颜色）、夜出次数、昼出次数、昼出/夜出详情、序号、车牌号码（号码+ 颜色）、车牌图片、抓拍卡口、过车时间、过车车道、行驶方向，支持导出分析结果的功能 </w:t>
      </w:r>
    </w:p>
    <w:p>
      <w:pPr>
        <w:tabs>
          <w:tab w:val="left" w:pos="912"/>
          <w:tab w:val="left" w:pos="1080"/>
        </w:tabs>
      </w:pPr>
      <w:r>
        <w:t xml:space="preserve">支持输入车牌号码（号码+颜色）、分析时段进行分析，结果展示序号、抓拍图片、车牌号码（号码+颜色）、车牌图片、抓拍卡口、首次入城时间、过车车道、行驶方向及详情，支持导出分析结果的功能 </w:t>
      </w:r>
    </w:p>
    <w:p>
      <w:pPr>
        <w:tabs>
          <w:tab w:val="left" w:pos="912"/>
          <w:tab w:val="left" w:pos="1080"/>
        </w:tabs>
      </w:pPr>
      <w:r>
        <w:t>支持输入出现次数（大于等于多少次）、查询时段（年月日）、高发时段（时分）、车牌规则（包含、剔除）、抓拍卡口进行分析，结果展示序号、抓拍图片、车牌号码（颜色+号码）、抓拍卡口、抓拍时间；支持根据查询列表查看过车详情及详情，导出分析结果的功能</w:t>
      </w:r>
    </w:p>
    <w:p>
      <w:pPr>
        <w:tabs>
          <w:tab w:val="left" w:pos="912"/>
          <w:tab w:val="left" w:pos="1080"/>
        </w:tabs>
      </w:pPr>
      <w:r>
        <w:t xml:space="preserve">支持通过人脸图片、相似度、落脚次数、停留时间、开始时间、结束时间、查询范围分析落脚点，结果展示卡口名称、落脚次数、停留总时长、落脚时间范围，并在地图上显示落脚点位的功能 </w:t>
      </w:r>
    </w:p>
    <w:p>
      <w:pPr>
        <w:tabs>
          <w:tab w:val="left" w:pos="912"/>
          <w:tab w:val="left" w:pos="1080"/>
        </w:tabs>
      </w:pPr>
      <w:r>
        <w:t xml:space="preserve">支持通过时间段、卡口范围进行人员频繁出没分析，结果展示出没频次、抓拍图片，图形统计模式显示出入明细统计，并能保存至本地的功能 </w:t>
      </w:r>
    </w:p>
    <w:p>
      <w:pPr>
        <w:tabs>
          <w:tab w:val="left" w:pos="912"/>
          <w:tab w:val="left" w:pos="1080"/>
        </w:tabs>
      </w:pPr>
      <w:r>
        <w:t xml:space="preserve">支持通过徘徊时段、徘徊区域、频次分析徘徊情况，结果展示抓拍事件数量及抓拍时间，支持将分析结果导出为文件保存到本地的功能 </w:t>
      </w:r>
    </w:p>
    <w:p>
      <w:pPr>
        <w:tabs>
          <w:tab w:val="left" w:pos="912"/>
          <w:tab w:val="left" w:pos="1080"/>
        </w:tabs>
      </w:pPr>
      <w:r>
        <w:t xml:space="preserve">支持通过查询时段、分析范围（设备、资源树/地图）分析首次出现情况，将分析结果导出为文件保存到本地的功能 </w:t>
      </w:r>
    </w:p>
    <w:p>
      <w:pPr>
        <w:tabs>
          <w:tab w:val="left" w:pos="912"/>
          <w:tab w:val="left" w:pos="1080"/>
        </w:tabs>
      </w:pPr>
      <w:r>
        <w:t xml:space="preserve">支持按分析时段、分析范围分析昼伏夜出情况，结果展示最近一次抓拍图片；点击记录中的单条查询结果，分为列表模式和图形统计模式展示，并支持其他操作的功能 </w:t>
      </w:r>
    </w:p>
    <w:p>
      <w:pPr>
        <w:tabs>
          <w:tab w:val="left" w:pos="912"/>
          <w:tab w:val="left" w:pos="1080"/>
        </w:tabs>
      </w:pPr>
      <w:r>
        <w:t>支持通过被跟人员照片、相似度、开始时间、结束时间进行伴随同行分析，结果展示同行次数、被跟人员和跟随人员的抓拍图片、被跟人员和跟随人员的抓拍时间、间隔时间、抓拍卡口以及同行详情，支持将分析结果导出为文件保存到本地的功能</w:t>
      </w:r>
    </w:p>
    <w:p>
      <w:pPr>
        <w:tabs>
          <w:tab w:val="left" w:pos="912"/>
          <w:tab w:val="left" w:pos="1080"/>
        </w:tabs>
      </w:pPr>
      <w:r>
        <w:t>支持在实时视频中选择一个人体目标，自动检测周边摄像机，当此目标出现在其他摄像机时，新摄像机的实时画面自动弹出播放，此时系统自动以新摄像机为中心继续分析周边相机，对此目标实时追踪的功能。</w:t>
      </w:r>
    </w:p>
    <w:bookmarkEnd w:id="69"/>
    <w:p>
      <w:pPr>
        <w:pStyle w:val="5"/>
      </w:pPr>
      <w:bookmarkStart w:id="70" w:name="_Toc112317358"/>
      <w:r>
        <w:t>三维可视化基础平台</w:t>
      </w:r>
      <w:bookmarkEnd w:id="70"/>
    </w:p>
    <w:p>
      <w:r>
        <w:t>随着公安信息化应用的逐步深入以及对三维地理信息系统的逐步深入，以三维空间数据综合展现为特征的各项主题分析已经成为各职能部门的业务需求增长点。本次项目建设基于GIS技术、IOT技术等技术体系，融合达拉特旗各领域专题数据资源，将海量物联网数据、城市内的重要地名地址点数据通过三维GIS模型承载与表达，以360度全实景模式的方式进行可视化展示和管理，同时可以对各种信息进行集成，还世界原本的真实，让信息得以直观呈现并实现有效的管理与控制。</w:t>
      </w:r>
    </w:p>
    <w:p>
      <w:r>
        <w:t>本次项目建设中以GIS空间数据平台为底部支撑，以三维GIS可视化展示为手段，旨在将达拉特旗城市外部的地形地貌数据、城市内部的街道、商业区、居民区、商店、景点、视频实时监测等数据融合处理，形成一套完整的达拉特旗城市风貌底图，以及城市运行状态全要素管理平台，建成后本平台应融入视图大数据应用平台中，基于该平台最终实现城市运行的交互与共享，为数字城市安全、精细化管理、绿色城市建设提供重要的辅助支撑。</w:t>
      </w:r>
    </w:p>
    <w:p>
      <w:pPr>
        <w:pStyle w:val="6"/>
        <w:numPr>
          <w:ilvl w:val="4"/>
          <w:numId w:val="14"/>
        </w:numPr>
      </w:pPr>
      <w:r>
        <w:rPr>
          <w:rFonts w:hint="eastAsia"/>
        </w:rPr>
        <w:t>服务功能</w:t>
      </w:r>
    </w:p>
    <w:p>
      <w:r>
        <w:t>（1）全域空间三维展示</w:t>
      </w:r>
    </w:p>
    <w:p>
      <w:r>
        <w:t>平台将达拉特旗全旗范围内的三维地理空间模型数据与二维地理空间数据进行叠加套合，以二三维一体化的方式，实现警务空间数据多维度地理空间直观表达、属性查图、空间查询、专题图制作等，实现统一视图的可视化城市管理。</w:t>
      </w:r>
    </w:p>
    <w:p>
      <w:r>
        <w:t>a）二维地图浏览</w:t>
      </w:r>
    </w:p>
    <w:p>
      <w:r>
        <w:t>提供各种基本的电子地图浏览工具，进行各种地图的浏览。包括矢量电子地图、影像电子地图、专题电子地图等。提供二维地图浏览及常用操作功能。</w:t>
      </w:r>
    </w:p>
    <w:p>
      <w:r>
        <w:t>b）三维场景浏览</w:t>
      </w:r>
    </w:p>
    <w:p>
      <w:r>
        <w:t>提供三维场景浏览及常用操作功能，包括显示全图、放大、缩小、漫游、测量距离、测量面积、清除高亮显示、打印地图等，具有多种控制方式的全场景漫游功能，可以全方位、多视角、拉近放大、立体化地观察全园区的建筑、设施等。</w:t>
      </w:r>
    </w:p>
    <w:p>
      <w:r>
        <w:t>c）地图分层展示</w:t>
      </w:r>
    </w:p>
    <w:p>
      <w:r>
        <w:t>可对系统中的各类专题地图如：影像地图、矢量电子地图、倾斜摄影图层、重要的设备设施专题图层等分层管理、可控制单独图层的显隐、透明度、以及对多类图层的叠加展示。</w:t>
      </w:r>
    </w:p>
    <w:p>
      <w:r>
        <w:t>d）卷帘对比</w:t>
      </w:r>
    </w:p>
    <w:p>
      <w:r>
        <w:t>支持三维地图与二维GIS地形图、卫星影像图的切换比对、放大镜突出显示比对、卷帘模式比对等二三维信息互动功能。</w:t>
      </w:r>
    </w:p>
    <w:p>
      <w:r>
        <w:t>e）地图切换</w:t>
      </w:r>
    </w:p>
    <w:p>
      <w:r>
        <w:t>提供多类地图的切换功能，如二维矢量、二维影像、三维、实景等，用户可以根据需求选择不同的地图进行浏览。</w:t>
      </w:r>
    </w:p>
    <w:p>
      <w:pPr>
        <w:pStyle w:val="106"/>
        <w:numPr>
          <w:ilvl w:val="0"/>
          <w:numId w:val="15"/>
        </w:numPr>
        <w:ind w:firstLineChars="0"/>
      </w:pPr>
      <w:r>
        <w:t>二三维场景切换联动：系统具有二三维场景一键切换功能，并保证视域同步。</w:t>
      </w:r>
    </w:p>
    <w:p>
      <w:pPr>
        <w:pStyle w:val="106"/>
        <w:numPr>
          <w:ilvl w:val="0"/>
          <w:numId w:val="15"/>
        </w:numPr>
        <w:ind w:firstLineChars="0"/>
      </w:pPr>
      <w:r>
        <w:t>二三维信息标绘联动：系统具有二三维点、线、面、图标的一体化联动标绘。</w:t>
      </w:r>
    </w:p>
    <w:p>
      <w:r>
        <w:t>（2）全域设备设施查询分析</w:t>
      </w:r>
    </w:p>
    <w:p>
      <w:r>
        <w:t>基于全域三维底图与矢量数据的融合展示，实现对城市中设备设施数据空间查询、属性查询、高亮显示、弹窗显示、关键词查询、地址查询等检索方式。</w:t>
      </w:r>
    </w:p>
    <w:p>
      <w:r>
        <w:t>通过调用服务接口及地图API接口，结合客户端技术，实现多种表现形式的专题地图和统计图的制作。</w:t>
      </w:r>
    </w:p>
    <w:p>
      <w:r>
        <w:t>a）信息快速定位</w:t>
      </w:r>
    </w:p>
    <w:p>
      <w:r>
        <w:t>提供空间查询、属性查询、关键词查询、地址查询等检索方式。具备查询目标信息的空间位置和分布。按照行政区域、风险区划、在地图上任意绘制的区域等条件进行查询分析。也可对地图/场景中的设备设施、感知设备（监控探头）、人员、房屋等各类图上信息实现快速查询定位，并在空间场景中快速呈现。</w:t>
      </w:r>
    </w:p>
    <w:p>
      <w:r>
        <w:t>b）专题统计及可视化</w:t>
      </w:r>
    </w:p>
    <w:p>
      <w:r>
        <w:t>通过调用服务接口及地图API接口，结合客户端技术，实现多种表现形式的专题地图和统计图的制作。</w:t>
      </w:r>
    </w:p>
    <w:p>
      <w:r>
        <w:t>c）地图/场景分析计算</w:t>
      </w:r>
    </w:p>
    <w:p>
      <w:r>
        <w:t>具有长度、面积、高度、坡度等分析功能，可为不同业务提供空间测量数据。</w:t>
      </w:r>
    </w:p>
    <w:p>
      <w:pPr>
        <w:pStyle w:val="106"/>
        <w:numPr>
          <w:ilvl w:val="0"/>
          <w:numId w:val="16"/>
        </w:numPr>
        <w:ind w:firstLineChars="0"/>
      </w:pPr>
      <w:r>
        <w:t>路由分析：具备对两点间距离进行分析，计算出两点间最短路由的能力。</w:t>
      </w:r>
    </w:p>
    <w:p>
      <w:pPr>
        <w:pStyle w:val="106"/>
        <w:numPr>
          <w:ilvl w:val="0"/>
          <w:numId w:val="16"/>
        </w:numPr>
        <w:ind w:firstLineChars="0"/>
      </w:pPr>
      <w:r>
        <w:t>坡度分析：具备两点或多点间坡度分析功能，可生成地表坡度测量图。</w:t>
      </w:r>
    </w:p>
    <w:p>
      <w:pPr>
        <w:pStyle w:val="106"/>
        <w:numPr>
          <w:ilvl w:val="0"/>
          <w:numId w:val="16"/>
        </w:numPr>
        <w:ind w:firstLineChars="0"/>
      </w:pPr>
      <w:r>
        <w:t>剖面分析：具备对地层剖面进行分析的能力。</w:t>
      </w:r>
    </w:p>
    <w:p>
      <w:pPr>
        <w:pStyle w:val="106"/>
        <w:numPr>
          <w:ilvl w:val="0"/>
          <w:numId w:val="16"/>
        </w:numPr>
        <w:ind w:firstLineChars="0"/>
      </w:pPr>
      <w:r>
        <w:t>通视分析：具有进行点与点、点与面之间可视性分析功能。</w:t>
      </w:r>
    </w:p>
    <w:p>
      <w:pPr>
        <w:pStyle w:val="106"/>
        <w:numPr>
          <w:ilvl w:val="0"/>
          <w:numId w:val="16"/>
        </w:numPr>
        <w:ind w:firstLineChars="0"/>
      </w:pPr>
      <w:r>
        <w:t>视域分析：具备将视域范围内场景突出显示的能力。</w:t>
      </w:r>
    </w:p>
    <w:p>
      <w:pPr>
        <w:pStyle w:val="106"/>
        <w:numPr>
          <w:ilvl w:val="0"/>
          <w:numId w:val="16"/>
        </w:numPr>
        <w:ind w:firstLineChars="0"/>
      </w:pPr>
      <w:r>
        <w:t>水平距离计算：具备两点或多点间水平距离量测能力。</w:t>
      </w:r>
    </w:p>
    <w:p>
      <w:pPr>
        <w:pStyle w:val="106"/>
        <w:numPr>
          <w:ilvl w:val="0"/>
          <w:numId w:val="16"/>
        </w:numPr>
        <w:ind w:firstLineChars="0"/>
      </w:pPr>
      <w:r>
        <w:t>直线距离计算：具备两点或多点间直线量测能力。</w:t>
      </w:r>
    </w:p>
    <w:p>
      <w:pPr>
        <w:pStyle w:val="106"/>
        <w:numPr>
          <w:ilvl w:val="0"/>
          <w:numId w:val="16"/>
        </w:numPr>
        <w:ind w:firstLineChars="0"/>
      </w:pPr>
      <w:r>
        <w:t>地表距离计算：具备两点或多点间地表距离量测能力。</w:t>
      </w:r>
    </w:p>
    <w:p>
      <w:pPr>
        <w:pStyle w:val="106"/>
        <w:numPr>
          <w:ilvl w:val="0"/>
          <w:numId w:val="16"/>
        </w:numPr>
        <w:ind w:firstLineChars="0"/>
      </w:pPr>
      <w:r>
        <w:t>高度计算：具备地表高度测量能力，可查询设备设施、地形的高度等。</w:t>
      </w:r>
    </w:p>
    <w:p>
      <w:pPr>
        <w:pStyle w:val="106"/>
        <w:numPr>
          <w:ilvl w:val="0"/>
          <w:numId w:val="16"/>
        </w:numPr>
        <w:ind w:firstLineChars="0"/>
      </w:pPr>
      <w:r>
        <w:t>投影面积计算：具备对被选区域进行高斯投影面积量测能力。</w:t>
      </w:r>
    </w:p>
    <w:p>
      <w:pPr>
        <w:pStyle w:val="106"/>
        <w:numPr>
          <w:ilvl w:val="0"/>
          <w:numId w:val="16"/>
        </w:numPr>
        <w:ind w:firstLineChars="0"/>
      </w:pPr>
      <w:r>
        <w:t>地表面积周长计算：具有地表面积周长计算能力。</w:t>
      </w:r>
    </w:p>
    <w:p>
      <w:r>
        <w:rPr>
          <w:rFonts w:hint="eastAsia"/>
        </w:rPr>
        <w:t>（3）中心城区分层分户查询</w:t>
      </w:r>
    </w:p>
    <w:p>
      <w:r>
        <w:rPr>
          <w:rFonts w:hint="eastAsia"/>
        </w:rPr>
        <w:t>平台可基于倾斜摄影建模数据单体化技术，对连片数据进行空间及属性查询。还提供了基于</w:t>
      </w:r>
      <w:r>
        <w:t>GPU的空间关系查询与判定，通过设置查询范围，利用前端快速地返回查询范围内的模型对象以及统计结果，实时可视化获知模型与查询范围的交并差关系。</w:t>
      </w:r>
    </w:p>
    <w:p>
      <w:r>
        <w:t>（</w:t>
      </w:r>
      <w:r>
        <w:rPr>
          <w:rFonts w:hint="eastAsia"/>
        </w:rPr>
        <w:t>4</w:t>
      </w:r>
      <w:r>
        <w:t>）设备数据查询</w:t>
      </w:r>
    </w:p>
    <w:p>
      <w:r>
        <w:t>功能支持利用设备名称、编号等属性信息进行设备查询，通过模糊或精确搜索，查找接入平台的数据信息，通过列表形式展示设备数据，并支持详情查看。</w:t>
      </w:r>
    </w:p>
    <w:p>
      <w:r>
        <w:t>（</w:t>
      </w:r>
      <w:r>
        <w:rPr>
          <w:rFonts w:hint="eastAsia"/>
        </w:rPr>
        <w:t>5</w:t>
      </w:r>
      <w:r>
        <w:t>）设备信息维护</w:t>
      </w:r>
    </w:p>
    <w:p>
      <w:r>
        <w:t>对已接入的设备，系统提供地理信息维护功能，便于用户直观的在地图上对设备位置进行精确调整。</w:t>
      </w:r>
    </w:p>
    <w:p>
      <w:r>
        <w:t>功能支持通过缩放地图，使用鼠标拖拽的方式，直接在地图上进行位置调整。数据资源全量上图</w:t>
      </w:r>
    </w:p>
    <w:p>
      <w:r>
        <w:t>（</w:t>
      </w:r>
      <w:r>
        <w:rPr>
          <w:rFonts w:hint="eastAsia"/>
        </w:rPr>
        <w:t>6</w:t>
      </w:r>
      <w:r>
        <w:t>）监控图层管理</w:t>
      </w:r>
    </w:p>
    <w:p>
      <w:r>
        <w:t>利用GIS提供的基础数据和地理服务，创建监控视频图层，实现监控视频设备上图，并在地图上将设备地理数据和属性数据进行关联展示。</w:t>
      </w:r>
    </w:p>
    <w:p>
      <w:r>
        <w:t>（</w:t>
      </w:r>
      <w:r>
        <w:rPr>
          <w:rFonts w:hint="eastAsia"/>
        </w:rPr>
        <w:t>7</w:t>
      </w:r>
      <w:r>
        <w:t>）设备图属互查</w:t>
      </w:r>
    </w:p>
    <w:p>
      <w:r>
        <w:t>a）利用GIS图属互查服务，实现通过位置查找监控设备属性信息和通过各类属性搜索进行图上定位，用散点图展示所有监控设备。</w:t>
      </w:r>
    </w:p>
    <w:p>
      <w:r>
        <w:t xml:space="preserve">b）支持鼠标点击选中某个监控，快速响应显示这个设备的属性信息和运行状态信息； </w:t>
      </w:r>
    </w:p>
    <w:p>
      <w:r>
        <w:t xml:space="preserve">c）用户可以根据单个或组合的查询条件来对设备属性或状态进行查询，如是否在线、有无故障等； </w:t>
      </w:r>
    </w:p>
    <w:p>
      <w:r>
        <w:t>d）支持模糊查询的方式进行关联查询，用户可快速输入某些关键字，系统能智能的通过对属性信息搜索，给出设备结果信息列表；</w:t>
      </w:r>
    </w:p>
    <w:p>
      <w:r>
        <w:t>e）支持设备结果集在地图上定位，如查询出来多个视频监控设备，用户可对这批设备在地图上进行定位并通过信息窗体展示关键信息；</w:t>
      </w:r>
    </w:p>
    <w:p>
      <w:r>
        <w:t>f）支持通过点击详情，查看更多设备信息。</w:t>
      </w:r>
    </w:p>
    <w:p>
      <w:r>
        <w:rPr>
          <w:rFonts w:hint="eastAsia"/>
        </w:rPr>
        <w:t>（8）数据台账</w:t>
      </w:r>
    </w:p>
    <w:p>
      <w:r>
        <w:rPr>
          <w:rFonts w:hint="eastAsia"/>
        </w:rPr>
        <w:t>将系统已有的数据及数据产品成果按月份、年份、地区、类型编制数据台账目录，管理者可根据数据信息检索现有数据，浏览数据台账。</w:t>
      </w:r>
    </w:p>
    <w:p>
      <w:r>
        <w:rPr>
          <w:rFonts w:hint="eastAsia"/>
        </w:rPr>
        <w:t>（9）数据浏览查询</w:t>
      </w:r>
    </w:p>
    <w:p>
      <w:r>
        <w:rPr>
          <w:rFonts w:hint="eastAsia"/>
        </w:rPr>
        <w:t>支持功能如下：</w:t>
      </w:r>
    </w:p>
    <w:p>
      <w:r>
        <w:rPr>
          <w:rFonts w:hint="eastAsia"/>
        </w:rPr>
        <w:t>a）支持对</w:t>
      </w:r>
      <w:r>
        <w:t>2D</w:t>
      </w:r>
      <w:r>
        <w:rPr>
          <w:rFonts w:hint="eastAsia"/>
        </w:rPr>
        <w:t>、</w:t>
      </w:r>
      <w:r>
        <w:t>3D</w:t>
      </w:r>
      <w:r>
        <w:rPr>
          <w:rFonts w:hint="eastAsia"/>
        </w:rPr>
        <w:t>地图数据的展示。</w:t>
      </w:r>
    </w:p>
    <w:p>
      <w:r>
        <w:rPr>
          <w:rFonts w:hint="eastAsia"/>
        </w:rPr>
        <w:t>b）支持卫星影像、矢量地图、倾斜摄影数据的展示。</w:t>
      </w:r>
    </w:p>
    <w:p>
      <w:r>
        <w:rPr>
          <w:rFonts w:hint="eastAsia"/>
        </w:rPr>
        <w:t>c）放大、缩小、平移</w:t>
      </w:r>
    </w:p>
    <w:p>
      <w:r>
        <w:rPr>
          <w:rFonts w:hint="eastAsia"/>
        </w:rPr>
        <w:t>d）测距离、测面积、清除</w:t>
      </w:r>
    </w:p>
    <w:p>
      <w:r>
        <w:rPr>
          <w:rFonts w:hint="eastAsia"/>
        </w:rPr>
        <w:t>e）地理位置定位（行政区划、关键地理位置）、坐标定位</w:t>
      </w:r>
    </w:p>
    <w:p>
      <w:r>
        <w:rPr>
          <w:rFonts w:hint="eastAsia"/>
        </w:rPr>
        <w:t>f）鼠标移动时坐标显示、比例尺显示</w:t>
      </w:r>
    </w:p>
    <w:p>
      <w:r>
        <w:rPr>
          <w:rFonts w:hint="eastAsia"/>
        </w:rPr>
        <w:t>g）影像</w:t>
      </w:r>
      <w:r>
        <w:t>/</w:t>
      </w:r>
      <w:r>
        <w:rPr>
          <w:rFonts w:hint="eastAsia"/>
        </w:rPr>
        <w:t>矢量</w:t>
      </w:r>
      <w:r>
        <w:t>/</w:t>
      </w:r>
      <w:r>
        <w:rPr>
          <w:rFonts w:hint="eastAsia"/>
        </w:rPr>
        <w:t>三维底图切换</w:t>
      </w:r>
    </w:p>
    <w:p>
      <w:r>
        <w:rPr>
          <w:rFonts w:hint="eastAsia"/>
        </w:rPr>
        <w:t>（10）数据访问统计</w:t>
      </w:r>
    </w:p>
    <w:p>
      <w:r>
        <w:rPr>
          <w:rFonts w:hint="eastAsia"/>
        </w:rPr>
        <w:t>数据访问统计是对已有用户访问系统的数据浏览记录以及热点数据等的统计，统计维度包括：按空间覆盖范围统计（当前监控条件的覆盖范围，覆盖百分比、统计区的面积、当前覆盖面积）；按时间范围统计（不同月份的数据访问量、访问时间）；按部门统计（某单位某部门兴趣数据、访问类型等）。</w:t>
      </w:r>
    </w:p>
    <w:p>
      <w:r>
        <w:rPr>
          <w:rFonts w:hint="eastAsia"/>
        </w:rPr>
        <w:t>（11）数据共享分发</w:t>
      </w:r>
    </w:p>
    <w:p>
      <w:r>
        <w:rPr>
          <w:rFonts w:hint="eastAsia"/>
        </w:rPr>
        <w:t>提供对在管理的所有数据以服务的形式实现相关专题产品数据的综合管理，基于该中心平台做服务代理或端口映射，实现服务对外的分发共享。</w:t>
      </w:r>
    </w:p>
    <w:p>
      <w:r>
        <w:rPr>
          <w:rFonts w:hint="eastAsia"/>
        </w:rPr>
        <w:t>（12）扩展开发中心</w:t>
      </w:r>
    </w:p>
    <w:p>
      <w:r>
        <w:rPr>
          <w:rFonts w:hint="eastAsia"/>
        </w:rPr>
        <w:t>平台为支撑达旗公安局在三维信息化上的应用，不仅提供了即拿即用的可视化功能工具，还提供了通用的或者使用频率较高的功能，以标准化、模块化的可调用功能集的形式呈现，主要通过网络应用程序接口（Web API）或软件开发工具包（SDK）等形式对外公开或共享，便于用户或开发者调用，实现二次开发，未来各级各部门可根据需求建立相应的应用系统，城市监管、网格管理等信息化平台。</w:t>
      </w:r>
    </w:p>
    <w:p>
      <w:r>
        <w:t>（</w:t>
      </w:r>
      <w:r>
        <w:rPr>
          <w:rFonts w:hint="eastAsia"/>
        </w:rPr>
        <w:t>13</w:t>
      </w:r>
      <w:r>
        <w:t>）用户管理</w:t>
      </w:r>
    </w:p>
    <w:p>
      <w:r>
        <w:t>平台登录用户的信息管理及组织机构管理。</w:t>
      </w:r>
    </w:p>
    <w:p>
      <w:r>
        <w:t>a）用户列表</w:t>
      </w:r>
    </w:p>
    <w:p>
      <w:r>
        <w:t>支持用户列表的信息展示、新增、批量导入、查询功能。</w:t>
      </w:r>
    </w:p>
    <w:p>
      <w:r>
        <w:t>对于禁用的用户，列表信息区别显示。</w:t>
      </w:r>
    </w:p>
    <w:p>
      <w:r>
        <w:t>b）角色管理</w:t>
      </w:r>
    </w:p>
    <w:p>
      <w:pPr>
        <w:pStyle w:val="106"/>
        <w:numPr>
          <w:ilvl w:val="0"/>
          <w:numId w:val="17"/>
        </w:numPr>
        <w:ind w:firstLineChars="0"/>
      </w:pPr>
      <w:r>
        <w:t>角色列表展示</w:t>
      </w:r>
    </w:p>
    <w:p>
      <w:r>
        <w:t>平台默认给出管理员、用户两种角色定义。新创建的账号，默认为用户角色。</w:t>
      </w:r>
    </w:p>
    <w:p>
      <w:pPr>
        <w:pStyle w:val="106"/>
        <w:numPr>
          <w:ilvl w:val="0"/>
          <w:numId w:val="17"/>
        </w:numPr>
        <w:ind w:firstLineChars="0"/>
      </w:pPr>
      <w:r>
        <w:t>角色信息维护</w:t>
      </w:r>
    </w:p>
    <w:p>
      <w:r>
        <w:t>管理员可以对于平台角色进行定义，角色可新建、删除、修改等。用户角色分为页面权限、操作权限两部分。</w:t>
      </w:r>
    </w:p>
    <w:p>
      <w:r>
        <w:t>c）组织机构管理</w:t>
      </w:r>
    </w:p>
    <w:p>
      <w:pPr>
        <w:pStyle w:val="106"/>
        <w:numPr>
          <w:ilvl w:val="0"/>
          <w:numId w:val="17"/>
        </w:numPr>
        <w:ind w:firstLineChars="0"/>
      </w:pPr>
      <w:r>
        <w:t>组织机构列表维护</w:t>
      </w:r>
    </w:p>
    <w:p>
      <w:r>
        <w:t>支持组织机构列表新增、删除、编辑。</w:t>
      </w:r>
    </w:p>
    <w:p>
      <w:pPr>
        <w:pStyle w:val="106"/>
        <w:numPr>
          <w:ilvl w:val="0"/>
          <w:numId w:val="17"/>
        </w:numPr>
        <w:ind w:firstLineChars="0"/>
      </w:pPr>
      <w:r>
        <w:t>组织机构边界范围维护</w:t>
      </w:r>
    </w:p>
    <w:p>
      <w:r>
        <w:t>选中某一组织机构，右侧地图自适应该机构的边界范围。同级组织机构边界显示。</w:t>
      </w:r>
    </w:p>
    <w:p>
      <w:r>
        <w:t>点击【启用辖区编辑】可对辖区边界范围进行新增、编辑、删除。支持编辑过程的撤销、恢复。点击保存，更改内容生效。</w:t>
      </w:r>
    </w:p>
    <w:p>
      <w:r>
        <w:t>（</w:t>
      </w:r>
      <w:r>
        <w:rPr>
          <w:rFonts w:hint="eastAsia"/>
        </w:rPr>
        <w:t>14</w:t>
      </w:r>
      <w:r>
        <w:t>）权限管理</w:t>
      </w:r>
    </w:p>
    <w:p>
      <w:r>
        <w:t>平台建立了严格的权限控制机制，用户的权限可以分为两类：服务访问权限、服务管理权限。</w:t>
      </w:r>
    </w:p>
    <w:p>
      <w:r>
        <w:t>a）用户安全级别管理</w:t>
      </w:r>
    </w:p>
    <w:p>
      <w:r>
        <w:t>该平台建设一套完整的用户身份认证体系，用于对地理信息服务平台的所有用户进行管理，对用户登录平台进行身份验证，对用户信息进行日常维护。</w:t>
      </w:r>
    </w:p>
    <w:p>
      <w:r>
        <w:t>该平台将用户划分为四种安全级别：普通用户、运维管理员、单位管理员和超级用户。用户的安全级别不同，所拥有的权限也不同。</w:t>
      </w:r>
    </w:p>
    <w:p>
      <w:r>
        <w:t>b）服务访问权限</w:t>
      </w:r>
    </w:p>
    <w:p>
      <w:r>
        <w:t>服务访问权限用来控制用户可以访问哪些服务。</w:t>
      </w:r>
    </w:p>
    <w:p>
      <w:r>
        <w:t>c）服务管理权限</w:t>
      </w:r>
    </w:p>
    <w:p>
      <w:r>
        <w:t>服务管理权限用来控制用户可以管理哪些服务。可以执行的管理操作包括服务启动、停止、编辑、删除等操作。服务管理权限运维管理员和单位管理员拥有。</w:t>
      </w:r>
    </w:p>
    <w:p>
      <w:r>
        <w:t>（</w:t>
      </w:r>
      <w:r>
        <w:rPr>
          <w:rFonts w:hint="eastAsia"/>
        </w:rPr>
        <w:t>15</w:t>
      </w:r>
      <w:r>
        <w:t>）日志管理</w:t>
      </w:r>
    </w:p>
    <w:p>
      <w:r>
        <w:t>日志管理模块用于实现平台日志的分布式存储、提取和信息挖掘，完成相应日志的收集、分析及管理，通过对日志的管理、统计、分析，来跟踪平台的变化。</w:t>
      </w:r>
    </w:p>
    <w:p>
      <w:r>
        <w:t>（</w:t>
      </w:r>
      <w:r>
        <w:rPr>
          <w:rFonts w:hint="eastAsia"/>
        </w:rPr>
        <w:t>16</w:t>
      </w:r>
      <w:r>
        <w:t>）运维管理</w:t>
      </w:r>
    </w:p>
    <w:p>
      <w:r>
        <w:t>平台提供运维操作管理模块，全面记录运维管理员登录平台后执行的运维操作，包括用户登录、调用平台接口、用户功能操作、用户搜索关键字等，支持将服务访问的日志信息进行导出，存储到本地。</w:t>
      </w:r>
    </w:p>
    <w:p>
      <w:pPr>
        <w:pStyle w:val="5"/>
      </w:pPr>
      <w:bookmarkStart w:id="71" w:name="_Toc112169165"/>
      <w:bookmarkStart w:id="72" w:name="_Toc112317361"/>
      <w:bookmarkStart w:id="73" w:name="_Toc112317359"/>
      <w:r>
        <w:t>智慧运维系统</w:t>
      </w:r>
      <w:bookmarkEnd w:id="71"/>
      <w:bookmarkEnd w:id="72"/>
    </w:p>
    <w:p>
      <w:pPr>
        <w:pStyle w:val="6"/>
      </w:pPr>
      <w:r>
        <w:rPr>
          <w:rFonts w:hint="eastAsia"/>
        </w:rPr>
        <w:t>服务内容</w:t>
      </w:r>
    </w:p>
    <w:p>
      <w:pPr>
        <w:contextualSpacing/>
      </w:pPr>
      <w:r>
        <w:t>智慧运维系统对外提供的应用功能主要通过中心管理子系统、综合网管子系统、工单子系统、运维级联子系统来实现。针对“雪亮工程”联网系统，本次运维系统的建设重点是运维监控、可视控制、告警中心、统计考核、系统管理等几个应用功能。</w:t>
      </w:r>
    </w:p>
    <w:p>
      <w:pPr>
        <w:pStyle w:val="6"/>
      </w:pPr>
      <w:r>
        <w:rPr>
          <w:rFonts w:hint="eastAsia"/>
        </w:rPr>
        <w:t>服务</w:t>
      </w:r>
      <w:r>
        <w:t>功能</w:t>
      </w:r>
    </w:p>
    <w:p>
      <w:pPr>
        <w:pStyle w:val="7"/>
      </w:pPr>
      <w:r>
        <w:t>网管中心管理系统</w:t>
      </w:r>
    </w:p>
    <w:p>
      <w:pPr>
        <w:contextualSpacing/>
      </w:pPr>
      <w:r>
        <w:t>作为运维平台的重要组成部分，支持组织机构定义及其管理、权限管理、巡检计划管理等等。它也是实现运维管理平台的核心，主要包括运维监控、资源管理、报警管理等。</w:t>
      </w:r>
    </w:p>
    <w:p>
      <w:pPr>
        <w:contextualSpacing/>
      </w:pPr>
      <w:r>
        <w:t>（1）终端服务</w:t>
      </w:r>
    </w:p>
    <w:p>
      <w:pPr>
        <w:contextualSpacing/>
      </w:pPr>
      <w:r>
        <w:t>运维首页智能视频运维系统为用户建立了统一访问门户，以图形化的形式向用户展现了资源统计概览、资源运行情况、主题资源运行情况、故障总览、离线时长、图像异常统计等信息，帮助各类用户快速了解视频网内资源整体运行情况。</w:t>
      </w:r>
    </w:p>
    <w:p>
      <w:pPr>
        <w:contextualSpacing/>
      </w:pPr>
      <w:r>
        <w:t>信息通知工单、告警作为运维工作中运维人员最为关注的事宜，如果不能第一时间获取这些信息，将降低运维响应效率，延长设备故障时间，进而降低视频监控系统的价值。本方案支持通过短信、邮件两种方式将工单、告警信息第一时间主动发送给相关运维人员，以便相关运维人员能够在不登录平台的情况下，及时了解系统内设备信息，并第一时间处理相应的故障，降低设备离网时长。</w:t>
      </w:r>
    </w:p>
    <w:p>
      <w:pPr>
        <w:contextualSpacing/>
      </w:pPr>
      <w:r>
        <w:t>（2）运维监控</w:t>
      </w:r>
    </w:p>
    <w:p>
      <w:pPr>
        <w:contextualSpacing/>
      </w:pPr>
      <w:r>
        <w:t>通过对IT网管模块、视频网管模块、视频质量诊断模块数据的汇总、分析，并以WEB页面的形式对外进行统一展现。视频网管监控平台通过视频网管模块对受控资源运行情况进行监控。可提供对视频网中的视频摄像机、平台服务器、编解码器(DVR、NVR）、视频综合矩阵等视频系统相关设备的运行情况进行自动巡检及管理功能。</w:t>
      </w:r>
    </w:p>
    <w:p>
      <w:pPr>
        <w:contextualSpacing/>
      </w:pPr>
      <w:r>
        <w:t>视频网管功能主要如下：对系统内的监控点执行自动巡检，实时展示异常设备相关信息状况，如：资源名称、资源当前状态、所属县域等。对视频设备具备状态巡检功能，显示异常设备信息并进行状态标识(如：设备掉线），生成异常信息报表，并具有报表导出功能。提供视频质量诊断功能，能够对视频丢失、图像模糊、视频剧变等14项常见的视频图像质量情况进行诊断；支持诊断故障图片查看；支持实时视频流调用；支持点位重巡；</w:t>
      </w:r>
    </w:p>
    <w:p>
      <w:pPr>
        <w:contextualSpacing/>
      </w:pPr>
      <w:r>
        <w:t>平台能有以小时为单位对监控点录像情况进行监控，并提供录像重巡和异常上报功能；</w:t>
      </w:r>
    </w:p>
    <w:p>
      <w:pPr>
        <w:contextualSpacing/>
      </w:pPr>
      <w:r>
        <w:t>平台支持对设备存储(DVR+NVR）、阵列等存储设备的工作状态、总容量、剩余容量等状态进行监控；</w:t>
      </w:r>
    </w:p>
    <w:p>
      <w:pPr>
        <w:contextualSpacing/>
      </w:pPr>
      <w:r>
        <w:t>建立风险、弱、中、强四级密码监测机制，当系统监测到长期不更新密码或密码存在风险时，能够自动进行提醒。</w:t>
      </w:r>
    </w:p>
    <w:p>
      <w:pPr>
        <w:contextualSpacing/>
      </w:pPr>
      <w:r>
        <w:t>IT网管监控系统能够对视频网内的IT设备进行统一管理。这些IT设备可包括网络设备、服务器、业务系统等IT基础架构内的相关设备。</w:t>
      </w:r>
    </w:p>
    <w:p>
      <w:pPr>
        <w:contextualSpacing/>
      </w:pPr>
      <w:r>
        <w:t>平台对外提供的IT监控应包括以下应用：网络故障监控（外采基础模块）系统能够实现对网络故障事件的监测和定位，实时采集故障信息，</w:t>
      </w:r>
    </w:p>
    <w:p>
      <w:pPr>
        <w:contextualSpacing/>
      </w:pPr>
      <w:r>
        <w:t>实时发现那些可能导致网络运行不正常的事件，并通过告警阀值设置、实时告警显示等，准确预警和定位网络中的故障。</w:t>
      </w:r>
    </w:p>
    <w:p>
      <w:pPr>
        <w:contextualSpacing/>
      </w:pPr>
      <w:r>
        <w:t>网络性能监控（外采基础模块）系统能够实现对网络基础设施环境性能的监控，定时采集网络性能信息，及时发现那些可能会导致网络服务质量出现明显下降的情况及故障隐患。</w:t>
      </w:r>
    </w:p>
    <w:p>
      <w:pPr>
        <w:contextualSpacing/>
      </w:pPr>
      <w:r>
        <w:t>业务服务器监控（外采基础模块）系统能够监测业务服务器的运行状态，包括监测业务服务器与前端设备的网络连接状态；业务服务器运行状态。主要包括CPU利用率、带宽占用率、内存利用率等信息。</w:t>
      </w:r>
    </w:p>
    <w:p>
      <w:pPr>
        <w:contextualSpacing/>
      </w:pPr>
      <w:r>
        <w:t>数据库监控（外采基础模块）系统能够监控视频监控系统中使用的各类数据库的运行状况和性能情况，应支持各种主流数据库，包括Oracle、MSSQLServer、MySql等数据库常用版本。</w:t>
      </w:r>
    </w:p>
    <w:p>
      <w:pPr>
        <w:contextualSpacing/>
      </w:pPr>
      <w:r>
        <w:t>中间件监控（外采基础模块）系统能够监控视频监控系统中使用的各类中间件系统的基本信息和运行状况，支持如Tomcat、weblogic、消息中间件等常用应用服务器。</w:t>
      </w:r>
    </w:p>
    <w:p>
      <w:pPr>
        <w:contextualSpacing/>
      </w:pPr>
      <w:r>
        <w:t>WEB服务监控（外采基础模块）系统能够对常用的Web服务器进行运行状态监控。对Web服务器应该能够监控如下指标：进程列表、CPU使用情况、内存使用情况、硬盘使用情况、负载情况及其他可以监控的参数。</w:t>
      </w:r>
    </w:p>
    <w:p>
      <w:pPr>
        <w:contextualSpacing/>
      </w:pPr>
      <w:r>
        <w:t>存储管理（外采IT网管扩展模块）系统能够监测存储设备硬件状态、磁盘状态、磁盘I/O利用率等。虚拟机管理（外采扩展模块）</w:t>
      </w:r>
    </w:p>
    <w:p>
      <w:pPr>
        <w:contextualSpacing/>
      </w:pPr>
      <w:r>
        <w:t>可实现对VMware、Hyper-V、Citrix等主流虚拟化资源的管理和展现，结合虚拟化资源的分配、应用情况进行采集分析，提供虚拟化资源使用情况及虚拟化事件告警等功能，实现用户对虚拟化设备资源的统一管理。</w:t>
      </w:r>
    </w:p>
    <w:p>
      <w:pPr>
        <w:contextualSpacing/>
      </w:pPr>
      <w:r>
        <w:t>机房动环监控系统能够通过与机房动环监控平台进行对接，实现对动环监测数据的集中运维管理。通过智慧运维系统建设，构建一体化网络化的集中监控系统，实时掌握机房动环监控的信息，在遇到机房停电、电源故障、环境温度过高等紧急意外情况，能够及时记录、查询和自动快速报警，提高机房的可靠运行能力，提高机房日常维护效率，降低维护成本和劳动强度。</w:t>
      </w:r>
    </w:p>
    <w:p>
      <w:pPr>
        <w:contextualSpacing/>
      </w:pPr>
      <w:r>
        <w:t>（3）告警中心平台能够以视频网管、视频质量诊断采集的运维数据为基础数据，围绕告警触发、告警分级、告警展现、告警处理、告警恢复五大主线建立了告警监控机制，做到将告警事件第一时间通知给系统管理人员。</w:t>
      </w:r>
    </w:p>
    <w:p>
      <w:pPr>
        <w:contextualSpacing/>
      </w:pPr>
      <w:r>
        <w:t>同时支持以EXCEL方式导出告警列表。告警阀值配置平台能够对不同类型的设备，设置不同的告警阈值，以适应不同设备告警状态、性能不一致的情况。</w:t>
      </w:r>
    </w:p>
    <w:p>
      <w:pPr>
        <w:contextualSpacing/>
      </w:pPr>
      <w:r>
        <w:t>告警执行策略平台能够以采集视频网管监控、视频质量诊断的告警事件作为原始事件，按照预定义的事件规则，经过采集、分类、转换等处理环节，形成有效的预警或故障告警信息，并及时运维管理人员进行处理，处理手段包括自动和手段两种方式。</w:t>
      </w:r>
    </w:p>
    <w:p>
      <w:pPr>
        <w:contextualSpacing/>
      </w:pPr>
      <w:r>
        <w:t>告警分级平台支持针对所有告警信息应能够根据故障严重程度、优先级别、对业务影响范围以及客户具体需求进行分级管理，实现高效的分层告警管理，并以不同的图标加以县分。平台应能够支持告警详情查看，告警处理平台内的告警分为历史和实时告警。</w:t>
      </w:r>
    </w:p>
    <w:p>
      <w:pPr>
        <w:contextualSpacing/>
      </w:pPr>
      <w:r>
        <w:t>（4）资产管理智慧运维系统提供了资产管理功能，能够对监控点、其他资产以档案化的形式进行管理，并能够按照监控点名称、IP地址、摄像机类型、是否国标、摄像机品牌、承建商名称、类别等检索项开展查询工作。</w:t>
      </w:r>
    </w:p>
    <w:p>
      <w:pPr>
        <w:contextualSpacing/>
      </w:pPr>
      <w:r>
        <w:t>（5）资源配置平台能够提供资源管理功能，提供自动和手动两种方式对资源进行管理。自动方式是指从联网平台中自动同步相应的资源信息；手工方式是指通过平台提供导入资源功能，开展资源管理功能，并将更新的资源注册到相应的组织机构下。</w:t>
      </w:r>
    </w:p>
    <w:p>
      <w:pPr>
        <w:contextualSpacing/>
      </w:pPr>
      <w:r>
        <w:t>（6）用户管理平台支持用户管理功能，提供自动和手动两种方式获取用户资源信息。</w:t>
      </w:r>
    </w:p>
    <w:p>
      <w:pPr>
        <w:contextualSpacing/>
      </w:pPr>
      <w:r>
        <w:t>自动方式是指各级智慧运维系统通过视频共享平台提供的数据同步接口获取用户资源信息，使得用户信息与视频信息联网平台用户信息保持一致。手动方式是指平台管理人员通过平台提供的用户管理功能。</w:t>
      </w:r>
    </w:p>
    <w:p>
      <w:pPr>
        <w:contextualSpacing/>
      </w:pPr>
      <w:r>
        <w:t>（7）权限管理平台支持授权管理功能。授权管理是指系统根据实际环境中各管理人员所属级别、部门、职务以及职责范围，对其所对应的帐号进行授权，具体来说包括权限级别和权限范围，权限级别是指能够对哪些菜单进具有操作权限；而权限范围则是指根据真实情况分配哪些范围内的资源进行管理，如对A分配全部门所有业务系统，对B则分配某栋楼的网络设备，系统提供实体授权功能，即帐号代表的自然人可以访问哪些资源(包括系统和应用）的授权。</w:t>
      </w:r>
    </w:p>
    <w:p>
      <w:pPr>
        <w:contextualSpacing/>
      </w:pPr>
      <w:r>
        <w:t>为减少用户的权限管理的复杂性，提高管理的效率，对用户权限的管理应该基于角色进行。</w:t>
      </w:r>
    </w:p>
    <w:p>
      <w:pPr>
        <w:contextualSpacing/>
      </w:pPr>
      <w:r>
        <w:t>按照角色进行运维监控管理功能的集中授权管理，解决业务系统中的用户权限设置过粗以及授权滥用的问题，为用户提供细粒度的业务授权机制。</w:t>
      </w:r>
    </w:p>
    <w:p>
      <w:pPr>
        <w:contextualSpacing/>
      </w:pPr>
      <w:r>
        <w:t>（8）日志管理为满足用户对平台应用系统的日志进行自动化、智能化集中管理和分析的要求，运维平台能够通过对日志文件检查和告警机制为用户提供了的日志收集、从而实现了对系统平台的日志分析和管理的功能。</w:t>
      </w:r>
    </w:p>
    <w:p>
      <w:pPr>
        <w:contextualSpacing/>
      </w:pPr>
      <w:r>
        <w:t>日常管理对象包括系统日志和操作日志：系统日志记录了系统后台内置组件在运行过程，发生异常情况即时进行记录；操作日志记录了用户在系统上进行的配置操作。系统操作日志的管理为系统的安全审计提供了一种手段。管理员可通过灵活的条件对系统日志进行查询。</w:t>
      </w:r>
    </w:p>
    <w:p>
      <w:pPr>
        <w:pStyle w:val="7"/>
      </w:pPr>
      <w:r>
        <w:t>综合网管</w:t>
      </w:r>
    </w:p>
    <w:p>
      <w:pPr>
        <w:contextualSpacing/>
      </w:pPr>
      <w:r>
        <w:t>（1）视频质量诊断</w:t>
      </w:r>
    </w:p>
    <w:p>
      <w:pPr>
        <w:contextualSpacing/>
      </w:pPr>
      <w:r>
        <w:t>平台采用国际领先的图形处理算法和模式识别技术，对视频丢失、模糊、偏色、干扰等十多项视频问题，建立一套完善的视频诊断标准规划体系，并以web页面的形式展现诊断结果。</w:t>
      </w:r>
    </w:p>
    <w:p>
      <w:pPr>
        <w:contextualSpacing/>
      </w:pPr>
      <w:r>
        <w:t>诊断项说明：视频丢失自动检测因前端摄像机工作异常、损坏、人为恶意破坏或视频传输环节故障而引起的间发性或持续性的视频缺失现象。包括单色画面、叠加OSD画面等；</w:t>
      </w:r>
    </w:p>
    <w:p>
      <w:pPr>
        <w:contextualSpacing/>
      </w:pPr>
      <w:r>
        <w:t>图像模糊自动检测由于摄像机聚焦不准，就会产生清晰度异常的现象，清晰度异常的图像物体边缘很宽，细节不清晰，给人以模糊感觉。对比度异常自动检测由于摄像机镜头蒙上灰尘、水汽、人为遮挡、或者内部故障，造成图像的对比度低而“发蒙”的情况。</w:t>
      </w:r>
    </w:p>
    <w:p>
      <w:pPr>
        <w:contextualSpacing/>
      </w:pPr>
      <w:r>
        <w:t>图像过亮：自动检测由于摄像机曝光控制、增益控制损坏、或者受到强光照射，就会出现过亮画面,给人以发白的感觉。</w:t>
      </w:r>
    </w:p>
    <w:p>
      <w:pPr>
        <w:contextualSpacing/>
      </w:pPr>
      <w:r>
        <w:t>图像过暗：自动检测由于摄像机曝光控制、增益控制损坏、或者光照很低时，就会出现过暗画面。图像偏色</w:t>
      </w:r>
    </w:p>
    <w:p>
      <w:pPr>
        <w:contextualSpacing/>
      </w:pPr>
      <w:r>
        <w:t>自动检测：由于摄像机色彩平衡出现故障、信息干扰或者传输过程中部分颜色分量被干扰，造成画面单一性偏色现象出现，画面统一呈现某种颜色。</w:t>
      </w:r>
    </w:p>
    <w:p>
      <w:pPr>
        <w:contextualSpacing/>
      </w:pPr>
      <w:r>
        <w:t>噪声干扰自动检测由于视频信号干扰、线路接触不良、光照不足等引起的点状、尖刺等图像质量故障。</w:t>
      </w:r>
    </w:p>
    <w:p>
      <w:pPr>
        <w:contextualSpacing/>
      </w:pPr>
      <w:r>
        <w:t>条纹干扰检测：自动检测由于线路老化、接触不良、线路干扰（工频、音频、高频信号）导致的横条、波纹等带状、网状等噪声故障。</w:t>
      </w:r>
    </w:p>
    <w:p>
      <w:pPr>
        <w:contextualSpacing/>
      </w:pPr>
      <w:r>
        <w:t>黑白图像检测：自动检测由于摄像机日夜功能模式切换异常、图像信号强度弱等原因，造成的图像颜色为黑白的异常情况。</w:t>
      </w:r>
    </w:p>
    <w:p>
      <w:pPr>
        <w:contextualSpacing/>
      </w:pPr>
      <w:r>
        <w:t>画面冻结检测：由于传输系统异常导致的画面冻结的故障，一般表现为画面静止不动，包括时标OSD部分不动。</w:t>
      </w:r>
    </w:p>
    <w:p>
      <w:pPr>
        <w:contextualSpacing/>
      </w:pPr>
      <w:r>
        <w:t>视频剧变检测：自动检测由于视频信号异常或受到干扰导致视频图像剧烈变化的故障，一般表现为画面不停闪烁、跳变、画面扭曲等。</w:t>
      </w:r>
    </w:p>
    <w:p>
      <w:pPr>
        <w:contextualSpacing/>
      </w:pPr>
      <w:r>
        <w:t>场景变更检测：自动检测由于人为或环境原因导致摄像头被偏转、摄像头被遮挡、摄像机的角度或位置发生变化而导致的场景变更的情况。</w:t>
      </w:r>
    </w:p>
    <w:p>
      <w:pPr>
        <w:contextualSpacing/>
      </w:pPr>
      <w:r>
        <w:t>视频遮挡检测：自动检测由于监控点视频镜头被全部遮挡出现的异常情况，通常表现为画面黑暗、对比度低。</w:t>
      </w:r>
    </w:p>
    <w:p>
      <w:pPr>
        <w:contextualSpacing/>
      </w:pPr>
      <w:r>
        <w:t>云台失控诊断：自动检测由于机械故障或者安装不当的原因，导致云台不能转动，或者转动的方向与控制方向不一致。</w:t>
      </w:r>
    </w:p>
    <w:p>
      <w:pPr>
        <w:contextualSpacing/>
      </w:pPr>
      <w:r>
        <w:t>（2）</w:t>
      </w:r>
      <w:r>
        <w:rPr>
          <w:rFonts w:hint="eastAsia"/>
        </w:rPr>
        <w:t>历史录像完整性监测</w:t>
      </w:r>
    </w:p>
    <w:p>
      <w:pPr>
        <w:contextualSpacing/>
      </w:pPr>
      <w:r>
        <w:rPr>
          <w:rFonts w:hint="eastAsia"/>
        </w:rPr>
        <w:t>视频历史录像诊断：系统具备对监控点位15日前的录像进行检索功能，并对检索出的视频录性的完整性进行检查功能，支持按照IP地址、监控点名称，监控点编号等开展查询应用，支持明细数据导出。</w:t>
      </w:r>
    </w:p>
    <w:p>
      <w:pPr>
        <w:contextualSpacing/>
      </w:pPr>
      <w:r>
        <w:rPr>
          <w:rFonts w:hint="eastAsia"/>
        </w:rPr>
        <w:t>（3）实时视频通畅监测</w:t>
      </w:r>
    </w:p>
    <w:p>
      <w:pPr>
        <w:contextualSpacing/>
      </w:pPr>
      <w:r>
        <w:rPr>
          <w:rFonts w:hint="eastAsia"/>
        </w:rPr>
        <w:t>实时视频通畅率：每天定时全量诊断重点联网监控摄像机，记录是否能实时播放。</w:t>
      </w:r>
    </w:p>
    <w:p>
      <w:pPr>
        <w:contextualSpacing/>
      </w:pPr>
      <w:r>
        <w:rPr>
          <w:rFonts w:hint="eastAsia"/>
        </w:rPr>
        <w:t>（4）联网数量率统计</w:t>
      </w:r>
    </w:p>
    <w:p>
      <w:pPr>
        <w:contextualSpacing/>
      </w:pPr>
      <w:r>
        <w:rPr>
          <w:rFonts w:hint="eastAsia"/>
        </w:rPr>
        <w:t>支持队视频设备联网数据量趋势分析：按月展示联网数量趋势，支持按一、二、三类点位进行筛选。</w:t>
      </w:r>
    </w:p>
    <w:p>
      <w:pPr>
        <w:contextualSpacing/>
      </w:pPr>
      <w:r>
        <w:rPr>
          <w:rFonts w:hint="eastAsia"/>
        </w:rPr>
        <w:t>（5）</w:t>
      </w:r>
      <w:r>
        <w:t>视频网管</w:t>
      </w:r>
    </w:p>
    <w:p>
      <w:pPr>
        <w:contextualSpacing/>
      </w:pPr>
      <w:r>
        <w:t>视频网管子模块能够通过SDK、ONVIF、SNMP、国标等主流协议采集前端设备的运行状态。</w:t>
      </w:r>
    </w:p>
    <w:p>
      <w:pPr>
        <w:contextualSpacing/>
      </w:pPr>
      <w:r>
        <w:t>平台能够通过对采集器的名称、采集器类型、IP地址、端口号等信息维护，而管理采集器；</w:t>
      </w:r>
    </w:p>
    <w:p>
      <w:pPr>
        <w:contextualSpacing/>
      </w:pPr>
      <w:r>
        <w:t>平台能够将资源一键添加到巡检计划；平台支持按照资源类型、资源进行巡检。</w:t>
      </w:r>
    </w:p>
    <w:p>
      <w:pPr>
        <w:contextualSpacing/>
      </w:pPr>
      <w:r>
        <w:rPr>
          <w:rFonts w:hint="eastAsia"/>
        </w:rPr>
        <w:t>（6）人像抓拍数据监测</w:t>
      </w:r>
    </w:p>
    <w:p>
      <w:pPr>
        <w:contextualSpacing/>
      </w:pPr>
      <w:r>
        <w:rPr>
          <w:rFonts w:hint="eastAsia"/>
        </w:rPr>
        <w:t>支持人脸抓拍、人体抓拍的数量统计及趋势统计。支持视图数据入库、上报情况统计。支持人脸卡口的运行状态监测。支持联网的人脸卡口目录推送质量以及基础信息采集的准确性进行监测。</w:t>
      </w:r>
    </w:p>
    <w:p>
      <w:pPr>
        <w:contextualSpacing/>
      </w:pPr>
      <w:r>
        <w:rPr>
          <w:rFonts w:hint="eastAsia"/>
        </w:rPr>
        <w:t>系统支持以人像设备为单位进行检测，对抓拍的数据字段进行校验，包含URL可用性、人脸图片合格率（图像质量，人脸角度，抓拍人脸大小等）、建模成功率，抓拍漏抓率。且支持对人脸卡口进行打标处理，标注为重点人脸卡口和普通人脸卡口。且支持对重点人脸卡口URL可用率、重点人脸卡口及时上传率单独统计和展现功能。</w:t>
      </w:r>
    </w:p>
    <w:p>
      <w:pPr>
        <w:contextualSpacing/>
      </w:pPr>
      <w:r>
        <w:rPr>
          <w:rFonts w:hint="eastAsia"/>
        </w:rPr>
        <w:t>（7）车辆抓拍数据监测</w:t>
      </w:r>
    </w:p>
    <w:p>
      <w:pPr>
        <w:contextualSpacing/>
      </w:pPr>
      <w:r>
        <w:rPr>
          <w:rFonts w:hint="eastAsia"/>
        </w:rPr>
        <w:t>系统支持以车辆设备为单位进行检测，对数据的完整率、属性准确率、URL可用性进行检测。</w:t>
      </w:r>
    </w:p>
    <w:p>
      <w:pPr>
        <w:contextualSpacing/>
      </w:pPr>
      <w:r>
        <w:rPr>
          <w:rFonts w:hint="eastAsia"/>
        </w:rPr>
        <w:t>支持对卡口进行标签处理，对重点的卡口位置进行打标处理，区分普通卡口和重点卡口。系统通过对卡口抓拍数据的个数进行统计，并对数据上传效率进行检测，用于统计上传及时率和抓拍数据完整率。</w:t>
      </w:r>
    </w:p>
    <w:p>
      <w:pPr>
        <w:contextualSpacing/>
      </w:pPr>
      <w:r>
        <w:t>（</w:t>
      </w:r>
      <w:r>
        <w:rPr>
          <w:rFonts w:hint="eastAsia"/>
        </w:rPr>
        <w:t>8</w:t>
      </w:r>
      <w:r>
        <w:t>）IT网管子模块</w:t>
      </w:r>
    </w:p>
    <w:p>
      <w:pPr>
        <w:contextualSpacing/>
      </w:pPr>
      <w:r>
        <w:t>IT网管子模块能够采集视频网内的服务器、交换机、存储设备等IT设备的运行状态信息。</w:t>
      </w:r>
    </w:p>
    <w:p>
      <w:pPr>
        <w:contextualSpacing/>
      </w:pPr>
      <w:r>
        <w:t>服务器：基本信息、硬盘信息（使用量率、已使用情况、总容量）、CPU利用率、内存占用率、系统进程列表等状态信息。交换机：系统基本信息、CPU利用率、网络流量等信息。存储设备：硬件设备情况、存储空间使用率、告警信息、硬盘IO利用率等。</w:t>
      </w:r>
    </w:p>
    <w:p>
      <w:pPr>
        <w:pStyle w:val="7"/>
      </w:pPr>
      <w:r>
        <w:t>运维级联</w:t>
      </w:r>
    </w:p>
    <w:p>
      <w:pPr>
        <w:contextualSpacing/>
        <w:rPr>
          <w:szCs w:val="20"/>
        </w:rPr>
      </w:pPr>
      <w:r>
        <w:rPr>
          <w:szCs w:val="20"/>
        </w:rPr>
        <w:t>本期达拉特市视频共享平台需与鄂尔多斯市视频共享平台级联，也包含了与两级平台对应建设的运维系统的级联。通过建设运维级联系统，使得上级平台可订阅下级平台点位的在线状态、视频质量诊断情况等，当下级平台状态发生更新时，上级平台将及时获取下级点位状态、图像诊断结果、状态变化时间、点位列表等信息。满足上级平台对下级平台的监控和统计考核要求。</w:t>
      </w:r>
    </w:p>
    <w:p>
      <w:pPr>
        <w:contextualSpacing/>
        <w:rPr>
          <w:szCs w:val="20"/>
        </w:rPr>
      </w:pPr>
      <w:r>
        <w:rPr>
          <w:szCs w:val="20"/>
        </w:rPr>
        <w:t>当上下级运维平台是智慧运维系统时，上级平台可通过该模块订阅下级平台点位的在线状态、视频质量诊断情况、设备运行状态等，当下级平台状态发生更新时，上级平台将及时获取下级点位状态、图像诊断结果、状态变化时间、点位列表、设备在线状态等信息。</w:t>
      </w:r>
    </w:p>
    <w:p>
      <w:pPr>
        <w:pStyle w:val="7"/>
      </w:pPr>
      <w:r>
        <w:t>统计考核</w:t>
      </w:r>
    </w:p>
    <w:p>
      <w:pPr>
        <w:contextualSpacing/>
        <w:rPr>
          <w:szCs w:val="20"/>
        </w:rPr>
      </w:pPr>
      <w:r>
        <w:rPr>
          <w:szCs w:val="20"/>
        </w:rPr>
        <w:t>系统主要从资产、点位运行情况两个个方面对日常运维数据进行汇总、分析、统计，并以图形化的方式进行展现，可以Excel方式导出相应的报表。</w:t>
      </w:r>
    </w:p>
    <w:p>
      <w:pPr>
        <w:contextualSpacing/>
        <w:rPr>
          <w:szCs w:val="20"/>
        </w:rPr>
      </w:pPr>
      <w:r>
        <w:rPr>
          <w:szCs w:val="20"/>
        </w:rPr>
        <w:t>（1）资产统计资产总览</w:t>
      </w:r>
    </w:p>
    <w:p>
      <w:pPr>
        <w:contextualSpacing/>
        <w:rPr>
          <w:szCs w:val="20"/>
        </w:rPr>
      </w:pPr>
      <w:r>
        <w:rPr>
          <w:szCs w:val="20"/>
        </w:rPr>
        <w:t>平台支持设备品牌、承建厂商、网络标识、所属警种四个维度对系统内的资产开展统计；</w:t>
      </w:r>
    </w:p>
    <w:p>
      <w:pPr>
        <w:contextualSpacing/>
        <w:rPr>
          <w:szCs w:val="20"/>
        </w:rPr>
      </w:pPr>
      <w:r>
        <w:rPr>
          <w:szCs w:val="20"/>
        </w:rPr>
        <w:t>平台支持列表和图形化两种方式进行展现。统计项包括：设备类型、各维度（品牌、厂商、网络标识、所属警种）资产数量、未录入属性数量、汇总；支持excel方式导出统计信息。</w:t>
      </w:r>
    </w:p>
    <w:p>
      <w:pPr>
        <w:contextualSpacing/>
        <w:rPr>
          <w:szCs w:val="20"/>
        </w:rPr>
      </w:pPr>
      <w:r>
        <w:rPr>
          <w:szCs w:val="20"/>
        </w:rPr>
        <w:t>（2）监控点资产统计</w:t>
      </w:r>
    </w:p>
    <w:p>
      <w:pPr>
        <w:contextualSpacing/>
        <w:rPr>
          <w:szCs w:val="20"/>
        </w:rPr>
      </w:pPr>
      <w:r>
        <w:rPr>
          <w:szCs w:val="20"/>
        </w:rPr>
        <w:t>平台支持按照所属县域、设备品牌、承建厂商、网络标识、所属警种多个维度开展统计；</w:t>
      </w:r>
    </w:p>
    <w:p>
      <w:pPr>
        <w:contextualSpacing/>
        <w:rPr>
          <w:szCs w:val="20"/>
        </w:rPr>
      </w:pPr>
      <w:r>
        <w:rPr>
          <w:szCs w:val="20"/>
        </w:rPr>
        <w:t>支持列表和图形两种方式进行展现；统计项包括所属县域、各维度（品牌、厂商、网络标识、所属警种）资产数量、未录入属性数量、汇总；支持excel方式导出统计信息。</w:t>
      </w:r>
    </w:p>
    <w:p>
      <w:pPr>
        <w:contextualSpacing/>
        <w:rPr>
          <w:szCs w:val="20"/>
        </w:rPr>
      </w:pPr>
      <w:r>
        <w:rPr>
          <w:szCs w:val="20"/>
        </w:rPr>
        <w:t>（3）经纬度采集率统计</w:t>
      </w:r>
    </w:p>
    <w:p>
      <w:pPr>
        <w:contextualSpacing/>
        <w:rPr>
          <w:szCs w:val="20"/>
        </w:rPr>
      </w:pPr>
      <w:r>
        <w:rPr>
          <w:szCs w:val="20"/>
        </w:rPr>
        <w:t>支持按照所属县域对系统内资源经纬度完整情况进行统计；统计项包括：所属县域、监控点总数、无经纬度数、经纬度缺失数、经纬度完整数、经纬度采集率；支持以excel形式导出相应的报表。</w:t>
      </w:r>
    </w:p>
    <w:p>
      <w:pPr>
        <w:contextualSpacing/>
        <w:rPr>
          <w:szCs w:val="20"/>
        </w:rPr>
      </w:pPr>
      <w:r>
        <w:rPr>
          <w:szCs w:val="20"/>
        </w:rPr>
        <w:t>（4）运行情况统计</w:t>
      </w:r>
    </w:p>
    <w:p>
      <w:pPr>
        <w:contextualSpacing/>
        <w:rPr>
          <w:szCs w:val="20"/>
        </w:rPr>
      </w:pPr>
      <w:r>
        <w:rPr>
          <w:szCs w:val="20"/>
        </w:rPr>
        <w:t>县域运维考核统计支持按照所属县域和时间维度，对各县域运维工作开展情况考核；支持以在线率、录像完好率、修复率、视频完好率、经纬度完整率为考核系数对各县域运维工作进行综合得法计算，并支持考核权重自定义；</w:t>
      </w:r>
    </w:p>
    <w:p>
      <w:pPr>
        <w:contextualSpacing/>
        <w:rPr>
          <w:szCs w:val="20"/>
        </w:rPr>
      </w:pPr>
      <w:r>
        <w:rPr>
          <w:szCs w:val="20"/>
        </w:rPr>
        <w:t>支持以图形和列表相结合的方式展现考核结果；统计项主要展现：所属县域、总数、在线率、视频完好率、经纬度采集率、修复率、总分、排名；支持以excel形式导出报表。</w:t>
      </w:r>
    </w:p>
    <w:p>
      <w:pPr>
        <w:contextualSpacing/>
        <w:rPr>
          <w:szCs w:val="20"/>
        </w:rPr>
      </w:pPr>
      <w:r>
        <w:rPr>
          <w:szCs w:val="20"/>
        </w:rPr>
        <w:t>（5）离线时长统计</w:t>
      </w:r>
    </w:p>
    <w:p>
      <w:pPr>
        <w:contextualSpacing/>
        <w:rPr>
          <w:szCs w:val="20"/>
        </w:rPr>
      </w:pPr>
      <w:r>
        <w:rPr>
          <w:szCs w:val="20"/>
        </w:rPr>
        <w:t>支持以所属县域、时间（按月、按时间县间）对离线时长进行统计；</w:t>
      </w:r>
    </w:p>
    <w:p>
      <w:pPr>
        <w:contextualSpacing/>
        <w:rPr>
          <w:szCs w:val="20"/>
        </w:rPr>
      </w:pPr>
      <w:r>
        <w:rPr>
          <w:szCs w:val="20"/>
        </w:rPr>
        <w:t>支持以列表方式展现统计结果；统计项包括：监控点名称、所属县域、IP地址、离线时长、离线开始时间；</w:t>
      </w:r>
    </w:p>
    <w:p>
      <w:pPr>
        <w:contextualSpacing/>
        <w:rPr>
          <w:szCs w:val="20"/>
        </w:rPr>
      </w:pPr>
      <w:r>
        <w:rPr>
          <w:szCs w:val="20"/>
        </w:rPr>
        <w:t>支持以excel形式导出列表。</w:t>
      </w:r>
    </w:p>
    <w:p>
      <w:pPr>
        <w:contextualSpacing/>
        <w:rPr>
          <w:szCs w:val="20"/>
        </w:rPr>
      </w:pPr>
      <w:r>
        <w:rPr>
          <w:szCs w:val="20"/>
        </w:rPr>
        <w:t>（6）视频质量诊断统计按县域统计其下级点位的视频质量情况；</w:t>
      </w:r>
    </w:p>
    <w:p>
      <w:pPr>
        <w:contextualSpacing/>
        <w:rPr>
          <w:szCs w:val="20"/>
        </w:rPr>
      </w:pPr>
      <w:r>
        <w:rPr>
          <w:szCs w:val="20"/>
        </w:rPr>
        <w:t>可按照组织结构筛选，统计其下级组织各点位视频质量情况；统计项包括县域、点位总数、未配置数、异常数、正常数、视频完好率、15个诊断项统计、诊断时间；报表头部展现：制表时间；支持计算公式展现，支持以EXCEL形式导出报表。</w:t>
      </w:r>
    </w:p>
    <w:p>
      <w:pPr>
        <w:contextualSpacing/>
        <w:rPr>
          <w:szCs w:val="20"/>
        </w:rPr>
      </w:pPr>
      <w:r>
        <w:rPr>
          <w:szCs w:val="20"/>
        </w:rPr>
        <w:t>（7）点位录像情况统计</w:t>
      </w:r>
    </w:p>
    <w:p>
      <w:pPr>
        <w:contextualSpacing/>
        <w:rPr>
          <w:szCs w:val="20"/>
        </w:rPr>
      </w:pPr>
      <w:r>
        <w:rPr>
          <w:szCs w:val="20"/>
        </w:rPr>
        <w:t>能够按照所属县域、监控点名称、设备ip、时间(时间县间、按月）进行统计；</w:t>
      </w:r>
    </w:p>
    <w:p>
      <w:pPr>
        <w:contextualSpacing/>
        <w:rPr>
          <w:szCs w:val="20"/>
        </w:rPr>
      </w:pPr>
      <w:r>
        <w:rPr>
          <w:szCs w:val="20"/>
        </w:rPr>
        <w:t>统计项包括所属县域、设备ip、监控点名称、录像完好率；支持excel形式导出列表。</w:t>
      </w:r>
    </w:p>
    <w:p>
      <w:pPr>
        <w:pStyle w:val="7"/>
      </w:pPr>
      <w:r>
        <w:t>资产管理</w:t>
      </w:r>
    </w:p>
    <w:p>
      <w:pPr>
        <w:contextualSpacing/>
      </w:pPr>
      <w:r>
        <w:t>公安部于2015年下发了《关于进一步加强公安机关视频图像信息应用工作的意见》（[公通字2015]4号)中强调到2020年，二类视频监控点和确有必要联网接入的三类视频监控点前端摄像机基础信息建档率要求达到100%。因此本方案设计在政府视频共享平台中建设资产管理系统，建立我旗社会视频资源的基础档案库，将我旗各类在线、离线社会视频监控点位建立详细、完备的点位“户籍档案”，并按行业进行统计、归类、备案，并注明联网整合和管理责任归属情况。通过资产管理系统的建设全面掌握我县社会面视频监控系统建设数量、质量和点位布局，提升公安机关、政法综治对社会视频资源的管控能力，很好得解决社会视频资源建设密度不清淅、基础信息项不完整、代码项标准不统一等问题，一旦发生警情可通过资产管理系统快速找到周边社会点位信息，第一时间获取案发现场监控视频，为快速破案提供技术支撑。同时通过对基础档案数据的统计分析为后续工程的前端点位规划、点位分布、平台建设、业务应用等提供决策依据。</w:t>
      </w:r>
    </w:p>
    <w:p>
      <w:pPr>
        <w:pStyle w:val="8"/>
      </w:pPr>
      <w:r>
        <w:t>信息采集</w:t>
      </w:r>
    </w:p>
    <w:p>
      <w:pPr>
        <w:contextualSpacing/>
      </w:pPr>
      <w:r>
        <w:t>对于已整合接入视频共享平台的在线社会视频点位，应通过监控资源基础信息的采集工作，动态掌握该社会视频资源的基本状况。同时对于通过摸底调研，暂无法接入或暂无接入必要的社会视频图像，可将该类视频点位的基础信息录入视频共享平台资产管理系统，并在电子地图的相应图层中进行离线标注。一旦有工作需要，能快速定位，快速调阅，实现视频信息的共享。</w:t>
      </w:r>
    </w:p>
    <w:p>
      <w:pPr>
        <w:contextualSpacing/>
      </w:pPr>
      <w:r>
        <w:t>社会视频资源基础信息的采集工作包括点位基本信息、设备信息、建设信息应用信息、维护信息、现场照片等信息的采集。</w:t>
      </w:r>
    </w:p>
    <w:p>
      <w:pPr>
        <w:contextualSpacing/>
      </w:pPr>
      <w:r>
        <w:t>系统提供移动端APP，可便捷地开展社会点位信息采集录入，APP主要功能包括信息录入、点位查询、图片上传、点位经纬度现场定位等功能。</w:t>
      </w:r>
    </w:p>
    <w:p>
      <w:pPr>
        <w:pStyle w:val="8"/>
      </w:pPr>
      <w:r>
        <w:t>建档录入资源同步</w:t>
      </w:r>
    </w:p>
    <w:p>
      <w:pPr>
        <w:contextualSpacing/>
      </w:pPr>
      <w:r>
        <w:t>通过视频共享平台对外提供的接口，同步联网点位的基础信息，并通过内置的数据校验机制，对同步的信息进行比对、校验，当存在两者不一致时，资产管理系统将重新发起缺失点位的同步，保证政府视频共享平台和资产管理信息的一致性。</w:t>
      </w:r>
    </w:p>
    <w:p>
      <w:pPr>
        <w:contextualSpacing/>
      </w:pPr>
      <w:r>
        <w:t>（1）手工录入</w:t>
      </w:r>
    </w:p>
    <w:p>
      <w:pPr>
        <w:contextualSpacing/>
      </w:pPr>
      <w:r>
        <w:t>按照基础信息导入模板，可手工录入相应的点位基础信息，并上传至系统内，支持批量导出。</w:t>
      </w:r>
    </w:p>
    <w:p>
      <w:pPr>
        <w:contextualSpacing/>
      </w:pPr>
      <w:r>
        <w:t>（2）监控摄像机的属性</w:t>
      </w:r>
    </w:p>
    <w:p>
      <w:pPr>
        <w:contextualSpacing/>
      </w:pPr>
      <w:r>
        <w:t>包括基本属性、建设信息、应用信息、维保信息、设备信息、附件等。</w:t>
      </w:r>
    </w:p>
    <w:p>
      <w:pPr>
        <w:contextualSpacing/>
      </w:pPr>
      <w:r>
        <w:t>基本属性：社会单位名称（通过社会单位菜单新增）、所属县域、监控系统名称；</w:t>
      </w:r>
    </w:p>
    <w:p>
      <w:pPr>
        <w:contextualSpacing/>
      </w:pPr>
      <w:r>
        <w:t>建设信息：经度、建设单位联系人、建设单位联系电话、所属道路、所属辖县、IP地址、朝向、纬度、建设单位。</w:t>
      </w:r>
    </w:p>
    <w:p>
      <w:pPr>
        <w:contextualSpacing/>
      </w:pPr>
      <w:r>
        <w:t>应用信息：分管民警、监控用途、监控场所、设备分类、点位类别、分管民警。</w:t>
      </w:r>
    </w:p>
    <w:p>
      <w:pPr>
        <w:contextualSpacing/>
      </w:pPr>
      <w:r>
        <w:t>维保信息：质保期、维保商单位、维保联系人；设备信息：编号、类型、名称、品牌、分辨率附件：图片（支持图片上传）</w:t>
      </w:r>
    </w:p>
    <w:p>
      <w:pPr>
        <w:contextualSpacing/>
      </w:pPr>
      <w:r>
        <w:t>地图标注支持在地图上标注新增社会点位的经纬度信息。</w:t>
      </w:r>
    </w:p>
    <w:p>
      <w:pPr>
        <w:pStyle w:val="8"/>
      </w:pPr>
      <w:r>
        <w:t>信息展示首页综合展示</w:t>
      </w:r>
    </w:p>
    <w:p>
      <w:pPr>
        <w:contextualSpacing/>
      </w:pPr>
      <w:r>
        <w:t>展现系统内各所辖县域的摄像机联网率、社会单位注册率、监控系统注册率，对社会单位联网完成度进行进度排名，并能够展现本月新增摄像机联网量、本月新增社会单位注册量TOP9进行展现。同时系统能够通过静态地图展现资源分布情况。</w:t>
      </w:r>
    </w:p>
    <w:p>
      <w:pPr>
        <w:contextualSpacing/>
      </w:pPr>
      <w:r>
        <w:t>分类查询展示系统提供列表方式、电子地图方式对监控系统、社会单位、监控摄像机的基础信息进行查询。通过电子地图可展现系统内社会点位、联网点位分布情况，并提供搜索、点位详情查看、过滤显示等功能。</w:t>
      </w:r>
    </w:p>
    <w:p>
      <w:pPr>
        <w:contextualSpacing/>
      </w:pPr>
      <w:r>
        <w:t>统计分析通过图形化方式对监控系统联网率、社会单位注册率、监控系统注册率、联网点位在线数、联网点位在线率进行统计。</w:t>
      </w:r>
    </w:p>
    <w:p>
      <w:pPr>
        <w:pStyle w:val="6"/>
      </w:pPr>
      <w:r>
        <w:t>系统</w:t>
      </w:r>
      <w:r>
        <w:rPr>
          <w:rFonts w:hint="eastAsia"/>
        </w:rPr>
        <w:t>服务参数</w:t>
      </w:r>
    </w:p>
    <w:p>
      <w:r>
        <w:t>（1）支持不少于5000路设备管理；</w:t>
      </w:r>
    </w:p>
    <w:p>
      <w:r>
        <w:t>（2）支持通过GB/T28181（联网平台）、GA/T1400（视图库）标准同步联网点位的基础信息；</w:t>
      </w:r>
    </w:p>
    <w:p>
      <w:r>
        <w:t>（3）支持前端点位摄像机的基础属性、建设信息、应用信息、设备信息和维护信息的采集录入；</w:t>
      </w:r>
    </w:p>
    <w:p>
      <w:r>
        <w:t>（4）系统支持批量入网设备，支持资产管理、智能运维等功能；</w:t>
      </w:r>
    </w:p>
    <w:p>
      <w:r>
        <w:rPr>
          <w:rFonts w:hint="eastAsia"/>
        </w:rPr>
        <w:t>（5）支持网络及业务系统、设备及端口情况、运维服务流程管理的可视化。</w:t>
      </w:r>
    </w:p>
    <w:p>
      <w:pPr>
        <w:pStyle w:val="5"/>
      </w:pPr>
      <w:r>
        <w:t>信号控制系统</w:t>
      </w:r>
      <w:bookmarkEnd w:id="73"/>
    </w:p>
    <w:p>
      <w:r>
        <w:t>交通信号控制系统是城市道路交通管理和控制的基础，通过实时监测车流量，实时优化交通信号控制模式，调整信号控制参数，实施交叉口间的协调控制，调节道路交通流量分布，充分挖掘道路网容量，在保障交通安全的前提下，合理配置城市道路交叉口的时间和空间资源，使停车次数、延误时间、最大，排队长度减至最小，充分发挥道路系统的交通效益，达到道路交通系统最大程度的畅通。</w:t>
      </w:r>
    </w:p>
    <w:p>
      <w:pPr>
        <w:pStyle w:val="6"/>
      </w:pPr>
      <w:r>
        <w:t>交通智能主机部署点</w:t>
      </w:r>
    </w:p>
    <w:p>
      <w:r>
        <w:t>根据现阶段交通情况，在原有配置资源上，调整优化达拉特旗交通现状，本次项目新增交通智能主机部署点15处，具体部署点如下表所示：</w:t>
      </w:r>
    </w:p>
    <w:p>
      <w:pPr>
        <w:pStyle w:val="9"/>
      </w:pPr>
      <w:r>
        <w:t>新增智能主机点位表</w:t>
      </w:r>
    </w:p>
    <w:tbl>
      <w:tblPr>
        <w:tblStyle w:val="35"/>
        <w:tblW w:w="9204" w:type="dxa"/>
        <w:tblInd w:w="0" w:type="dxa"/>
        <w:tblLayout w:type="autofit"/>
        <w:tblCellMar>
          <w:top w:w="0" w:type="dxa"/>
          <w:left w:w="108" w:type="dxa"/>
          <w:bottom w:w="0" w:type="dxa"/>
          <w:right w:w="108" w:type="dxa"/>
        </w:tblCellMar>
      </w:tblPr>
      <w:tblGrid>
        <w:gridCol w:w="1040"/>
        <w:gridCol w:w="3486"/>
        <w:gridCol w:w="2835"/>
        <w:gridCol w:w="1843"/>
      </w:tblGrid>
      <w:tr>
        <w:tblPrEx>
          <w:tblCellMar>
            <w:top w:w="0" w:type="dxa"/>
            <w:left w:w="108" w:type="dxa"/>
            <w:bottom w:w="0" w:type="dxa"/>
            <w:right w:w="108" w:type="dxa"/>
          </w:tblCellMar>
        </w:tblPrEx>
        <w:trPr>
          <w:trHeight w:val="310" w:hRule="atLeast"/>
          <w:tblHeader/>
        </w:trPr>
        <w:tc>
          <w:tcPr>
            <w:tcW w:w="1040" w:type="dxa"/>
            <w:tcBorders>
              <w:top w:val="single" w:color="auto" w:sz="8" w:space="0"/>
              <w:left w:val="single" w:color="auto" w:sz="8" w:space="0"/>
              <w:bottom w:val="single" w:color="auto" w:sz="8" w:space="0"/>
              <w:right w:val="single" w:color="auto" w:sz="8" w:space="0"/>
            </w:tcBorders>
            <w:shd w:val="clear" w:color="auto" w:fill="auto"/>
            <w:vAlign w:val="center"/>
          </w:tcPr>
          <w:p>
            <w:pPr>
              <w:pStyle w:val="103"/>
            </w:pPr>
            <w:r>
              <w:t>序号</w:t>
            </w:r>
          </w:p>
        </w:tc>
        <w:tc>
          <w:tcPr>
            <w:tcW w:w="3486" w:type="dxa"/>
            <w:tcBorders>
              <w:top w:val="single" w:color="auto" w:sz="8" w:space="0"/>
              <w:left w:val="nil"/>
              <w:bottom w:val="single" w:color="auto" w:sz="8" w:space="0"/>
              <w:right w:val="single" w:color="auto" w:sz="8" w:space="0"/>
            </w:tcBorders>
            <w:shd w:val="clear" w:color="auto" w:fill="auto"/>
            <w:vAlign w:val="center"/>
          </w:tcPr>
          <w:p>
            <w:pPr>
              <w:pStyle w:val="103"/>
            </w:pPr>
            <w:r>
              <w:t>点位</w:t>
            </w:r>
          </w:p>
        </w:tc>
        <w:tc>
          <w:tcPr>
            <w:tcW w:w="2835" w:type="dxa"/>
            <w:tcBorders>
              <w:top w:val="single" w:color="auto" w:sz="8" w:space="0"/>
              <w:left w:val="nil"/>
              <w:bottom w:val="single" w:color="auto" w:sz="8" w:space="0"/>
              <w:right w:val="single" w:color="auto" w:sz="8" w:space="0"/>
            </w:tcBorders>
            <w:shd w:val="clear" w:color="auto" w:fill="auto"/>
            <w:vAlign w:val="center"/>
          </w:tcPr>
          <w:p>
            <w:pPr>
              <w:pStyle w:val="103"/>
            </w:pPr>
            <w:r>
              <w:t>配置</w:t>
            </w:r>
          </w:p>
        </w:tc>
        <w:tc>
          <w:tcPr>
            <w:tcW w:w="1843" w:type="dxa"/>
            <w:tcBorders>
              <w:top w:val="single" w:color="auto" w:sz="8" w:space="0"/>
              <w:left w:val="nil"/>
              <w:bottom w:val="single" w:color="auto" w:sz="8" w:space="0"/>
              <w:right w:val="single" w:color="auto" w:sz="8" w:space="0"/>
            </w:tcBorders>
            <w:shd w:val="clear" w:color="auto" w:fill="auto"/>
            <w:vAlign w:val="center"/>
          </w:tcPr>
          <w:p>
            <w:pPr>
              <w:pStyle w:val="103"/>
            </w:pPr>
            <w:r>
              <w:t>备注</w:t>
            </w:r>
          </w:p>
        </w:tc>
      </w:tr>
      <w:tr>
        <w:tblPrEx>
          <w:tblCellMar>
            <w:top w:w="0" w:type="dxa"/>
            <w:left w:w="108" w:type="dxa"/>
            <w:bottom w:w="0" w:type="dxa"/>
            <w:right w:w="108" w:type="dxa"/>
          </w:tblCellMar>
        </w:tblPrEx>
        <w:trPr>
          <w:trHeight w:val="310" w:hRule="atLeast"/>
        </w:trPr>
        <w:tc>
          <w:tcPr>
            <w:tcW w:w="1040" w:type="dxa"/>
            <w:tcBorders>
              <w:top w:val="nil"/>
              <w:left w:val="single" w:color="auto" w:sz="8" w:space="0"/>
              <w:bottom w:val="single" w:color="auto" w:sz="8" w:space="0"/>
              <w:right w:val="single" w:color="auto" w:sz="8" w:space="0"/>
            </w:tcBorders>
            <w:shd w:val="clear" w:color="auto" w:fill="auto"/>
            <w:vAlign w:val="center"/>
          </w:tcPr>
          <w:p>
            <w:pPr>
              <w:pStyle w:val="103"/>
            </w:pPr>
            <w:r>
              <w:t>1</w:t>
            </w:r>
          </w:p>
        </w:tc>
        <w:tc>
          <w:tcPr>
            <w:tcW w:w="3486" w:type="dxa"/>
            <w:tcBorders>
              <w:top w:val="nil"/>
              <w:left w:val="nil"/>
              <w:bottom w:val="single" w:color="auto" w:sz="8" w:space="0"/>
              <w:right w:val="single" w:color="auto" w:sz="8" w:space="0"/>
            </w:tcBorders>
            <w:shd w:val="clear" w:color="auto" w:fill="auto"/>
            <w:vAlign w:val="center"/>
          </w:tcPr>
          <w:p>
            <w:pPr>
              <w:pStyle w:val="103"/>
            </w:pPr>
            <w:r>
              <w:t>南园街一和平路</w:t>
            </w:r>
          </w:p>
        </w:tc>
        <w:tc>
          <w:tcPr>
            <w:tcW w:w="2835" w:type="dxa"/>
            <w:tcBorders>
              <w:top w:val="nil"/>
              <w:left w:val="nil"/>
              <w:bottom w:val="single" w:color="auto" w:sz="8" w:space="0"/>
              <w:right w:val="single" w:color="auto" w:sz="8" w:space="0"/>
            </w:tcBorders>
            <w:shd w:val="clear" w:color="auto" w:fill="auto"/>
            <w:vAlign w:val="center"/>
          </w:tcPr>
          <w:p>
            <w:pPr>
              <w:pStyle w:val="103"/>
            </w:pPr>
            <w:r>
              <w:t>交通智能主机1台</w:t>
            </w:r>
          </w:p>
        </w:tc>
        <w:tc>
          <w:tcPr>
            <w:tcW w:w="1843" w:type="dxa"/>
            <w:tcBorders>
              <w:top w:val="nil"/>
              <w:left w:val="nil"/>
              <w:bottom w:val="single" w:color="auto" w:sz="8" w:space="0"/>
              <w:right w:val="single" w:color="auto" w:sz="8" w:space="0"/>
            </w:tcBorders>
            <w:shd w:val="clear" w:color="auto" w:fill="auto"/>
            <w:vAlign w:val="center"/>
          </w:tcPr>
          <w:p>
            <w:pPr>
              <w:pStyle w:val="103"/>
            </w:pPr>
            <w:r>
              <w:t>　</w:t>
            </w:r>
          </w:p>
        </w:tc>
      </w:tr>
      <w:tr>
        <w:tblPrEx>
          <w:tblCellMar>
            <w:top w:w="0" w:type="dxa"/>
            <w:left w:w="108" w:type="dxa"/>
            <w:bottom w:w="0" w:type="dxa"/>
            <w:right w:w="108" w:type="dxa"/>
          </w:tblCellMar>
        </w:tblPrEx>
        <w:trPr>
          <w:trHeight w:val="310" w:hRule="atLeast"/>
        </w:trPr>
        <w:tc>
          <w:tcPr>
            <w:tcW w:w="1040" w:type="dxa"/>
            <w:tcBorders>
              <w:top w:val="nil"/>
              <w:left w:val="single" w:color="auto" w:sz="8" w:space="0"/>
              <w:bottom w:val="single" w:color="auto" w:sz="8" w:space="0"/>
              <w:right w:val="single" w:color="auto" w:sz="8" w:space="0"/>
            </w:tcBorders>
            <w:shd w:val="clear" w:color="auto" w:fill="auto"/>
            <w:vAlign w:val="center"/>
          </w:tcPr>
          <w:p>
            <w:pPr>
              <w:pStyle w:val="103"/>
            </w:pPr>
            <w:r>
              <w:t>2</w:t>
            </w:r>
          </w:p>
        </w:tc>
        <w:tc>
          <w:tcPr>
            <w:tcW w:w="3486" w:type="dxa"/>
            <w:tcBorders>
              <w:top w:val="nil"/>
              <w:left w:val="nil"/>
              <w:bottom w:val="single" w:color="auto" w:sz="8" w:space="0"/>
              <w:right w:val="single" w:color="auto" w:sz="8" w:space="0"/>
            </w:tcBorders>
            <w:shd w:val="clear" w:color="auto" w:fill="auto"/>
            <w:vAlign w:val="center"/>
          </w:tcPr>
          <w:p>
            <w:pPr>
              <w:pStyle w:val="103"/>
            </w:pPr>
            <w:r>
              <w:t>南园街一新华路</w:t>
            </w:r>
          </w:p>
        </w:tc>
        <w:tc>
          <w:tcPr>
            <w:tcW w:w="2835" w:type="dxa"/>
            <w:tcBorders>
              <w:top w:val="nil"/>
              <w:left w:val="nil"/>
              <w:bottom w:val="single" w:color="auto" w:sz="8" w:space="0"/>
              <w:right w:val="single" w:color="auto" w:sz="8" w:space="0"/>
            </w:tcBorders>
            <w:shd w:val="clear" w:color="auto" w:fill="auto"/>
            <w:vAlign w:val="center"/>
          </w:tcPr>
          <w:p>
            <w:pPr>
              <w:pStyle w:val="103"/>
            </w:pPr>
            <w:r>
              <w:t>交通智能主机1台</w:t>
            </w:r>
          </w:p>
        </w:tc>
        <w:tc>
          <w:tcPr>
            <w:tcW w:w="1843" w:type="dxa"/>
            <w:tcBorders>
              <w:top w:val="nil"/>
              <w:left w:val="nil"/>
              <w:bottom w:val="single" w:color="auto" w:sz="8" w:space="0"/>
              <w:right w:val="single" w:color="auto" w:sz="8" w:space="0"/>
            </w:tcBorders>
            <w:shd w:val="clear" w:color="auto" w:fill="auto"/>
            <w:vAlign w:val="center"/>
          </w:tcPr>
          <w:p>
            <w:pPr>
              <w:pStyle w:val="103"/>
            </w:pPr>
            <w:r>
              <w:t>　</w:t>
            </w:r>
          </w:p>
        </w:tc>
      </w:tr>
      <w:tr>
        <w:tblPrEx>
          <w:tblCellMar>
            <w:top w:w="0" w:type="dxa"/>
            <w:left w:w="108" w:type="dxa"/>
            <w:bottom w:w="0" w:type="dxa"/>
            <w:right w:w="108" w:type="dxa"/>
          </w:tblCellMar>
        </w:tblPrEx>
        <w:trPr>
          <w:trHeight w:val="310" w:hRule="atLeast"/>
        </w:trPr>
        <w:tc>
          <w:tcPr>
            <w:tcW w:w="1040" w:type="dxa"/>
            <w:tcBorders>
              <w:top w:val="nil"/>
              <w:left w:val="single" w:color="auto" w:sz="8" w:space="0"/>
              <w:bottom w:val="single" w:color="auto" w:sz="8" w:space="0"/>
              <w:right w:val="single" w:color="auto" w:sz="8" w:space="0"/>
            </w:tcBorders>
            <w:shd w:val="clear" w:color="auto" w:fill="auto"/>
            <w:vAlign w:val="center"/>
          </w:tcPr>
          <w:p>
            <w:pPr>
              <w:pStyle w:val="103"/>
            </w:pPr>
            <w:r>
              <w:t>3</w:t>
            </w:r>
          </w:p>
        </w:tc>
        <w:tc>
          <w:tcPr>
            <w:tcW w:w="3486" w:type="dxa"/>
            <w:tcBorders>
              <w:top w:val="nil"/>
              <w:left w:val="nil"/>
              <w:bottom w:val="single" w:color="auto" w:sz="8" w:space="0"/>
              <w:right w:val="single" w:color="auto" w:sz="8" w:space="0"/>
            </w:tcBorders>
            <w:shd w:val="clear" w:color="auto" w:fill="auto"/>
            <w:vAlign w:val="center"/>
          </w:tcPr>
          <w:p>
            <w:pPr>
              <w:pStyle w:val="103"/>
            </w:pPr>
            <w:r>
              <w:t>南园街一公园路</w:t>
            </w:r>
          </w:p>
        </w:tc>
        <w:tc>
          <w:tcPr>
            <w:tcW w:w="2835" w:type="dxa"/>
            <w:tcBorders>
              <w:top w:val="nil"/>
              <w:left w:val="nil"/>
              <w:bottom w:val="single" w:color="auto" w:sz="8" w:space="0"/>
              <w:right w:val="single" w:color="auto" w:sz="8" w:space="0"/>
            </w:tcBorders>
            <w:shd w:val="clear" w:color="auto" w:fill="auto"/>
            <w:vAlign w:val="center"/>
          </w:tcPr>
          <w:p>
            <w:pPr>
              <w:pStyle w:val="103"/>
            </w:pPr>
            <w:r>
              <w:t>交通智能主机1台</w:t>
            </w:r>
          </w:p>
        </w:tc>
        <w:tc>
          <w:tcPr>
            <w:tcW w:w="1843" w:type="dxa"/>
            <w:tcBorders>
              <w:top w:val="nil"/>
              <w:left w:val="nil"/>
              <w:bottom w:val="single" w:color="auto" w:sz="8" w:space="0"/>
              <w:right w:val="single" w:color="auto" w:sz="8" w:space="0"/>
            </w:tcBorders>
            <w:shd w:val="clear" w:color="auto" w:fill="auto"/>
            <w:vAlign w:val="center"/>
          </w:tcPr>
          <w:p>
            <w:pPr>
              <w:pStyle w:val="103"/>
            </w:pPr>
            <w:r>
              <w:t>　</w:t>
            </w:r>
          </w:p>
        </w:tc>
      </w:tr>
      <w:tr>
        <w:tblPrEx>
          <w:tblCellMar>
            <w:top w:w="0" w:type="dxa"/>
            <w:left w:w="108" w:type="dxa"/>
            <w:bottom w:w="0" w:type="dxa"/>
            <w:right w:w="108" w:type="dxa"/>
          </w:tblCellMar>
        </w:tblPrEx>
        <w:trPr>
          <w:trHeight w:val="310" w:hRule="atLeast"/>
        </w:trPr>
        <w:tc>
          <w:tcPr>
            <w:tcW w:w="1040" w:type="dxa"/>
            <w:tcBorders>
              <w:top w:val="nil"/>
              <w:left w:val="single" w:color="auto" w:sz="8" w:space="0"/>
              <w:bottom w:val="single" w:color="auto" w:sz="8" w:space="0"/>
              <w:right w:val="single" w:color="auto" w:sz="8" w:space="0"/>
            </w:tcBorders>
            <w:shd w:val="clear" w:color="auto" w:fill="auto"/>
            <w:vAlign w:val="center"/>
          </w:tcPr>
          <w:p>
            <w:pPr>
              <w:pStyle w:val="103"/>
            </w:pPr>
            <w:r>
              <w:t>4</w:t>
            </w:r>
          </w:p>
        </w:tc>
        <w:tc>
          <w:tcPr>
            <w:tcW w:w="3486" w:type="dxa"/>
            <w:tcBorders>
              <w:top w:val="nil"/>
              <w:left w:val="nil"/>
              <w:bottom w:val="single" w:color="auto" w:sz="8" w:space="0"/>
              <w:right w:val="single" w:color="auto" w:sz="8" w:space="0"/>
            </w:tcBorders>
            <w:shd w:val="clear" w:color="auto" w:fill="auto"/>
            <w:vAlign w:val="center"/>
          </w:tcPr>
          <w:p>
            <w:pPr>
              <w:pStyle w:val="103"/>
            </w:pPr>
            <w:r>
              <w:t>南园街一210国道</w:t>
            </w:r>
          </w:p>
        </w:tc>
        <w:tc>
          <w:tcPr>
            <w:tcW w:w="2835" w:type="dxa"/>
            <w:tcBorders>
              <w:top w:val="nil"/>
              <w:left w:val="nil"/>
              <w:bottom w:val="single" w:color="auto" w:sz="8" w:space="0"/>
              <w:right w:val="single" w:color="auto" w:sz="8" w:space="0"/>
            </w:tcBorders>
            <w:shd w:val="clear" w:color="auto" w:fill="auto"/>
            <w:vAlign w:val="center"/>
          </w:tcPr>
          <w:p>
            <w:pPr>
              <w:pStyle w:val="103"/>
            </w:pPr>
            <w:r>
              <w:t>交通智能主机1台</w:t>
            </w:r>
          </w:p>
        </w:tc>
        <w:tc>
          <w:tcPr>
            <w:tcW w:w="1843" w:type="dxa"/>
            <w:tcBorders>
              <w:top w:val="nil"/>
              <w:left w:val="nil"/>
              <w:bottom w:val="single" w:color="auto" w:sz="8" w:space="0"/>
              <w:right w:val="single" w:color="auto" w:sz="8" w:space="0"/>
            </w:tcBorders>
            <w:shd w:val="clear" w:color="auto" w:fill="auto"/>
            <w:vAlign w:val="center"/>
          </w:tcPr>
          <w:p>
            <w:pPr>
              <w:pStyle w:val="103"/>
            </w:pPr>
            <w:r>
              <w:t>　</w:t>
            </w:r>
          </w:p>
        </w:tc>
      </w:tr>
      <w:tr>
        <w:tblPrEx>
          <w:tblCellMar>
            <w:top w:w="0" w:type="dxa"/>
            <w:left w:w="108" w:type="dxa"/>
            <w:bottom w:w="0" w:type="dxa"/>
            <w:right w:w="108" w:type="dxa"/>
          </w:tblCellMar>
        </w:tblPrEx>
        <w:trPr>
          <w:trHeight w:val="310" w:hRule="atLeast"/>
        </w:trPr>
        <w:tc>
          <w:tcPr>
            <w:tcW w:w="1040" w:type="dxa"/>
            <w:tcBorders>
              <w:top w:val="nil"/>
              <w:left w:val="single" w:color="auto" w:sz="8" w:space="0"/>
              <w:bottom w:val="single" w:color="auto" w:sz="8" w:space="0"/>
              <w:right w:val="single" w:color="auto" w:sz="8" w:space="0"/>
            </w:tcBorders>
            <w:shd w:val="clear" w:color="auto" w:fill="auto"/>
            <w:vAlign w:val="center"/>
          </w:tcPr>
          <w:p>
            <w:pPr>
              <w:pStyle w:val="103"/>
            </w:pPr>
            <w:r>
              <w:t>5</w:t>
            </w:r>
          </w:p>
        </w:tc>
        <w:tc>
          <w:tcPr>
            <w:tcW w:w="3486" w:type="dxa"/>
            <w:tcBorders>
              <w:top w:val="nil"/>
              <w:left w:val="nil"/>
              <w:bottom w:val="single" w:color="auto" w:sz="8" w:space="0"/>
              <w:right w:val="single" w:color="auto" w:sz="8" w:space="0"/>
            </w:tcBorders>
            <w:shd w:val="clear" w:color="auto" w:fill="auto"/>
            <w:vAlign w:val="center"/>
          </w:tcPr>
          <w:p>
            <w:pPr>
              <w:pStyle w:val="103"/>
            </w:pPr>
            <w:r>
              <w:t>南园街一西园路</w:t>
            </w:r>
          </w:p>
        </w:tc>
        <w:tc>
          <w:tcPr>
            <w:tcW w:w="2835" w:type="dxa"/>
            <w:tcBorders>
              <w:top w:val="nil"/>
              <w:left w:val="nil"/>
              <w:bottom w:val="single" w:color="auto" w:sz="8" w:space="0"/>
              <w:right w:val="single" w:color="auto" w:sz="8" w:space="0"/>
            </w:tcBorders>
            <w:shd w:val="clear" w:color="auto" w:fill="auto"/>
            <w:vAlign w:val="center"/>
          </w:tcPr>
          <w:p>
            <w:pPr>
              <w:pStyle w:val="103"/>
            </w:pPr>
            <w:r>
              <w:t>交通智能主机1台</w:t>
            </w:r>
          </w:p>
        </w:tc>
        <w:tc>
          <w:tcPr>
            <w:tcW w:w="1843" w:type="dxa"/>
            <w:tcBorders>
              <w:top w:val="nil"/>
              <w:left w:val="nil"/>
              <w:bottom w:val="single" w:color="auto" w:sz="8" w:space="0"/>
              <w:right w:val="single" w:color="auto" w:sz="8" w:space="0"/>
            </w:tcBorders>
            <w:shd w:val="clear" w:color="auto" w:fill="auto"/>
            <w:vAlign w:val="center"/>
          </w:tcPr>
          <w:p>
            <w:pPr>
              <w:pStyle w:val="103"/>
            </w:pPr>
            <w:r>
              <w:t>　</w:t>
            </w:r>
          </w:p>
        </w:tc>
      </w:tr>
      <w:tr>
        <w:tblPrEx>
          <w:tblCellMar>
            <w:top w:w="0" w:type="dxa"/>
            <w:left w:w="108" w:type="dxa"/>
            <w:bottom w:w="0" w:type="dxa"/>
            <w:right w:w="108" w:type="dxa"/>
          </w:tblCellMar>
        </w:tblPrEx>
        <w:trPr>
          <w:trHeight w:val="310" w:hRule="atLeast"/>
        </w:trPr>
        <w:tc>
          <w:tcPr>
            <w:tcW w:w="1040" w:type="dxa"/>
            <w:tcBorders>
              <w:top w:val="nil"/>
              <w:left w:val="single" w:color="auto" w:sz="8" w:space="0"/>
              <w:bottom w:val="single" w:color="auto" w:sz="8" w:space="0"/>
              <w:right w:val="single" w:color="auto" w:sz="8" w:space="0"/>
            </w:tcBorders>
            <w:shd w:val="clear" w:color="auto" w:fill="auto"/>
            <w:vAlign w:val="center"/>
          </w:tcPr>
          <w:p>
            <w:pPr>
              <w:pStyle w:val="103"/>
            </w:pPr>
            <w:r>
              <w:t>6</w:t>
            </w:r>
          </w:p>
        </w:tc>
        <w:tc>
          <w:tcPr>
            <w:tcW w:w="3486" w:type="dxa"/>
            <w:tcBorders>
              <w:top w:val="nil"/>
              <w:left w:val="nil"/>
              <w:bottom w:val="single" w:color="auto" w:sz="8" w:space="0"/>
              <w:right w:val="single" w:color="auto" w:sz="8" w:space="0"/>
            </w:tcBorders>
            <w:shd w:val="clear" w:color="auto" w:fill="auto"/>
            <w:vAlign w:val="center"/>
          </w:tcPr>
          <w:p>
            <w:pPr>
              <w:pStyle w:val="103"/>
            </w:pPr>
            <w:r>
              <w:t>新华路第六幼儿园丁</w:t>
            </w:r>
          </w:p>
        </w:tc>
        <w:tc>
          <w:tcPr>
            <w:tcW w:w="2835" w:type="dxa"/>
            <w:tcBorders>
              <w:top w:val="nil"/>
              <w:left w:val="nil"/>
              <w:bottom w:val="single" w:color="auto" w:sz="8" w:space="0"/>
              <w:right w:val="single" w:color="auto" w:sz="8" w:space="0"/>
            </w:tcBorders>
            <w:shd w:val="clear" w:color="auto" w:fill="auto"/>
            <w:vAlign w:val="center"/>
          </w:tcPr>
          <w:p>
            <w:pPr>
              <w:pStyle w:val="103"/>
            </w:pPr>
            <w:r>
              <w:t>交通智能主机1台</w:t>
            </w:r>
          </w:p>
        </w:tc>
        <w:tc>
          <w:tcPr>
            <w:tcW w:w="1843" w:type="dxa"/>
            <w:tcBorders>
              <w:top w:val="nil"/>
              <w:left w:val="nil"/>
              <w:bottom w:val="single" w:color="auto" w:sz="8" w:space="0"/>
              <w:right w:val="single" w:color="auto" w:sz="8" w:space="0"/>
            </w:tcBorders>
            <w:shd w:val="clear" w:color="auto" w:fill="auto"/>
            <w:vAlign w:val="center"/>
          </w:tcPr>
          <w:p>
            <w:pPr>
              <w:pStyle w:val="103"/>
            </w:pPr>
            <w:r>
              <w:t>　</w:t>
            </w:r>
          </w:p>
        </w:tc>
      </w:tr>
      <w:tr>
        <w:tblPrEx>
          <w:tblCellMar>
            <w:top w:w="0" w:type="dxa"/>
            <w:left w:w="108" w:type="dxa"/>
            <w:bottom w:w="0" w:type="dxa"/>
            <w:right w:w="108" w:type="dxa"/>
          </w:tblCellMar>
        </w:tblPrEx>
        <w:trPr>
          <w:trHeight w:val="319" w:hRule="atLeast"/>
        </w:trPr>
        <w:tc>
          <w:tcPr>
            <w:tcW w:w="1040" w:type="dxa"/>
            <w:tcBorders>
              <w:top w:val="nil"/>
              <w:left w:val="single" w:color="auto" w:sz="8" w:space="0"/>
              <w:bottom w:val="single" w:color="auto" w:sz="8" w:space="0"/>
              <w:right w:val="single" w:color="auto" w:sz="8" w:space="0"/>
            </w:tcBorders>
            <w:shd w:val="clear" w:color="auto" w:fill="auto"/>
            <w:vAlign w:val="center"/>
          </w:tcPr>
          <w:p>
            <w:pPr>
              <w:pStyle w:val="103"/>
            </w:pPr>
            <w:r>
              <w:t>7</w:t>
            </w:r>
          </w:p>
        </w:tc>
        <w:tc>
          <w:tcPr>
            <w:tcW w:w="3486" w:type="dxa"/>
            <w:tcBorders>
              <w:top w:val="nil"/>
              <w:left w:val="nil"/>
              <w:bottom w:val="single" w:color="auto" w:sz="8" w:space="0"/>
              <w:right w:val="single" w:color="auto" w:sz="8" w:space="0"/>
            </w:tcBorders>
            <w:shd w:val="clear" w:color="auto" w:fill="auto"/>
            <w:vAlign w:val="center"/>
          </w:tcPr>
          <w:p>
            <w:pPr>
              <w:pStyle w:val="103"/>
            </w:pPr>
            <w:r>
              <w:t>新华路王贵新村东十字路口</w:t>
            </w:r>
          </w:p>
        </w:tc>
        <w:tc>
          <w:tcPr>
            <w:tcW w:w="2835" w:type="dxa"/>
            <w:tcBorders>
              <w:top w:val="nil"/>
              <w:left w:val="nil"/>
              <w:bottom w:val="single" w:color="auto" w:sz="8" w:space="0"/>
              <w:right w:val="single" w:color="auto" w:sz="8" w:space="0"/>
            </w:tcBorders>
            <w:shd w:val="clear" w:color="auto" w:fill="auto"/>
            <w:vAlign w:val="center"/>
          </w:tcPr>
          <w:p>
            <w:pPr>
              <w:pStyle w:val="103"/>
            </w:pPr>
            <w:r>
              <w:t>交通智能主机1台</w:t>
            </w:r>
          </w:p>
        </w:tc>
        <w:tc>
          <w:tcPr>
            <w:tcW w:w="1843" w:type="dxa"/>
            <w:tcBorders>
              <w:top w:val="nil"/>
              <w:left w:val="nil"/>
              <w:bottom w:val="single" w:color="auto" w:sz="8" w:space="0"/>
              <w:right w:val="single" w:color="auto" w:sz="8" w:space="0"/>
            </w:tcBorders>
            <w:shd w:val="clear" w:color="auto" w:fill="auto"/>
            <w:vAlign w:val="center"/>
          </w:tcPr>
          <w:p>
            <w:pPr>
              <w:pStyle w:val="103"/>
            </w:pPr>
            <w:r>
              <w:t>　</w:t>
            </w:r>
          </w:p>
        </w:tc>
      </w:tr>
      <w:tr>
        <w:tblPrEx>
          <w:tblCellMar>
            <w:top w:w="0" w:type="dxa"/>
            <w:left w:w="108" w:type="dxa"/>
            <w:bottom w:w="0" w:type="dxa"/>
            <w:right w:w="108" w:type="dxa"/>
          </w:tblCellMar>
        </w:tblPrEx>
        <w:trPr>
          <w:trHeight w:val="253" w:hRule="atLeast"/>
        </w:trPr>
        <w:tc>
          <w:tcPr>
            <w:tcW w:w="1040" w:type="dxa"/>
            <w:tcBorders>
              <w:top w:val="nil"/>
              <w:left w:val="single" w:color="auto" w:sz="8" w:space="0"/>
              <w:bottom w:val="single" w:color="auto" w:sz="8" w:space="0"/>
              <w:right w:val="single" w:color="auto" w:sz="8" w:space="0"/>
            </w:tcBorders>
            <w:shd w:val="clear" w:color="auto" w:fill="auto"/>
            <w:vAlign w:val="center"/>
          </w:tcPr>
          <w:p>
            <w:pPr>
              <w:pStyle w:val="103"/>
            </w:pPr>
            <w:r>
              <w:t>8</w:t>
            </w:r>
          </w:p>
        </w:tc>
        <w:tc>
          <w:tcPr>
            <w:tcW w:w="3486" w:type="dxa"/>
            <w:tcBorders>
              <w:top w:val="nil"/>
              <w:left w:val="nil"/>
              <w:bottom w:val="single" w:color="auto" w:sz="8" w:space="0"/>
              <w:right w:val="single" w:color="auto" w:sz="8" w:space="0"/>
            </w:tcBorders>
            <w:shd w:val="clear" w:color="auto" w:fill="auto"/>
            <w:vAlign w:val="center"/>
          </w:tcPr>
          <w:p>
            <w:pPr>
              <w:pStyle w:val="103"/>
            </w:pPr>
            <w:r>
              <w:t>新华路凯宏新村十字路口</w:t>
            </w:r>
          </w:p>
        </w:tc>
        <w:tc>
          <w:tcPr>
            <w:tcW w:w="2835" w:type="dxa"/>
            <w:tcBorders>
              <w:top w:val="nil"/>
              <w:left w:val="nil"/>
              <w:bottom w:val="single" w:color="auto" w:sz="8" w:space="0"/>
              <w:right w:val="single" w:color="auto" w:sz="8" w:space="0"/>
            </w:tcBorders>
            <w:shd w:val="clear" w:color="auto" w:fill="auto"/>
            <w:vAlign w:val="center"/>
          </w:tcPr>
          <w:p>
            <w:pPr>
              <w:pStyle w:val="103"/>
            </w:pPr>
            <w:r>
              <w:t>交通智能主机1台</w:t>
            </w:r>
          </w:p>
        </w:tc>
        <w:tc>
          <w:tcPr>
            <w:tcW w:w="1843" w:type="dxa"/>
            <w:tcBorders>
              <w:top w:val="nil"/>
              <w:left w:val="nil"/>
              <w:bottom w:val="single" w:color="auto" w:sz="8" w:space="0"/>
              <w:right w:val="single" w:color="auto" w:sz="8" w:space="0"/>
            </w:tcBorders>
            <w:shd w:val="clear" w:color="auto" w:fill="auto"/>
            <w:vAlign w:val="center"/>
          </w:tcPr>
          <w:p>
            <w:pPr>
              <w:pStyle w:val="103"/>
            </w:pPr>
            <w:r>
              <w:t>　</w:t>
            </w:r>
          </w:p>
        </w:tc>
      </w:tr>
      <w:tr>
        <w:tblPrEx>
          <w:tblCellMar>
            <w:top w:w="0" w:type="dxa"/>
            <w:left w:w="108" w:type="dxa"/>
            <w:bottom w:w="0" w:type="dxa"/>
            <w:right w:w="108" w:type="dxa"/>
          </w:tblCellMar>
        </w:tblPrEx>
        <w:trPr>
          <w:trHeight w:val="329" w:hRule="atLeast"/>
        </w:trPr>
        <w:tc>
          <w:tcPr>
            <w:tcW w:w="1040" w:type="dxa"/>
            <w:tcBorders>
              <w:top w:val="nil"/>
              <w:left w:val="single" w:color="auto" w:sz="8" w:space="0"/>
              <w:bottom w:val="single" w:color="auto" w:sz="8" w:space="0"/>
              <w:right w:val="single" w:color="auto" w:sz="8" w:space="0"/>
            </w:tcBorders>
            <w:shd w:val="clear" w:color="auto" w:fill="auto"/>
            <w:vAlign w:val="center"/>
          </w:tcPr>
          <w:p>
            <w:pPr>
              <w:pStyle w:val="103"/>
            </w:pPr>
            <w:r>
              <w:t>9</w:t>
            </w:r>
          </w:p>
        </w:tc>
        <w:tc>
          <w:tcPr>
            <w:tcW w:w="3486" w:type="dxa"/>
            <w:tcBorders>
              <w:top w:val="nil"/>
              <w:left w:val="nil"/>
              <w:bottom w:val="single" w:color="auto" w:sz="8" w:space="0"/>
              <w:right w:val="single" w:color="auto" w:sz="8" w:space="0"/>
            </w:tcBorders>
            <w:shd w:val="clear" w:color="auto" w:fill="auto"/>
            <w:vAlign w:val="center"/>
          </w:tcPr>
          <w:p>
            <w:pPr>
              <w:pStyle w:val="103"/>
            </w:pPr>
            <w:r>
              <w:t>新华路第六小学东丁字路口</w:t>
            </w:r>
          </w:p>
        </w:tc>
        <w:tc>
          <w:tcPr>
            <w:tcW w:w="2835" w:type="dxa"/>
            <w:tcBorders>
              <w:top w:val="nil"/>
              <w:left w:val="nil"/>
              <w:bottom w:val="single" w:color="auto" w:sz="8" w:space="0"/>
              <w:right w:val="single" w:color="auto" w:sz="8" w:space="0"/>
            </w:tcBorders>
            <w:shd w:val="clear" w:color="auto" w:fill="auto"/>
            <w:vAlign w:val="center"/>
          </w:tcPr>
          <w:p>
            <w:pPr>
              <w:pStyle w:val="103"/>
            </w:pPr>
            <w:r>
              <w:t>交通智能主机1台</w:t>
            </w:r>
          </w:p>
        </w:tc>
        <w:tc>
          <w:tcPr>
            <w:tcW w:w="1843" w:type="dxa"/>
            <w:tcBorders>
              <w:top w:val="nil"/>
              <w:left w:val="nil"/>
              <w:bottom w:val="single" w:color="auto" w:sz="8" w:space="0"/>
              <w:right w:val="single" w:color="auto" w:sz="8" w:space="0"/>
            </w:tcBorders>
            <w:shd w:val="clear" w:color="auto" w:fill="auto"/>
            <w:vAlign w:val="center"/>
          </w:tcPr>
          <w:p>
            <w:pPr>
              <w:pStyle w:val="103"/>
            </w:pPr>
            <w:r>
              <w:t>　</w:t>
            </w:r>
          </w:p>
        </w:tc>
      </w:tr>
      <w:tr>
        <w:tblPrEx>
          <w:tblCellMar>
            <w:top w:w="0" w:type="dxa"/>
            <w:left w:w="108" w:type="dxa"/>
            <w:bottom w:w="0" w:type="dxa"/>
            <w:right w:w="108" w:type="dxa"/>
          </w:tblCellMar>
        </w:tblPrEx>
        <w:trPr>
          <w:trHeight w:val="310" w:hRule="atLeast"/>
        </w:trPr>
        <w:tc>
          <w:tcPr>
            <w:tcW w:w="1040" w:type="dxa"/>
            <w:tcBorders>
              <w:top w:val="nil"/>
              <w:left w:val="single" w:color="auto" w:sz="8" w:space="0"/>
              <w:bottom w:val="single" w:color="auto" w:sz="8" w:space="0"/>
              <w:right w:val="single" w:color="auto" w:sz="8" w:space="0"/>
            </w:tcBorders>
            <w:shd w:val="clear" w:color="auto" w:fill="auto"/>
            <w:vAlign w:val="center"/>
          </w:tcPr>
          <w:p>
            <w:pPr>
              <w:pStyle w:val="103"/>
            </w:pPr>
            <w:r>
              <w:t>10</w:t>
            </w:r>
          </w:p>
        </w:tc>
        <w:tc>
          <w:tcPr>
            <w:tcW w:w="3486" w:type="dxa"/>
            <w:tcBorders>
              <w:top w:val="nil"/>
              <w:left w:val="nil"/>
              <w:bottom w:val="single" w:color="auto" w:sz="8" w:space="0"/>
              <w:right w:val="single" w:color="auto" w:sz="8" w:space="0"/>
            </w:tcBorders>
            <w:shd w:val="clear" w:color="auto" w:fill="auto"/>
            <w:vAlign w:val="center"/>
          </w:tcPr>
          <w:p>
            <w:pPr>
              <w:pStyle w:val="103"/>
            </w:pPr>
            <w:r>
              <w:t>树林召大街与建设路</w:t>
            </w:r>
          </w:p>
        </w:tc>
        <w:tc>
          <w:tcPr>
            <w:tcW w:w="2835" w:type="dxa"/>
            <w:tcBorders>
              <w:top w:val="nil"/>
              <w:left w:val="nil"/>
              <w:bottom w:val="single" w:color="auto" w:sz="8" w:space="0"/>
              <w:right w:val="single" w:color="auto" w:sz="8" w:space="0"/>
            </w:tcBorders>
            <w:shd w:val="clear" w:color="auto" w:fill="auto"/>
            <w:vAlign w:val="center"/>
          </w:tcPr>
          <w:p>
            <w:pPr>
              <w:pStyle w:val="103"/>
            </w:pPr>
            <w:r>
              <w:t>交通智能主机1台</w:t>
            </w:r>
          </w:p>
        </w:tc>
        <w:tc>
          <w:tcPr>
            <w:tcW w:w="1843" w:type="dxa"/>
            <w:tcBorders>
              <w:top w:val="nil"/>
              <w:left w:val="nil"/>
              <w:bottom w:val="single" w:color="auto" w:sz="8" w:space="0"/>
              <w:right w:val="single" w:color="auto" w:sz="8" w:space="0"/>
            </w:tcBorders>
            <w:shd w:val="clear" w:color="auto" w:fill="auto"/>
            <w:vAlign w:val="center"/>
          </w:tcPr>
          <w:p>
            <w:pPr>
              <w:pStyle w:val="103"/>
            </w:pPr>
            <w:r>
              <w:t>　</w:t>
            </w:r>
          </w:p>
        </w:tc>
      </w:tr>
      <w:tr>
        <w:tblPrEx>
          <w:tblCellMar>
            <w:top w:w="0" w:type="dxa"/>
            <w:left w:w="108" w:type="dxa"/>
            <w:bottom w:w="0" w:type="dxa"/>
            <w:right w:w="108" w:type="dxa"/>
          </w:tblCellMar>
        </w:tblPrEx>
        <w:trPr>
          <w:trHeight w:val="310" w:hRule="atLeast"/>
        </w:trPr>
        <w:tc>
          <w:tcPr>
            <w:tcW w:w="1040" w:type="dxa"/>
            <w:tcBorders>
              <w:top w:val="nil"/>
              <w:left w:val="single" w:color="auto" w:sz="8" w:space="0"/>
              <w:bottom w:val="single" w:color="auto" w:sz="8" w:space="0"/>
              <w:right w:val="single" w:color="auto" w:sz="8" w:space="0"/>
            </w:tcBorders>
            <w:shd w:val="clear" w:color="auto" w:fill="auto"/>
            <w:vAlign w:val="center"/>
          </w:tcPr>
          <w:p>
            <w:pPr>
              <w:pStyle w:val="103"/>
            </w:pPr>
            <w:r>
              <w:t>11</w:t>
            </w:r>
          </w:p>
        </w:tc>
        <w:tc>
          <w:tcPr>
            <w:tcW w:w="3486" w:type="dxa"/>
            <w:tcBorders>
              <w:top w:val="nil"/>
              <w:left w:val="nil"/>
              <w:bottom w:val="single" w:color="auto" w:sz="8" w:space="0"/>
              <w:right w:val="single" w:color="auto" w:sz="8" w:space="0"/>
            </w:tcBorders>
            <w:shd w:val="clear" w:color="auto" w:fill="auto"/>
            <w:vAlign w:val="center"/>
          </w:tcPr>
          <w:p>
            <w:pPr>
              <w:pStyle w:val="103"/>
            </w:pPr>
            <w:r>
              <w:t>树林召大街与和平路</w:t>
            </w:r>
          </w:p>
        </w:tc>
        <w:tc>
          <w:tcPr>
            <w:tcW w:w="2835" w:type="dxa"/>
            <w:tcBorders>
              <w:top w:val="nil"/>
              <w:left w:val="nil"/>
              <w:bottom w:val="single" w:color="auto" w:sz="8" w:space="0"/>
              <w:right w:val="single" w:color="auto" w:sz="8" w:space="0"/>
            </w:tcBorders>
            <w:shd w:val="clear" w:color="auto" w:fill="auto"/>
            <w:vAlign w:val="center"/>
          </w:tcPr>
          <w:p>
            <w:pPr>
              <w:pStyle w:val="103"/>
            </w:pPr>
            <w:r>
              <w:t>交通智能主机1台</w:t>
            </w:r>
          </w:p>
        </w:tc>
        <w:tc>
          <w:tcPr>
            <w:tcW w:w="1843" w:type="dxa"/>
            <w:tcBorders>
              <w:top w:val="nil"/>
              <w:left w:val="nil"/>
              <w:bottom w:val="single" w:color="auto" w:sz="8" w:space="0"/>
              <w:right w:val="single" w:color="auto" w:sz="8" w:space="0"/>
            </w:tcBorders>
            <w:shd w:val="clear" w:color="auto" w:fill="auto"/>
            <w:vAlign w:val="center"/>
          </w:tcPr>
          <w:p>
            <w:pPr>
              <w:pStyle w:val="103"/>
            </w:pPr>
            <w:r>
              <w:t>　</w:t>
            </w:r>
          </w:p>
        </w:tc>
      </w:tr>
      <w:tr>
        <w:tblPrEx>
          <w:tblCellMar>
            <w:top w:w="0" w:type="dxa"/>
            <w:left w:w="108" w:type="dxa"/>
            <w:bottom w:w="0" w:type="dxa"/>
            <w:right w:w="108" w:type="dxa"/>
          </w:tblCellMar>
        </w:tblPrEx>
        <w:trPr>
          <w:trHeight w:val="310" w:hRule="atLeast"/>
        </w:trPr>
        <w:tc>
          <w:tcPr>
            <w:tcW w:w="1040" w:type="dxa"/>
            <w:tcBorders>
              <w:top w:val="nil"/>
              <w:left w:val="single" w:color="auto" w:sz="8" w:space="0"/>
              <w:bottom w:val="single" w:color="auto" w:sz="8" w:space="0"/>
              <w:right w:val="single" w:color="auto" w:sz="8" w:space="0"/>
            </w:tcBorders>
            <w:shd w:val="clear" w:color="auto" w:fill="auto"/>
            <w:vAlign w:val="center"/>
          </w:tcPr>
          <w:p>
            <w:pPr>
              <w:pStyle w:val="103"/>
            </w:pPr>
            <w:r>
              <w:t>12</w:t>
            </w:r>
          </w:p>
        </w:tc>
        <w:tc>
          <w:tcPr>
            <w:tcW w:w="3486" w:type="dxa"/>
            <w:tcBorders>
              <w:top w:val="nil"/>
              <w:left w:val="nil"/>
              <w:bottom w:val="single" w:color="auto" w:sz="8" w:space="0"/>
              <w:right w:val="single" w:color="auto" w:sz="8" w:space="0"/>
            </w:tcBorders>
            <w:shd w:val="clear" w:color="auto" w:fill="auto"/>
            <w:vAlign w:val="center"/>
          </w:tcPr>
          <w:p>
            <w:pPr>
              <w:pStyle w:val="103"/>
            </w:pPr>
            <w:r>
              <w:t>树林召大街与长胜路</w:t>
            </w:r>
          </w:p>
        </w:tc>
        <w:tc>
          <w:tcPr>
            <w:tcW w:w="2835" w:type="dxa"/>
            <w:tcBorders>
              <w:top w:val="nil"/>
              <w:left w:val="nil"/>
              <w:bottom w:val="single" w:color="auto" w:sz="8" w:space="0"/>
              <w:right w:val="single" w:color="auto" w:sz="8" w:space="0"/>
            </w:tcBorders>
            <w:shd w:val="clear" w:color="auto" w:fill="auto"/>
            <w:vAlign w:val="center"/>
          </w:tcPr>
          <w:p>
            <w:pPr>
              <w:pStyle w:val="103"/>
            </w:pPr>
            <w:r>
              <w:t>交通智能主机1台</w:t>
            </w:r>
          </w:p>
        </w:tc>
        <w:tc>
          <w:tcPr>
            <w:tcW w:w="1843" w:type="dxa"/>
            <w:tcBorders>
              <w:top w:val="nil"/>
              <w:left w:val="nil"/>
              <w:bottom w:val="single" w:color="auto" w:sz="8" w:space="0"/>
              <w:right w:val="single" w:color="auto" w:sz="8" w:space="0"/>
            </w:tcBorders>
            <w:shd w:val="clear" w:color="auto" w:fill="auto"/>
            <w:vAlign w:val="center"/>
          </w:tcPr>
          <w:p>
            <w:pPr>
              <w:pStyle w:val="103"/>
            </w:pPr>
            <w:r>
              <w:t>　</w:t>
            </w:r>
          </w:p>
        </w:tc>
      </w:tr>
      <w:tr>
        <w:tblPrEx>
          <w:tblCellMar>
            <w:top w:w="0" w:type="dxa"/>
            <w:left w:w="108" w:type="dxa"/>
            <w:bottom w:w="0" w:type="dxa"/>
            <w:right w:w="108" w:type="dxa"/>
          </w:tblCellMar>
        </w:tblPrEx>
        <w:trPr>
          <w:trHeight w:val="310" w:hRule="atLeast"/>
        </w:trPr>
        <w:tc>
          <w:tcPr>
            <w:tcW w:w="1040" w:type="dxa"/>
            <w:tcBorders>
              <w:top w:val="nil"/>
              <w:left w:val="single" w:color="auto" w:sz="8" w:space="0"/>
              <w:bottom w:val="single" w:color="auto" w:sz="8" w:space="0"/>
              <w:right w:val="single" w:color="auto" w:sz="8" w:space="0"/>
            </w:tcBorders>
            <w:shd w:val="clear" w:color="auto" w:fill="auto"/>
            <w:vAlign w:val="center"/>
          </w:tcPr>
          <w:p>
            <w:pPr>
              <w:pStyle w:val="103"/>
            </w:pPr>
            <w:r>
              <w:t>13</w:t>
            </w:r>
          </w:p>
        </w:tc>
        <w:tc>
          <w:tcPr>
            <w:tcW w:w="3486" w:type="dxa"/>
            <w:tcBorders>
              <w:top w:val="nil"/>
              <w:left w:val="nil"/>
              <w:bottom w:val="single" w:color="auto" w:sz="8" w:space="0"/>
              <w:right w:val="single" w:color="auto" w:sz="8" w:space="0"/>
            </w:tcBorders>
            <w:shd w:val="clear" w:color="auto" w:fill="auto"/>
            <w:vAlign w:val="center"/>
          </w:tcPr>
          <w:p>
            <w:pPr>
              <w:pStyle w:val="103"/>
            </w:pPr>
            <w:r>
              <w:t>达拉特路与平原大街</w:t>
            </w:r>
          </w:p>
        </w:tc>
        <w:tc>
          <w:tcPr>
            <w:tcW w:w="2835" w:type="dxa"/>
            <w:tcBorders>
              <w:top w:val="nil"/>
              <w:left w:val="nil"/>
              <w:bottom w:val="single" w:color="auto" w:sz="8" w:space="0"/>
              <w:right w:val="single" w:color="auto" w:sz="8" w:space="0"/>
            </w:tcBorders>
            <w:shd w:val="clear" w:color="auto" w:fill="auto"/>
            <w:vAlign w:val="center"/>
          </w:tcPr>
          <w:p>
            <w:pPr>
              <w:pStyle w:val="103"/>
            </w:pPr>
            <w:r>
              <w:t>交通智能主机1台</w:t>
            </w:r>
          </w:p>
        </w:tc>
        <w:tc>
          <w:tcPr>
            <w:tcW w:w="1843" w:type="dxa"/>
            <w:tcBorders>
              <w:top w:val="nil"/>
              <w:left w:val="nil"/>
              <w:bottom w:val="single" w:color="auto" w:sz="8" w:space="0"/>
              <w:right w:val="single" w:color="auto" w:sz="8" w:space="0"/>
            </w:tcBorders>
            <w:shd w:val="clear" w:color="auto" w:fill="auto"/>
            <w:vAlign w:val="center"/>
          </w:tcPr>
          <w:p>
            <w:pPr>
              <w:pStyle w:val="103"/>
            </w:pPr>
            <w:r>
              <w:t>　</w:t>
            </w:r>
          </w:p>
        </w:tc>
      </w:tr>
      <w:tr>
        <w:tblPrEx>
          <w:tblCellMar>
            <w:top w:w="0" w:type="dxa"/>
            <w:left w:w="108" w:type="dxa"/>
            <w:bottom w:w="0" w:type="dxa"/>
            <w:right w:w="108" w:type="dxa"/>
          </w:tblCellMar>
        </w:tblPrEx>
        <w:trPr>
          <w:trHeight w:val="369" w:hRule="atLeast"/>
        </w:trPr>
        <w:tc>
          <w:tcPr>
            <w:tcW w:w="1040" w:type="dxa"/>
            <w:tcBorders>
              <w:top w:val="nil"/>
              <w:left w:val="single" w:color="auto" w:sz="8" w:space="0"/>
              <w:bottom w:val="single" w:color="auto" w:sz="8" w:space="0"/>
              <w:right w:val="single" w:color="auto" w:sz="8" w:space="0"/>
            </w:tcBorders>
            <w:shd w:val="clear" w:color="auto" w:fill="auto"/>
            <w:vAlign w:val="center"/>
          </w:tcPr>
          <w:p>
            <w:pPr>
              <w:pStyle w:val="103"/>
            </w:pPr>
            <w:r>
              <w:t>14</w:t>
            </w:r>
          </w:p>
        </w:tc>
        <w:tc>
          <w:tcPr>
            <w:tcW w:w="3486" w:type="dxa"/>
            <w:tcBorders>
              <w:top w:val="nil"/>
              <w:left w:val="nil"/>
              <w:bottom w:val="single" w:color="auto" w:sz="8" w:space="0"/>
              <w:right w:val="single" w:color="auto" w:sz="8" w:space="0"/>
            </w:tcBorders>
            <w:shd w:val="clear" w:color="auto" w:fill="auto"/>
            <w:vAlign w:val="center"/>
          </w:tcPr>
          <w:p>
            <w:pPr>
              <w:pStyle w:val="103"/>
            </w:pPr>
            <w:r>
              <w:t>迎宾大街—和平路十字路口</w:t>
            </w:r>
          </w:p>
        </w:tc>
        <w:tc>
          <w:tcPr>
            <w:tcW w:w="2835" w:type="dxa"/>
            <w:tcBorders>
              <w:top w:val="nil"/>
              <w:left w:val="nil"/>
              <w:bottom w:val="single" w:color="auto" w:sz="8" w:space="0"/>
              <w:right w:val="single" w:color="auto" w:sz="8" w:space="0"/>
            </w:tcBorders>
            <w:shd w:val="clear" w:color="auto" w:fill="auto"/>
            <w:vAlign w:val="center"/>
          </w:tcPr>
          <w:p>
            <w:pPr>
              <w:pStyle w:val="103"/>
            </w:pPr>
            <w:r>
              <w:t>交通智能主机1台</w:t>
            </w:r>
          </w:p>
        </w:tc>
        <w:tc>
          <w:tcPr>
            <w:tcW w:w="1843" w:type="dxa"/>
            <w:tcBorders>
              <w:top w:val="nil"/>
              <w:left w:val="nil"/>
              <w:bottom w:val="single" w:color="auto" w:sz="8" w:space="0"/>
              <w:right w:val="single" w:color="auto" w:sz="8" w:space="0"/>
            </w:tcBorders>
            <w:shd w:val="clear" w:color="auto" w:fill="auto"/>
            <w:vAlign w:val="center"/>
          </w:tcPr>
          <w:p>
            <w:pPr>
              <w:pStyle w:val="103"/>
            </w:pPr>
            <w:r>
              <w:t>　</w:t>
            </w:r>
          </w:p>
        </w:tc>
      </w:tr>
      <w:tr>
        <w:tblPrEx>
          <w:tblCellMar>
            <w:top w:w="0" w:type="dxa"/>
            <w:left w:w="108" w:type="dxa"/>
            <w:bottom w:w="0" w:type="dxa"/>
            <w:right w:w="108" w:type="dxa"/>
          </w:tblCellMar>
        </w:tblPrEx>
        <w:trPr>
          <w:trHeight w:val="345" w:hRule="atLeast"/>
        </w:trPr>
        <w:tc>
          <w:tcPr>
            <w:tcW w:w="1040" w:type="dxa"/>
            <w:tcBorders>
              <w:top w:val="nil"/>
              <w:left w:val="single" w:color="auto" w:sz="8" w:space="0"/>
              <w:bottom w:val="single" w:color="auto" w:sz="8" w:space="0"/>
              <w:right w:val="single" w:color="auto" w:sz="8" w:space="0"/>
            </w:tcBorders>
            <w:shd w:val="clear" w:color="auto" w:fill="auto"/>
            <w:vAlign w:val="center"/>
          </w:tcPr>
          <w:p>
            <w:pPr>
              <w:pStyle w:val="103"/>
            </w:pPr>
            <w:r>
              <w:t>15</w:t>
            </w:r>
          </w:p>
        </w:tc>
        <w:tc>
          <w:tcPr>
            <w:tcW w:w="3486" w:type="dxa"/>
            <w:tcBorders>
              <w:top w:val="nil"/>
              <w:left w:val="nil"/>
              <w:bottom w:val="single" w:color="auto" w:sz="8" w:space="0"/>
              <w:right w:val="single" w:color="auto" w:sz="8" w:space="0"/>
            </w:tcBorders>
            <w:shd w:val="clear" w:color="auto" w:fill="auto"/>
            <w:vAlign w:val="center"/>
          </w:tcPr>
          <w:p>
            <w:pPr>
              <w:pStyle w:val="103"/>
            </w:pPr>
            <w:r>
              <w:t>迎宾大街—林荫路口（真金酒店）</w:t>
            </w:r>
          </w:p>
        </w:tc>
        <w:tc>
          <w:tcPr>
            <w:tcW w:w="2835" w:type="dxa"/>
            <w:tcBorders>
              <w:top w:val="nil"/>
              <w:left w:val="nil"/>
              <w:bottom w:val="single" w:color="auto" w:sz="8" w:space="0"/>
              <w:right w:val="single" w:color="auto" w:sz="8" w:space="0"/>
            </w:tcBorders>
            <w:shd w:val="clear" w:color="auto" w:fill="auto"/>
            <w:vAlign w:val="center"/>
          </w:tcPr>
          <w:p>
            <w:pPr>
              <w:pStyle w:val="103"/>
            </w:pPr>
            <w:r>
              <w:t>交通智能主机1台</w:t>
            </w:r>
          </w:p>
        </w:tc>
        <w:tc>
          <w:tcPr>
            <w:tcW w:w="1843" w:type="dxa"/>
            <w:tcBorders>
              <w:top w:val="nil"/>
              <w:left w:val="nil"/>
              <w:bottom w:val="single" w:color="auto" w:sz="8" w:space="0"/>
              <w:right w:val="single" w:color="auto" w:sz="8" w:space="0"/>
            </w:tcBorders>
            <w:shd w:val="clear" w:color="auto" w:fill="auto"/>
            <w:vAlign w:val="center"/>
          </w:tcPr>
          <w:p>
            <w:pPr>
              <w:pStyle w:val="103"/>
            </w:pPr>
            <w:r>
              <w:t>　</w:t>
            </w:r>
          </w:p>
        </w:tc>
      </w:tr>
    </w:tbl>
    <w:p>
      <w:pPr>
        <w:ind w:firstLine="0" w:firstLineChars="0"/>
      </w:pPr>
    </w:p>
    <w:p>
      <w:pPr>
        <w:pStyle w:val="5"/>
      </w:pPr>
      <w:bookmarkStart w:id="74" w:name="_Toc112317360"/>
      <w:r>
        <w:t>桌面云系统</w:t>
      </w:r>
      <w:bookmarkEnd w:id="74"/>
    </w:p>
    <w:p>
      <w:r>
        <w:t>随着公安业务的不断发展和信息化建设的深入应用，公安系统种类、数量不断增加，对公安信息系统及其终端的运维和管理提出了巨大的挑战，维护效率低、安全管理风险大、硬件更新成本高等一系列问题愈显突出，因此资源整合及桌面集中变得越来越重要。</w:t>
      </w:r>
    </w:p>
    <w:p>
      <w:r>
        <w:t>通过分析各个部门的电脑终端目前使用的情况及整体的架构，部署桌面云方案可以解决信息资产安全无法保障、传统终端降低运维管理效率、运营成本居高不下等几个方面的问题，其核心技术桌面虚拟化是将本地电脑的桌面操作系统集中于后端服务器上运行，然后通过网络将可伸缩、弹性的共享物理或虚拟资源池按需供应和交付桌面，员工可使用瘦客户机在任意时间、任意地点访问属于自己的桌面环境。</w:t>
      </w:r>
    </w:p>
    <w:p>
      <w:pPr>
        <w:pStyle w:val="6"/>
      </w:pPr>
      <w:r>
        <w:rPr>
          <w:rFonts w:hint="eastAsia"/>
        </w:rPr>
        <w:t>服务</w:t>
      </w:r>
      <w:r>
        <w:t>内容</w:t>
      </w:r>
    </w:p>
    <w:p>
      <w:r>
        <w:t>采用桌面云方案可有效提高桌面办公的效率和规范性，解决达拉特旗公安局核心数据的安全问题。本项目通过超融合的方式的解决桌面云系统200客户端对于计算、存储及处理能力的要求，系统中其他组成部分本项目不考虑解决。具体服务参数需满足云桌面单点终端（≥4核8G、机械硬盘存储≥500G、固态硬盘≥50G）需求。</w:t>
      </w:r>
    </w:p>
    <w:p>
      <w:pPr>
        <w:pStyle w:val="4"/>
      </w:pPr>
      <w:bookmarkStart w:id="75" w:name="_Toc112169162"/>
      <w:bookmarkStart w:id="76" w:name="_Toc112317362"/>
      <w:r>
        <w:t>云存储系统</w:t>
      </w:r>
      <w:r>
        <w:rPr>
          <w:rFonts w:hint="eastAsia"/>
        </w:rPr>
        <w:t>服务方案</w:t>
      </w:r>
      <w:bookmarkEnd w:id="75"/>
      <w:bookmarkEnd w:id="76"/>
    </w:p>
    <w:p>
      <w:pPr>
        <w:pStyle w:val="5"/>
      </w:pPr>
      <w:bookmarkStart w:id="77" w:name="_Toc112317366"/>
      <w:bookmarkStart w:id="78" w:name="_Toc514688532"/>
      <w:r>
        <w:t>存储资源规划</w:t>
      </w:r>
      <w:bookmarkEnd w:id="77"/>
      <w:bookmarkEnd w:id="78"/>
    </w:p>
    <w:p>
      <w:r>
        <w:t>视频图像及结构化数据信息存储采用集中式存储策略，针对视频专网侧，本次新增智能抓拍前端和视频监控前端采集的视频图像数据存储于本次新增视频专网云存储设备；针对社会资源接入网侧，对接入社会资源的902路图像数据存储于新增的社会资源接入网SAN存储设备，具体存储策略说明如下：</w:t>
      </w:r>
    </w:p>
    <w:p>
      <w:r>
        <w:t>（1）采用云存储设备进行实时视频和过人、过车图片的高性能存储，其中视频专网侧实时视频存储不少于60天，人车图片进行存储保存，存储时间不少于365天，结构化数据存储时间不少于1年，社会面接入网侧实时人车图片存储时间不少于7天。</w:t>
      </w:r>
    </w:p>
    <w:p>
      <w:r>
        <w:t>（2）常态视频图像信息在保存期满后，如没有继续保存的需要，则被新的视频图像信息自动覆盖，超过长期保存期限的重要视频图像信息从存储空间中删除。</w:t>
      </w:r>
    </w:p>
    <w:p>
      <w:r>
        <w:t>（3）重要视频经人工方式或智能自动方式提取后可永久保存。</w:t>
      </w:r>
    </w:p>
    <w:p>
      <w:pPr>
        <w:pStyle w:val="5"/>
      </w:pPr>
      <w:bookmarkStart w:id="79" w:name="_Toc112317367"/>
      <w:r>
        <w:rPr>
          <w:rFonts w:hint="eastAsia"/>
        </w:rPr>
        <w:t>服务</w:t>
      </w:r>
      <w:r>
        <w:t>功能</w:t>
      </w:r>
      <w:bookmarkEnd w:id="79"/>
    </w:p>
    <w:p>
      <w:pPr>
        <w:pStyle w:val="6"/>
      </w:pPr>
      <w:r>
        <w:t>视图直存</w:t>
      </w:r>
    </w:p>
    <w:p>
      <w:r>
        <w:t>传统的流媒体服务器+存储系统方案中，所有的录像数据通过媒体服务器被转成标准的流媒体文件再进行存储，这种存储方式主要利用文件系统自身的特点，系统开发较为简单，但降低了监控存储的效率，除文件系统自身的不足之外，还会受到流媒体服务器能力的影响。随着监控规模日益扩大。需要将更多的流媒体服务器组成一个集群，但又会受限于集群能力。针对以上各种问题系统采取把视频流直接写入存储设备的方式，中间无需过多的转发环节，具有简单、高效、稳定、易扩展等特性。</w:t>
      </w:r>
    </w:p>
    <w:p>
      <w:r>
        <w:t>录像数据直写入存储系统的方式，缩短业务路径、优化读写效率的同时，可保障写入存储节点的数据不会受系统和其他设备的影响导致丢失。</w:t>
      </w:r>
    </w:p>
    <w:p>
      <w:r>
        <w:t>端到端存储，消除了全局故障点，容错性更高，即使宕机也不影响业务的正常运行，系统不存在性能瓶颈，保证了录像业务的可靠性。</w:t>
      </w:r>
    </w:p>
    <w:p>
      <w:r>
        <w:t>将流媒体转发与存储结合，不需要额外部署流媒体服务器，简化了系统结构，提升可靠性的同时节省整体成本。</w:t>
      </w:r>
    </w:p>
    <w:p>
      <w:r>
        <w:t>视频数据流采用直写方式存储到存储磁盘阵列上，且磁盘阵列自动负载均衡，大幅提高存储系统的效率。</w:t>
      </w:r>
    </w:p>
    <w:p>
      <w:pPr>
        <w:pStyle w:val="6"/>
      </w:pPr>
      <w:r>
        <w:t>图片聚合</w:t>
      </w:r>
    </w:p>
    <w:p>
      <w:r>
        <w:t>随着人工智能、云计算及大数据等信息技术的发展，智能监控应用都需要对海量图片存储和检索。由于图片大多是小文件，海量图片的存储是业界一大难题。例如智能解析产生的人脸图片，大约几十KB。而图片数量通常很大，因为图片留存期通常要求一年以上，累计下来的图片数量可能超过千亿。</w:t>
      </w:r>
    </w:p>
    <w:p>
      <w:r>
        <w:t>传统的文件系统已经很难支撑如此海量的文件存储场景。视图云存储系统采用图片聚合技术，将很多图片小文件合并成一个大文件进行存储，同时将图片合并到缓存按照指定大小对齐写入，提高写入性能。通过负载均衡算法，使图片数据均匀分布在各个逻辑存储单元中，将写IO性能发挥到最大化。</w:t>
      </w:r>
    </w:p>
    <w:p>
      <w:r>
        <w:t>图片聚合一方面减少了文件个数，减轻了元数据压力，使得视图云存储能够支持千亿级图片存储。另一方面将图片存储的IO模型从随机小IO变成了顺序大IO，更好地适应硬盘的写入原理，极大地提升了图片的存储性能。</w:t>
      </w:r>
    </w:p>
    <w:p>
      <w:pPr>
        <w:pStyle w:val="6"/>
      </w:pPr>
      <w:r>
        <w:t>缓存加速</w:t>
      </w:r>
    </w:p>
    <w:p>
      <w:r>
        <w:t>为了满足智能业务的高性能存储需求，视图云存储系统配置高速SSD盘，旨在机械硬盘之上，通过SSD盘高速缓存加速提升整个存储集群的读写性能，满足高性能业务需求。并通过独特的冷热数据分层机制，将热数据保存在内存+SSD组成的多级缓存分层中，极大的提升了数据命中的概率，提升读取效率。</w:t>
      </w:r>
    </w:p>
    <w:p>
      <w:r>
        <w:t xml:space="preserve"> </w:t>
      </w:r>
      <w:r>
        <w:drawing>
          <wp:inline distT="0" distB="0" distL="0" distR="0">
            <wp:extent cx="5274310" cy="2994660"/>
            <wp:effectExtent l="0" t="0" r="0" b="0"/>
            <wp:docPr id="184395" name="图片 18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5" name="图片 1843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74310" cy="2994660"/>
                    </a:xfrm>
                    <a:prstGeom prst="rect">
                      <a:avLst/>
                    </a:prstGeom>
                    <a:noFill/>
                    <a:ln>
                      <a:noFill/>
                    </a:ln>
                  </pic:spPr>
                </pic:pic>
              </a:graphicData>
            </a:graphic>
          </wp:inline>
        </w:drawing>
      </w:r>
    </w:p>
    <w:p>
      <w:r>
        <w:t>视图云存储系统具有强大的分级缓存机制，充分发挥了各级缓存在数据读取上的优势，在最大化提升性能的同时，也保证了数据的强一致性和可靠性。</w:t>
      </w:r>
    </w:p>
    <w:p>
      <w:r>
        <w:t>使用SSD作为写缓存，将随机写转化为顺序写，以序列化的方式写入SSD之后，可以立即响应客户的写请求，有效降低写延迟。</w:t>
      </w:r>
    </w:p>
    <w:p>
      <w:r>
        <w:t>使用SSD作为读缓存，在数据读取时，根据数据热度决定是否缓存在SSD中，有效提升热点数据读取性能。</w:t>
      </w:r>
    </w:p>
    <w:p>
      <w:r>
        <w:t>使用内存作为读写缓存，如果有数据频繁读取，热点数据会存放在内存中，进一步提升读取性能。且在数据写入SSD写缓存后还会存放在内存中，如果此时有数据写操作，可以进行IO合并，有效降低硬盘负载；如果此时有数据读取，可以直接从内存读取。因为数据已经写入SSD写缓冲，可以保证在系统异常时（掉电、节点故障等）数据不会丢失。</w:t>
      </w:r>
    </w:p>
    <w:p>
      <w:pPr>
        <w:pStyle w:val="6"/>
      </w:pPr>
      <w:r>
        <w:t>负载均衡</w:t>
      </w:r>
    </w:p>
    <w:p>
      <w:r>
        <w:t>为了满足大量用户的并发读写请求并更好的均衡连接请求，视图云存储系统引入了负载均衡特性，使得存储系统中的每台存储节点均可接入并处理客户端的连接请求。</w:t>
      </w:r>
    </w:p>
    <w:p>
      <w:r>
        <w:t>视图云存储系统的负载均衡特性是通过DNS域名解析+动态业务IP地址实现的。</w:t>
      </w:r>
    </w:p>
    <w:p>
      <w:r>
        <w:t>通过配置基于DNS的负载均衡策略，系统可以将用户请求均匀分配给集群中的存储节点，从而使请求能够被迅速处理，降低单个节点的业务负担，提升了整个集群的性能。并保证在任意节点发生故障时，自动进行IP迁移和数据切换，存储业务不中断，用户无感知。</w:t>
      </w:r>
    </w:p>
    <w:p>
      <w:pPr>
        <w:pStyle w:val="6"/>
      </w:pPr>
      <w:r>
        <w:t>存储容错</w:t>
      </w:r>
    </w:p>
    <w:p>
      <w:r>
        <w:t>视图云存储系统支持支持数据存储容错，包括读容错和读写容错两种模式。</w:t>
      </w:r>
    </w:p>
    <w:p>
      <w:r>
        <w:t>（1）读容错模式</w:t>
      </w:r>
    </w:p>
    <w:p>
      <w:r>
        <w:t>读容错模式下，文件数据损坏时，系统故障磁盘数量或故障节点数量超过冗余上限的情况下，如果剩余磁盘数大于1，则支持对数据文件进行修复，此时失效文件不影响其他正常视频数据的读取。</w:t>
      </w:r>
    </w:p>
    <w:p>
      <w:r>
        <w:t>（2）读写容错模式</w:t>
      </w:r>
    </w:p>
    <w:p>
      <w:r>
        <w:t>读写容错模式下，文件数据损坏时，系统故障磁盘数量或故障节点数量超过冗余上限的情况下，如果剩余磁盘数大于1，则支持对数据文件进行修复，失效文件仍然可读且可写。</w:t>
      </w:r>
    </w:p>
    <w:p>
      <w:pPr>
        <w:pStyle w:val="6"/>
      </w:pPr>
      <w:r>
        <w:t>数据保护</w:t>
      </w:r>
    </w:p>
    <w:p>
      <w:r>
        <w:t>随着数据存储规模的增长和数据类型的多样化，单节点和单盘故障概率会显著提升，从而使得用户对于海量数据的可靠性和安全性又有了更高的要求，如何最大限度的保证用户数据的安全和可恢复，成为各存储厂商产品实力比拼的关键要素。视图云存储系统采用多副本和纠删码对数据提供冗余保护，用户可根据业务需求，对不同数据制定不同的荣誉策略。</w:t>
      </w:r>
    </w:p>
    <w:p>
      <w:pPr>
        <w:pStyle w:val="7"/>
      </w:pPr>
      <w:r>
        <w:t>纠删码</w:t>
      </w:r>
    </w:p>
    <w:p>
      <w:r>
        <w:t>纠删码(Erasure Coding)是指将存储数据分割成片段，把冗余数据块扩展、编码，并将其存储在不同的位置，比如磁盘、存储节点等。视图云存储系统的实现采用ODC（Original Data Count，原始数据）+RDC（Redundant Data Count，冗余数据）模式，简称为K+M模式，K为原始数据分片的个数，M为冗余数据分片的个数，当节点数&lt;K+M时，每个节点存储不大于M个数据分片，当节点数&gt;=K+M时，每个节点存储1个数据分片。</w:t>
      </w:r>
    </w:p>
    <w:p>
      <w:r>
        <w:t>（1）跨节点纠删</w:t>
      </w:r>
    </w:p>
    <w:p>
      <w:r>
        <w:t>系统收到数据后将一份数据分割、计算，在原有的数据基础上获得校验数据块，然后将原始数据块和校验数据块写到不同的节点设备中，每个节点存放1个数据分片。在读取数据时，系统随机读取其中K个数据分片，然后编码恢复出完整数据块。系统最多允许同时M个节点故障，此时数据仍然可正常被访问，并自动恢复。</w:t>
      </w:r>
    </w:p>
    <w:p>
      <w:r>
        <w:t>（2）跨盘纠删</w:t>
      </w:r>
    </w:p>
    <w:p>
      <w:r>
        <w:t>系统收到数据后将一份数据分割、计算，在原有的数据基础上获得校验数据块，然后将原始数据块和校验数据块写到不同的磁盘中，每个节点可存放多个数据分片（不超过M个）。在读取数据时，系统随机读取其中K个数据分片，然后编码恢复出完整数据块。系统最多允许同时M个磁盘故障，此时数据仍然可正常被访问，并自动恢复。</w:t>
      </w:r>
    </w:p>
    <w:p>
      <w:r>
        <w:t>同副本策略相比，纠删码策略在同样的硬盘或节点配置下可以为用户提供更多的有效存储空间，磁盘利用率更高，达到可靠性和性价比的统一。</w:t>
      </w:r>
    </w:p>
    <w:p>
      <w:pPr>
        <w:pStyle w:val="7"/>
      </w:pPr>
      <w:r>
        <w:t>多副本</w:t>
      </w:r>
    </w:p>
    <w:p>
      <w:r>
        <w:t>多副本技术通过复制的方式将原始数据分片的多分冗余数据保存在不同的存储位置上，如磁盘、节点等，从而提高了数据存储的可靠性，只要保留一份副本，数据就是完整的。对于高价值数据，副本技术可以提供更高级别的数据保护。</w:t>
      </w:r>
    </w:p>
    <w:p>
      <w:r>
        <w:t>视图云储系统需支持2 ~ 5副本。</w:t>
      </w:r>
    </w:p>
    <w:p>
      <w:pPr>
        <w:pStyle w:val="7"/>
      </w:pPr>
      <w:r>
        <w:t>兼容开放</w:t>
      </w:r>
    </w:p>
    <w:p>
      <w:r>
        <w:t>视图云存储系统支持多种接口和协议。可提供标准POSIX接口，或可通过iSCSI、NAS等标准接口为业务平台提供存储服务，完成监控平台对存储的监控和管理，例如：前端设备的增、删、改、查、录像卷设置/查询、录像策略配置、录像操作、流控、存储设备状态报警等。</w:t>
      </w:r>
    </w:p>
    <w:p>
      <w:pPr>
        <w:pStyle w:val="5"/>
      </w:pPr>
      <w:bookmarkStart w:id="80" w:name="_Toc112317368"/>
      <w:r>
        <w:t>系统服务参数</w:t>
      </w:r>
      <w:bookmarkEnd w:id="80"/>
    </w:p>
    <w:p>
      <w:r>
        <w:t>本次新增云存储资源可统一池化，数据互通，统一运维，可对录像完整性统一检测，可保障原有设备存储容量在线扩展，云存储资源负载均衡可随着存储码流实时变化，存储负载可自动分配调度。</w:t>
      </w:r>
    </w:p>
    <w:p>
      <w:r>
        <w:t>性能要求：支持视频、图片直存。</w:t>
      </w:r>
    </w:p>
    <w:p>
      <w:r>
        <w:rPr>
          <w:rFonts w:hint="eastAsia"/>
        </w:rPr>
        <w:t>根据本次建设前端数量计算，社会资源侧视频图片及结构化存储池共需约7+1+0.8+0.05≈9TB裸存空间，按照云存储的冗余安全策略并留有一定冗余空间，视频图片存储系统物理存储空间不低于14.3TB规模；视频专网侧视频图片及结构化存储池共需约3862+1489+1.86≈5353TB裸存空间，按照云存储的冗余安全策略并留有一定冗余空间，视频图片存储系统物理存储空间不低于8328.57TB规模，除裸存外还需兼顾并发性能， 具体并发性能如下：</w:t>
      </w:r>
    </w:p>
    <w:p>
      <w:r>
        <w:rPr>
          <w:rFonts w:hint="eastAsia"/>
        </w:rPr>
        <w:t>（1）社会面侧，考虑902路前端图片流的实时写入（实时写入至社会面云存储）、读取（实时将大小图推送至视频专网视图库）性能，并发率按0.6张/秒，要求读写性能不低于1920Mbps；</w:t>
      </w:r>
    </w:p>
    <w:p>
      <w:r>
        <w:rPr>
          <w:rFonts w:hint="eastAsia"/>
        </w:rPr>
        <w:t>（2）视频专网侧，并发性能需满足2253路新建前端和200路视频实时解析产生的结构化图片的写入和读取，并发率按0.8张/秒，要求读写性能不低于7065Mbps；同时并发性能需满足1451路新建前端视频流的写入和读取，要求读写性能不低于5804Mbps；要求云存储整体并发性能不低于12869Mbps。</w:t>
      </w:r>
    </w:p>
    <w:p>
      <w:r>
        <w:rPr>
          <w:rFonts w:hint="eastAsia"/>
        </w:rPr>
        <w:t>本次云存储系统建设需同时考虑裸存及并发读写性能的要求。</w:t>
      </w:r>
      <w:r>
        <w:t>根据现场机柜数量、机房承重、裸存容量、并发业务量要求配置满足本次存储需求的设备（不限定每台设备的硬盘及盘位数）。</w:t>
      </w:r>
    </w:p>
    <w:p>
      <w:pPr>
        <w:pStyle w:val="4"/>
      </w:pPr>
      <w:bookmarkStart w:id="81" w:name="_Toc112169163"/>
      <w:bookmarkStart w:id="82" w:name="_Toc112317369"/>
      <w:r>
        <w:t>网络</w:t>
      </w:r>
      <w:r>
        <w:rPr>
          <w:rFonts w:hint="eastAsia"/>
        </w:rPr>
        <w:t>传输</w:t>
      </w:r>
      <w:r>
        <w:t>系统</w:t>
      </w:r>
      <w:r>
        <w:rPr>
          <w:rFonts w:hint="eastAsia"/>
        </w:rPr>
        <w:t>服务方案</w:t>
      </w:r>
      <w:bookmarkEnd w:id="81"/>
      <w:bookmarkEnd w:id="82"/>
    </w:p>
    <w:p>
      <w:pPr>
        <w:pStyle w:val="5"/>
      </w:pPr>
      <w:r>
        <w:t>网络设备要求</w:t>
      </w:r>
    </w:p>
    <w:p>
      <w:r>
        <w:t>项目实施单位需根据实际的网络需求配备相应的ONU/ONT、分光器、OLT、接入、汇聚、核心、管理、安全类的网络设备。</w:t>
      </w:r>
    </w:p>
    <w:p>
      <w:pPr>
        <w:pStyle w:val="5"/>
      </w:pPr>
      <w:r>
        <w:t>链路技术规划</w:t>
      </w:r>
    </w:p>
    <w:p>
      <w:r>
        <w:t>视频接入传输系统采用GPON或裸纤传输方式。前端视频采集点图像采用GPON或裸纤线路回传视频到中心机房进行统一接入。建议在前端视频采集点部署独立式ONU设备连接高清网络摄像机或编码设备，在公安局中心机房部署高性能核心交换机通过万兆网络接口连接本次新增汇聚的OLT设备（建议OLT设备放置于公安局中心机房），</w:t>
      </w:r>
      <w:r>
        <w:rPr>
          <w:rFonts w:hint="eastAsia"/>
        </w:rPr>
        <w:t>分光器分光比建议按照1：8考虑，</w:t>
      </w:r>
      <w:r>
        <w:t>实现前端视频图像的专网接入。在有特定需求的情况下，选用点对点光纤的方式通过以太网光端机实现视频的接入和回传。</w:t>
      </w:r>
    </w:p>
    <w:p>
      <w:pPr>
        <w:pStyle w:val="5"/>
      </w:pPr>
      <w:r>
        <w:t>租用链路明细</w:t>
      </w:r>
    </w:p>
    <w:tbl>
      <w:tblPr>
        <w:tblStyle w:val="35"/>
        <w:tblW w:w="9322" w:type="dxa"/>
        <w:jc w:val="center"/>
        <w:tblLayout w:type="autofit"/>
        <w:tblCellMar>
          <w:top w:w="0" w:type="dxa"/>
          <w:left w:w="108" w:type="dxa"/>
          <w:bottom w:w="0" w:type="dxa"/>
          <w:right w:w="108" w:type="dxa"/>
        </w:tblCellMar>
      </w:tblPr>
      <w:tblGrid>
        <w:gridCol w:w="1527"/>
        <w:gridCol w:w="3568"/>
        <w:gridCol w:w="2243"/>
        <w:gridCol w:w="992"/>
        <w:gridCol w:w="992"/>
      </w:tblGrid>
      <w:tr>
        <w:tblPrEx>
          <w:tblCellMar>
            <w:top w:w="0" w:type="dxa"/>
            <w:left w:w="108" w:type="dxa"/>
            <w:bottom w:w="0" w:type="dxa"/>
            <w:right w:w="108" w:type="dxa"/>
          </w:tblCellMar>
        </w:tblPrEx>
        <w:trPr>
          <w:trHeight w:val="312" w:hRule="atLeast"/>
          <w:tblHeader/>
          <w:jc w:val="center"/>
        </w:trPr>
        <w:tc>
          <w:tcPr>
            <w:tcW w:w="1527"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03"/>
              <w:rPr>
                <w:rFonts w:cs="Times New Roman"/>
              </w:rPr>
            </w:pPr>
            <w:r>
              <w:rPr>
                <w:rFonts w:cs="Times New Roman"/>
              </w:rPr>
              <w:t>建设类型</w:t>
            </w:r>
          </w:p>
        </w:tc>
        <w:tc>
          <w:tcPr>
            <w:tcW w:w="3568" w:type="dxa"/>
            <w:tcBorders>
              <w:top w:val="single" w:color="auto" w:sz="4" w:space="0"/>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链路起点</w:t>
            </w:r>
          </w:p>
        </w:tc>
        <w:tc>
          <w:tcPr>
            <w:tcW w:w="2243" w:type="dxa"/>
            <w:tcBorders>
              <w:top w:val="single" w:color="auto" w:sz="4" w:space="0"/>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链路终点</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数量</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链路带宽</w:t>
            </w:r>
          </w:p>
        </w:tc>
      </w:tr>
      <w:tr>
        <w:tblPrEx>
          <w:tblCellMar>
            <w:top w:w="0" w:type="dxa"/>
            <w:left w:w="108" w:type="dxa"/>
            <w:bottom w:w="0" w:type="dxa"/>
            <w:right w:w="108" w:type="dxa"/>
          </w:tblCellMar>
        </w:tblPrEx>
        <w:trPr>
          <w:trHeight w:val="312" w:hRule="atLeast"/>
          <w:jc w:val="center"/>
        </w:trPr>
        <w:tc>
          <w:tcPr>
            <w:tcW w:w="1527" w:type="dxa"/>
            <w:vMerge w:val="restart"/>
            <w:tcBorders>
              <w:top w:val="nil"/>
              <w:left w:val="single" w:color="auto" w:sz="4" w:space="0"/>
              <w:bottom w:val="single" w:color="auto" w:sz="4" w:space="0"/>
              <w:right w:val="single" w:color="auto" w:sz="4" w:space="0"/>
            </w:tcBorders>
            <w:shd w:val="clear" w:color="auto" w:fill="auto"/>
            <w:noWrap/>
            <w:vAlign w:val="center"/>
          </w:tcPr>
          <w:p>
            <w:pPr>
              <w:pStyle w:val="103"/>
              <w:rPr>
                <w:rFonts w:cs="Times New Roman"/>
              </w:rPr>
            </w:pPr>
            <w:r>
              <w:rPr>
                <w:rFonts w:cs="Times New Roman"/>
              </w:rPr>
              <w:t>新建监控系统</w:t>
            </w:r>
          </w:p>
        </w:tc>
        <w:tc>
          <w:tcPr>
            <w:tcW w:w="3568"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各类监控前端</w:t>
            </w:r>
          </w:p>
        </w:tc>
        <w:tc>
          <w:tcPr>
            <w:tcW w:w="2243" w:type="dxa"/>
            <w:vMerge w:val="restart"/>
            <w:tcBorders>
              <w:top w:val="nil"/>
              <w:left w:val="single" w:color="auto" w:sz="4" w:space="0"/>
              <w:bottom w:val="single" w:color="auto" w:sz="4" w:space="0"/>
              <w:right w:val="single" w:color="auto" w:sz="4" w:space="0"/>
            </w:tcBorders>
            <w:shd w:val="clear" w:color="auto" w:fill="auto"/>
            <w:noWrap/>
            <w:vAlign w:val="center"/>
          </w:tcPr>
          <w:p>
            <w:pPr>
              <w:pStyle w:val="103"/>
              <w:rPr>
                <w:rFonts w:cs="Times New Roman"/>
              </w:rPr>
            </w:pPr>
            <w:r>
              <w:rPr>
                <w:rFonts w:cs="Times New Roman"/>
              </w:rPr>
              <w:t>达旗公安局中心机房</w:t>
            </w: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610</w:t>
            </w: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100M</w:t>
            </w:r>
          </w:p>
        </w:tc>
      </w:tr>
      <w:tr>
        <w:tblPrEx>
          <w:tblCellMar>
            <w:top w:w="0" w:type="dxa"/>
            <w:left w:w="108" w:type="dxa"/>
            <w:bottom w:w="0" w:type="dxa"/>
            <w:right w:w="108" w:type="dxa"/>
          </w:tblCellMar>
        </w:tblPrEx>
        <w:trPr>
          <w:trHeight w:val="312" w:hRule="atLeast"/>
          <w:jc w:val="center"/>
        </w:trPr>
        <w:tc>
          <w:tcPr>
            <w:tcW w:w="1527"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3568"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重点单位</w:t>
            </w:r>
          </w:p>
        </w:tc>
        <w:tc>
          <w:tcPr>
            <w:tcW w:w="2243"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262</w:t>
            </w: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100M</w:t>
            </w:r>
          </w:p>
        </w:tc>
      </w:tr>
      <w:tr>
        <w:tblPrEx>
          <w:tblCellMar>
            <w:top w:w="0" w:type="dxa"/>
            <w:left w:w="108" w:type="dxa"/>
            <w:bottom w:w="0" w:type="dxa"/>
            <w:right w:w="108" w:type="dxa"/>
          </w:tblCellMar>
        </w:tblPrEx>
        <w:trPr>
          <w:trHeight w:val="312" w:hRule="atLeast"/>
          <w:jc w:val="center"/>
        </w:trPr>
        <w:tc>
          <w:tcPr>
            <w:tcW w:w="1527"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3568"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住宅小区</w:t>
            </w:r>
          </w:p>
        </w:tc>
        <w:tc>
          <w:tcPr>
            <w:tcW w:w="2243"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189</w:t>
            </w: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100M</w:t>
            </w:r>
          </w:p>
        </w:tc>
      </w:tr>
      <w:tr>
        <w:tblPrEx>
          <w:tblCellMar>
            <w:top w:w="0" w:type="dxa"/>
            <w:left w:w="108" w:type="dxa"/>
            <w:bottom w:w="0" w:type="dxa"/>
            <w:right w:w="108" w:type="dxa"/>
          </w:tblCellMar>
        </w:tblPrEx>
        <w:trPr>
          <w:trHeight w:val="624" w:hRule="atLeast"/>
          <w:jc w:val="center"/>
        </w:trPr>
        <w:tc>
          <w:tcPr>
            <w:tcW w:w="1527" w:type="dxa"/>
            <w:vMerge w:val="restart"/>
            <w:tcBorders>
              <w:top w:val="nil"/>
              <w:left w:val="single" w:color="auto" w:sz="4" w:space="0"/>
              <w:bottom w:val="single" w:color="auto" w:sz="4" w:space="0"/>
              <w:right w:val="single" w:color="auto" w:sz="4" w:space="0"/>
            </w:tcBorders>
            <w:shd w:val="clear" w:color="auto" w:fill="auto"/>
            <w:vAlign w:val="center"/>
          </w:tcPr>
          <w:p>
            <w:pPr>
              <w:pStyle w:val="103"/>
              <w:rPr>
                <w:rFonts w:cs="Times New Roman"/>
              </w:rPr>
            </w:pPr>
            <w:r>
              <w:rPr>
                <w:rFonts w:cs="Times New Roman"/>
              </w:rPr>
              <w:t>上下级部门资源接入</w:t>
            </w:r>
          </w:p>
        </w:tc>
        <w:tc>
          <w:tcPr>
            <w:tcW w:w="3568"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6个街道办</w:t>
            </w:r>
          </w:p>
        </w:tc>
        <w:tc>
          <w:tcPr>
            <w:tcW w:w="2243"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6</w:t>
            </w: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400M</w:t>
            </w:r>
          </w:p>
        </w:tc>
      </w:tr>
      <w:tr>
        <w:tblPrEx>
          <w:tblCellMar>
            <w:top w:w="0" w:type="dxa"/>
            <w:left w:w="108" w:type="dxa"/>
            <w:bottom w:w="0" w:type="dxa"/>
            <w:right w:w="108" w:type="dxa"/>
          </w:tblCellMar>
        </w:tblPrEx>
        <w:trPr>
          <w:trHeight w:val="312" w:hRule="atLeast"/>
          <w:jc w:val="center"/>
        </w:trPr>
        <w:tc>
          <w:tcPr>
            <w:tcW w:w="1527"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3568"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9个乡政府</w:t>
            </w:r>
          </w:p>
        </w:tc>
        <w:tc>
          <w:tcPr>
            <w:tcW w:w="2243"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9</w:t>
            </w: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400M</w:t>
            </w:r>
          </w:p>
        </w:tc>
      </w:tr>
      <w:tr>
        <w:tblPrEx>
          <w:tblCellMar>
            <w:top w:w="0" w:type="dxa"/>
            <w:left w:w="108" w:type="dxa"/>
            <w:bottom w:w="0" w:type="dxa"/>
            <w:right w:w="108" w:type="dxa"/>
          </w:tblCellMar>
        </w:tblPrEx>
        <w:trPr>
          <w:trHeight w:val="312" w:hRule="atLeast"/>
          <w:jc w:val="center"/>
        </w:trPr>
        <w:tc>
          <w:tcPr>
            <w:tcW w:w="1527"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3568"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9个乡镇派出所</w:t>
            </w:r>
          </w:p>
        </w:tc>
        <w:tc>
          <w:tcPr>
            <w:tcW w:w="2243"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9</w:t>
            </w: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400M</w:t>
            </w:r>
          </w:p>
        </w:tc>
      </w:tr>
      <w:tr>
        <w:tblPrEx>
          <w:tblCellMar>
            <w:top w:w="0" w:type="dxa"/>
            <w:left w:w="108" w:type="dxa"/>
            <w:bottom w:w="0" w:type="dxa"/>
            <w:right w:w="108" w:type="dxa"/>
          </w:tblCellMar>
        </w:tblPrEx>
        <w:trPr>
          <w:trHeight w:val="312" w:hRule="atLeast"/>
          <w:jc w:val="center"/>
        </w:trPr>
        <w:tc>
          <w:tcPr>
            <w:tcW w:w="1527"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3568"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政法委部门</w:t>
            </w:r>
          </w:p>
        </w:tc>
        <w:tc>
          <w:tcPr>
            <w:tcW w:w="2243"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1</w:t>
            </w: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1000M</w:t>
            </w:r>
          </w:p>
        </w:tc>
      </w:tr>
      <w:tr>
        <w:tblPrEx>
          <w:tblCellMar>
            <w:top w:w="0" w:type="dxa"/>
            <w:left w:w="108" w:type="dxa"/>
            <w:bottom w:w="0" w:type="dxa"/>
            <w:right w:w="108" w:type="dxa"/>
          </w:tblCellMar>
        </w:tblPrEx>
        <w:trPr>
          <w:trHeight w:val="312" w:hRule="atLeast"/>
          <w:jc w:val="center"/>
        </w:trPr>
        <w:tc>
          <w:tcPr>
            <w:tcW w:w="1527" w:type="dxa"/>
            <w:vMerge w:val="restart"/>
            <w:tcBorders>
              <w:top w:val="nil"/>
              <w:left w:val="single" w:color="auto" w:sz="4" w:space="0"/>
              <w:bottom w:val="single" w:color="auto" w:sz="4" w:space="0"/>
              <w:right w:val="single" w:color="auto" w:sz="4" w:space="0"/>
            </w:tcBorders>
            <w:shd w:val="clear" w:color="auto" w:fill="auto"/>
            <w:vAlign w:val="center"/>
          </w:tcPr>
          <w:p>
            <w:pPr>
              <w:pStyle w:val="103"/>
              <w:rPr>
                <w:rFonts w:cs="Times New Roman"/>
              </w:rPr>
            </w:pPr>
            <w:r>
              <w:rPr>
                <w:rFonts w:cs="Times New Roman"/>
              </w:rPr>
              <w:t>旧卡口25个光缆对接</w:t>
            </w:r>
          </w:p>
        </w:tc>
        <w:tc>
          <w:tcPr>
            <w:tcW w:w="3568"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黄河大桥检查站进鄂尔多斯方向</w:t>
            </w:r>
          </w:p>
        </w:tc>
        <w:tc>
          <w:tcPr>
            <w:tcW w:w="2243"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1</w:t>
            </w: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200M</w:t>
            </w:r>
          </w:p>
        </w:tc>
      </w:tr>
      <w:tr>
        <w:tblPrEx>
          <w:tblCellMar>
            <w:top w:w="0" w:type="dxa"/>
            <w:left w:w="108" w:type="dxa"/>
            <w:bottom w:w="0" w:type="dxa"/>
            <w:right w:w="108" w:type="dxa"/>
          </w:tblCellMar>
        </w:tblPrEx>
        <w:trPr>
          <w:trHeight w:val="312" w:hRule="atLeast"/>
          <w:jc w:val="center"/>
        </w:trPr>
        <w:tc>
          <w:tcPr>
            <w:tcW w:w="1527"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3568"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德胜太公安检查站</w:t>
            </w:r>
          </w:p>
        </w:tc>
        <w:tc>
          <w:tcPr>
            <w:tcW w:w="2243"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1</w:t>
            </w: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200M</w:t>
            </w:r>
          </w:p>
        </w:tc>
      </w:tr>
      <w:tr>
        <w:tblPrEx>
          <w:tblCellMar>
            <w:top w:w="0" w:type="dxa"/>
            <w:left w:w="108" w:type="dxa"/>
            <w:bottom w:w="0" w:type="dxa"/>
            <w:right w:w="108" w:type="dxa"/>
          </w:tblCellMar>
        </w:tblPrEx>
        <w:trPr>
          <w:trHeight w:val="312" w:hRule="atLeast"/>
          <w:jc w:val="center"/>
        </w:trPr>
        <w:tc>
          <w:tcPr>
            <w:tcW w:w="1527"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3568"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榆林子公安检查站</w:t>
            </w:r>
          </w:p>
        </w:tc>
        <w:tc>
          <w:tcPr>
            <w:tcW w:w="2243"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1</w:t>
            </w: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200M</w:t>
            </w:r>
          </w:p>
        </w:tc>
      </w:tr>
      <w:tr>
        <w:tblPrEx>
          <w:tblCellMar>
            <w:top w:w="0" w:type="dxa"/>
            <w:left w:w="108" w:type="dxa"/>
            <w:bottom w:w="0" w:type="dxa"/>
            <w:right w:w="108" w:type="dxa"/>
          </w:tblCellMar>
        </w:tblPrEx>
        <w:trPr>
          <w:trHeight w:val="312" w:hRule="atLeast"/>
          <w:jc w:val="center"/>
        </w:trPr>
        <w:tc>
          <w:tcPr>
            <w:tcW w:w="1527"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3568"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召圪梁公安检查站</w:t>
            </w:r>
          </w:p>
        </w:tc>
        <w:tc>
          <w:tcPr>
            <w:tcW w:w="2243"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1</w:t>
            </w: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200M</w:t>
            </w:r>
          </w:p>
        </w:tc>
      </w:tr>
      <w:tr>
        <w:tblPrEx>
          <w:tblCellMar>
            <w:top w:w="0" w:type="dxa"/>
            <w:left w:w="108" w:type="dxa"/>
            <w:bottom w:w="0" w:type="dxa"/>
            <w:right w:w="108" w:type="dxa"/>
          </w:tblCellMar>
        </w:tblPrEx>
        <w:trPr>
          <w:trHeight w:val="564" w:hRule="atLeast"/>
          <w:jc w:val="center"/>
        </w:trPr>
        <w:tc>
          <w:tcPr>
            <w:tcW w:w="1527"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3568"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昭君坟公安检查站</w:t>
            </w:r>
          </w:p>
        </w:tc>
        <w:tc>
          <w:tcPr>
            <w:tcW w:w="2243"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1</w:t>
            </w: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200M</w:t>
            </w:r>
          </w:p>
        </w:tc>
      </w:tr>
      <w:tr>
        <w:tblPrEx>
          <w:tblCellMar>
            <w:top w:w="0" w:type="dxa"/>
            <w:left w:w="108" w:type="dxa"/>
            <w:bottom w:w="0" w:type="dxa"/>
            <w:right w:w="108" w:type="dxa"/>
          </w:tblCellMar>
        </w:tblPrEx>
        <w:trPr>
          <w:trHeight w:val="312" w:hRule="atLeast"/>
          <w:jc w:val="center"/>
        </w:trPr>
        <w:tc>
          <w:tcPr>
            <w:tcW w:w="1527"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3568"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新民堡公安检查站</w:t>
            </w:r>
          </w:p>
        </w:tc>
        <w:tc>
          <w:tcPr>
            <w:tcW w:w="2243"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1</w:t>
            </w: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200M</w:t>
            </w:r>
          </w:p>
        </w:tc>
      </w:tr>
      <w:tr>
        <w:tblPrEx>
          <w:tblCellMar>
            <w:top w:w="0" w:type="dxa"/>
            <w:left w:w="108" w:type="dxa"/>
            <w:bottom w:w="0" w:type="dxa"/>
            <w:right w:w="108" w:type="dxa"/>
          </w:tblCellMar>
        </w:tblPrEx>
        <w:trPr>
          <w:trHeight w:val="540" w:hRule="atLeast"/>
          <w:jc w:val="center"/>
        </w:trPr>
        <w:tc>
          <w:tcPr>
            <w:tcW w:w="1527"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3568"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达准路卡口</w:t>
            </w:r>
          </w:p>
        </w:tc>
        <w:tc>
          <w:tcPr>
            <w:tcW w:w="2243"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1</w:t>
            </w: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200M</w:t>
            </w:r>
          </w:p>
        </w:tc>
      </w:tr>
      <w:tr>
        <w:tblPrEx>
          <w:tblCellMar>
            <w:top w:w="0" w:type="dxa"/>
            <w:left w:w="108" w:type="dxa"/>
            <w:bottom w:w="0" w:type="dxa"/>
            <w:right w:w="108" w:type="dxa"/>
          </w:tblCellMar>
        </w:tblPrEx>
        <w:trPr>
          <w:trHeight w:val="312" w:hRule="atLeast"/>
          <w:jc w:val="center"/>
        </w:trPr>
        <w:tc>
          <w:tcPr>
            <w:tcW w:w="1527"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3568"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九小渡口河坝</w:t>
            </w:r>
          </w:p>
        </w:tc>
        <w:tc>
          <w:tcPr>
            <w:tcW w:w="2243"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1</w:t>
            </w: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200M</w:t>
            </w:r>
          </w:p>
        </w:tc>
      </w:tr>
      <w:tr>
        <w:tblPrEx>
          <w:tblCellMar>
            <w:top w:w="0" w:type="dxa"/>
            <w:left w:w="108" w:type="dxa"/>
            <w:bottom w:w="0" w:type="dxa"/>
            <w:right w:w="108" w:type="dxa"/>
          </w:tblCellMar>
        </w:tblPrEx>
        <w:trPr>
          <w:trHeight w:val="312" w:hRule="atLeast"/>
          <w:jc w:val="center"/>
        </w:trPr>
        <w:tc>
          <w:tcPr>
            <w:tcW w:w="1527"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3568"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关碾坊下高速口</w:t>
            </w:r>
          </w:p>
        </w:tc>
        <w:tc>
          <w:tcPr>
            <w:tcW w:w="2243"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1</w:t>
            </w: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200M</w:t>
            </w:r>
          </w:p>
        </w:tc>
      </w:tr>
      <w:tr>
        <w:tblPrEx>
          <w:tblCellMar>
            <w:top w:w="0" w:type="dxa"/>
            <w:left w:w="108" w:type="dxa"/>
            <w:bottom w:w="0" w:type="dxa"/>
            <w:right w:w="108" w:type="dxa"/>
          </w:tblCellMar>
        </w:tblPrEx>
        <w:trPr>
          <w:trHeight w:val="312" w:hRule="atLeast"/>
          <w:jc w:val="center"/>
        </w:trPr>
        <w:tc>
          <w:tcPr>
            <w:tcW w:w="1527"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3568"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吉格斯太与沿黄出口</w:t>
            </w:r>
          </w:p>
        </w:tc>
        <w:tc>
          <w:tcPr>
            <w:tcW w:w="2243"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1</w:t>
            </w: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200M</w:t>
            </w:r>
          </w:p>
        </w:tc>
      </w:tr>
      <w:tr>
        <w:tblPrEx>
          <w:tblCellMar>
            <w:top w:w="0" w:type="dxa"/>
            <w:left w:w="108" w:type="dxa"/>
            <w:bottom w:w="0" w:type="dxa"/>
            <w:right w:w="108" w:type="dxa"/>
          </w:tblCellMar>
        </w:tblPrEx>
        <w:trPr>
          <w:trHeight w:val="312" w:hRule="atLeast"/>
          <w:jc w:val="center"/>
        </w:trPr>
        <w:tc>
          <w:tcPr>
            <w:tcW w:w="1527"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3568"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景观大道与大树湾十字路口</w:t>
            </w:r>
          </w:p>
        </w:tc>
        <w:tc>
          <w:tcPr>
            <w:tcW w:w="2243"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1</w:t>
            </w: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200M</w:t>
            </w:r>
          </w:p>
        </w:tc>
      </w:tr>
      <w:tr>
        <w:tblPrEx>
          <w:tblCellMar>
            <w:top w:w="0" w:type="dxa"/>
            <w:left w:w="108" w:type="dxa"/>
            <w:bottom w:w="0" w:type="dxa"/>
            <w:right w:w="108" w:type="dxa"/>
          </w:tblCellMar>
        </w:tblPrEx>
        <w:trPr>
          <w:trHeight w:val="312" w:hRule="atLeast"/>
          <w:jc w:val="center"/>
        </w:trPr>
        <w:tc>
          <w:tcPr>
            <w:tcW w:w="1527"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3568"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经七路与沿黄公路</w:t>
            </w:r>
          </w:p>
        </w:tc>
        <w:tc>
          <w:tcPr>
            <w:tcW w:w="2243"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1</w:t>
            </w: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200M</w:t>
            </w:r>
          </w:p>
        </w:tc>
      </w:tr>
      <w:tr>
        <w:tblPrEx>
          <w:tblCellMar>
            <w:top w:w="0" w:type="dxa"/>
            <w:left w:w="108" w:type="dxa"/>
            <w:bottom w:w="0" w:type="dxa"/>
            <w:right w:w="108" w:type="dxa"/>
          </w:tblCellMar>
        </w:tblPrEx>
        <w:trPr>
          <w:trHeight w:val="312" w:hRule="atLeast"/>
          <w:jc w:val="center"/>
        </w:trPr>
        <w:tc>
          <w:tcPr>
            <w:tcW w:w="1527"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3568"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北绕城与G210国道交叉口</w:t>
            </w:r>
          </w:p>
        </w:tc>
        <w:tc>
          <w:tcPr>
            <w:tcW w:w="2243"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1</w:t>
            </w: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200M</w:t>
            </w:r>
          </w:p>
        </w:tc>
      </w:tr>
      <w:tr>
        <w:tblPrEx>
          <w:tblCellMar>
            <w:top w:w="0" w:type="dxa"/>
            <w:left w:w="108" w:type="dxa"/>
            <w:bottom w:w="0" w:type="dxa"/>
            <w:right w:w="108" w:type="dxa"/>
          </w:tblCellMar>
        </w:tblPrEx>
        <w:trPr>
          <w:trHeight w:val="312" w:hRule="atLeast"/>
          <w:jc w:val="center"/>
        </w:trPr>
        <w:tc>
          <w:tcPr>
            <w:tcW w:w="1527"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3568"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三垧梁快速通道</w:t>
            </w:r>
          </w:p>
        </w:tc>
        <w:tc>
          <w:tcPr>
            <w:tcW w:w="2243"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1</w:t>
            </w: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200M</w:t>
            </w:r>
          </w:p>
        </w:tc>
      </w:tr>
      <w:tr>
        <w:tblPrEx>
          <w:tblCellMar>
            <w:top w:w="0" w:type="dxa"/>
            <w:left w:w="108" w:type="dxa"/>
            <w:bottom w:w="0" w:type="dxa"/>
            <w:right w:w="108" w:type="dxa"/>
          </w:tblCellMar>
        </w:tblPrEx>
        <w:trPr>
          <w:trHeight w:val="312" w:hRule="atLeast"/>
          <w:jc w:val="center"/>
        </w:trPr>
        <w:tc>
          <w:tcPr>
            <w:tcW w:w="1527"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3568"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迎宾大街雕塑附近</w:t>
            </w:r>
          </w:p>
        </w:tc>
        <w:tc>
          <w:tcPr>
            <w:tcW w:w="2243"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1</w:t>
            </w: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200M</w:t>
            </w:r>
          </w:p>
        </w:tc>
      </w:tr>
      <w:tr>
        <w:tblPrEx>
          <w:tblCellMar>
            <w:top w:w="0" w:type="dxa"/>
            <w:left w:w="108" w:type="dxa"/>
            <w:bottom w:w="0" w:type="dxa"/>
            <w:right w:w="108" w:type="dxa"/>
          </w:tblCellMar>
        </w:tblPrEx>
        <w:trPr>
          <w:trHeight w:val="312" w:hRule="atLeast"/>
          <w:jc w:val="center"/>
        </w:trPr>
        <w:tc>
          <w:tcPr>
            <w:tcW w:w="1527"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3568"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景观大道出城卡口</w:t>
            </w:r>
          </w:p>
        </w:tc>
        <w:tc>
          <w:tcPr>
            <w:tcW w:w="2243"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1</w:t>
            </w: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200M</w:t>
            </w:r>
          </w:p>
        </w:tc>
      </w:tr>
      <w:tr>
        <w:tblPrEx>
          <w:tblCellMar>
            <w:top w:w="0" w:type="dxa"/>
            <w:left w:w="108" w:type="dxa"/>
            <w:bottom w:w="0" w:type="dxa"/>
            <w:right w:w="108" w:type="dxa"/>
          </w:tblCellMar>
        </w:tblPrEx>
        <w:trPr>
          <w:trHeight w:val="312" w:hRule="atLeast"/>
          <w:jc w:val="center"/>
        </w:trPr>
        <w:tc>
          <w:tcPr>
            <w:tcW w:w="1527"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3568"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往包头出城方向出城卡口</w:t>
            </w:r>
          </w:p>
        </w:tc>
        <w:tc>
          <w:tcPr>
            <w:tcW w:w="2243"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1</w:t>
            </w: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200M</w:t>
            </w:r>
          </w:p>
        </w:tc>
      </w:tr>
      <w:tr>
        <w:tblPrEx>
          <w:tblCellMar>
            <w:top w:w="0" w:type="dxa"/>
            <w:left w:w="108" w:type="dxa"/>
            <w:bottom w:w="0" w:type="dxa"/>
            <w:right w:w="108" w:type="dxa"/>
          </w:tblCellMar>
        </w:tblPrEx>
        <w:trPr>
          <w:trHeight w:val="312" w:hRule="atLeast"/>
          <w:jc w:val="center"/>
        </w:trPr>
        <w:tc>
          <w:tcPr>
            <w:tcW w:w="1527"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3568"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耳字壕低速</w:t>
            </w:r>
          </w:p>
        </w:tc>
        <w:tc>
          <w:tcPr>
            <w:tcW w:w="2243"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1</w:t>
            </w: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200M</w:t>
            </w:r>
          </w:p>
        </w:tc>
      </w:tr>
      <w:tr>
        <w:tblPrEx>
          <w:tblCellMar>
            <w:top w:w="0" w:type="dxa"/>
            <w:left w:w="108" w:type="dxa"/>
            <w:bottom w:w="0" w:type="dxa"/>
            <w:right w:w="108" w:type="dxa"/>
          </w:tblCellMar>
        </w:tblPrEx>
        <w:trPr>
          <w:trHeight w:val="312" w:hRule="atLeast"/>
          <w:jc w:val="center"/>
        </w:trPr>
        <w:tc>
          <w:tcPr>
            <w:tcW w:w="1527"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3568"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电厂运煤线停车场卡口</w:t>
            </w:r>
          </w:p>
        </w:tc>
        <w:tc>
          <w:tcPr>
            <w:tcW w:w="2243"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1</w:t>
            </w: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200M</w:t>
            </w:r>
          </w:p>
        </w:tc>
      </w:tr>
      <w:tr>
        <w:tblPrEx>
          <w:tblCellMar>
            <w:top w:w="0" w:type="dxa"/>
            <w:left w:w="108" w:type="dxa"/>
            <w:bottom w:w="0" w:type="dxa"/>
            <w:right w:w="108" w:type="dxa"/>
          </w:tblCellMar>
        </w:tblPrEx>
        <w:trPr>
          <w:trHeight w:val="312" w:hRule="atLeast"/>
          <w:jc w:val="center"/>
        </w:trPr>
        <w:tc>
          <w:tcPr>
            <w:tcW w:w="1527"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3568"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绕城路与迎宾大街路口</w:t>
            </w:r>
          </w:p>
        </w:tc>
        <w:tc>
          <w:tcPr>
            <w:tcW w:w="2243"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1</w:t>
            </w: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200M</w:t>
            </w:r>
          </w:p>
        </w:tc>
      </w:tr>
      <w:tr>
        <w:tblPrEx>
          <w:tblCellMar>
            <w:top w:w="0" w:type="dxa"/>
            <w:left w:w="108" w:type="dxa"/>
            <w:bottom w:w="0" w:type="dxa"/>
            <w:right w:w="108" w:type="dxa"/>
          </w:tblCellMar>
        </w:tblPrEx>
        <w:trPr>
          <w:trHeight w:val="312" w:hRule="atLeast"/>
          <w:jc w:val="center"/>
        </w:trPr>
        <w:tc>
          <w:tcPr>
            <w:tcW w:w="1527"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3568"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达准交界处</w:t>
            </w:r>
          </w:p>
        </w:tc>
        <w:tc>
          <w:tcPr>
            <w:tcW w:w="2243"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1</w:t>
            </w: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200M</w:t>
            </w:r>
          </w:p>
        </w:tc>
      </w:tr>
      <w:tr>
        <w:tblPrEx>
          <w:tblCellMar>
            <w:top w:w="0" w:type="dxa"/>
            <w:left w:w="108" w:type="dxa"/>
            <w:bottom w:w="0" w:type="dxa"/>
            <w:right w:w="108" w:type="dxa"/>
          </w:tblCellMar>
        </w:tblPrEx>
        <w:trPr>
          <w:trHeight w:val="312" w:hRule="atLeast"/>
          <w:jc w:val="center"/>
        </w:trPr>
        <w:tc>
          <w:tcPr>
            <w:tcW w:w="1527"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3568"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吉格斯台镇德萨线十字路口</w:t>
            </w:r>
          </w:p>
        </w:tc>
        <w:tc>
          <w:tcPr>
            <w:tcW w:w="2243"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1</w:t>
            </w: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200M</w:t>
            </w:r>
          </w:p>
        </w:tc>
      </w:tr>
      <w:tr>
        <w:tblPrEx>
          <w:tblCellMar>
            <w:top w:w="0" w:type="dxa"/>
            <w:left w:w="108" w:type="dxa"/>
            <w:bottom w:w="0" w:type="dxa"/>
            <w:right w:w="108" w:type="dxa"/>
          </w:tblCellMar>
        </w:tblPrEx>
        <w:trPr>
          <w:trHeight w:val="312" w:hRule="atLeast"/>
          <w:jc w:val="center"/>
        </w:trPr>
        <w:tc>
          <w:tcPr>
            <w:tcW w:w="1527"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3568"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吉格斯台镇德萨线十字路口</w:t>
            </w:r>
          </w:p>
        </w:tc>
        <w:tc>
          <w:tcPr>
            <w:tcW w:w="2243"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1</w:t>
            </w: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200M</w:t>
            </w:r>
          </w:p>
        </w:tc>
      </w:tr>
      <w:tr>
        <w:tblPrEx>
          <w:tblCellMar>
            <w:top w:w="0" w:type="dxa"/>
            <w:left w:w="108" w:type="dxa"/>
            <w:bottom w:w="0" w:type="dxa"/>
            <w:right w:w="108" w:type="dxa"/>
          </w:tblCellMar>
        </w:tblPrEx>
        <w:trPr>
          <w:trHeight w:val="312" w:hRule="atLeast"/>
          <w:jc w:val="center"/>
        </w:trPr>
        <w:tc>
          <w:tcPr>
            <w:tcW w:w="1527"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3568"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关展线与沿黄连接线</w:t>
            </w:r>
          </w:p>
        </w:tc>
        <w:tc>
          <w:tcPr>
            <w:tcW w:w="2243"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1</w:t>
            </w: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200M</w:t>
            </w:r>
          </w:p>
        </w:tc>
      </w:tr>
      <w:tr>
        <w:tblPrEx>
          <w:tblCellMar>
            <w:top w:w="0" w:type="dxa"/>
            <w:left w:w="108" w:type="dxa"/>
            <w:bottom w:w="0" w:type="dxa"/>
            <w:right w:w="108" w:type="dxa"/>
          </w:tblCellMar>
        </w:tblPrEx>
        <w:trPr>
          <w:trHeight w:val="312" w:hRule="atLeast"/>
          <w:jc w:val="center"/>
        </w:trPr>
        <w:tc>
          <w:tcPr>
            <w:tcW w:w="1527"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3568"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迎宾西与解柴线</w:t>
            </w:r>
          </w:p>
        </w:tc>
        <w:tc>
          <w:tcPr>
            <w:tcW w:w="2243" w:type="dxa"/>
            <w:vMerge w:val="continue"/>
            <w:tcBorders>
              <w:top w:val="nil"/>
              <w:left w:val="single" w:color="auto" w:sz="4" w:space="0"/>
              <w:bottom w:val="single" w:color="auto" w:sz="4" w:space="0"/>
              <w:right w:val="single" w:color="auto" w:sz="4" w:space="0"/>
            </w:tcBorders>
            <w:vAlign w:val="center"/>
          </w:tcPr>
          <w:p>
            <w:pPr>
              <w:pStyle w:val="103"/>
              <w:rPr>
                <w:rFonts w:cs="Times New Roman"/>
              </w:rPr>
            </w:pP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1</w:t>
            </w:r>
          </w:p>
        </w:tc>
        <w:tc>
          <w:tcPr>
            <w:tcW w:w="992" w:type="dxa"/>
            <w:tcBorders>
              <w:top w:val="nil"/>
              <w:left w:val="nil"/>
              <w:bottom w:val="single" w:color="auto" w:sz="4" w:space="0"/>
              <w:right w:val="single" w:color="auto" w:sz="4" w:space="0"/>
            </w:tcBorders>
            <w:shd w:val="clear" w:color="auto" w:fill="auto"/>
            <w:noWrap/>
            <w:vAlign w:val="center"/>
          </w:tcPr>
          <w:p>
            <w:pPr>
              <w:pStyle w:val="103"/>
              <w:rPr>
                <w:rFonts w:cs="Times New Roman"/>
              </w:rPr>
            </w:pPr>
            <w:r>
              <w:rPr>
                <w:rFonts w:cs="Times New Roman"/>
              </w:rPr>
              <w:t>200M</w:t>
            </w:r>
          </w:p>
        </w:tc>
      </w:tr>
    </w:tbl>
    <w:p>
      <w:pPr>
        <w:ind w:firstLine="0" w:firstLineChars="0"/>
        <w:jc w:val="right"/>
      </w:pPr>
    </w:p>
    <w:p>
      <w:pPr>
        <w:pStyle w:val="4"/>
      </w:pPr>
      <w:bookmarkStart w:id="83" w:name="_Toc112317373"/>
      <w:bookmarkStart w:id="84" w:name="_Toc112169164"/>
      <w:r>
        <w:t>安全系统</w:t>
      </w:r>
      <w:r>
        <w:rPr>
          <w:rFonts w:hint="eastAsia"/>
        </w:rPr>
        <w:t>服务方案</w:t>
      </w:r>
      <w:bookmarkEnd w:id="83"/>
      <w:bookmarkEnd w:id="84"/>
    </w:p>
    <w:p>
      <w:pPr>
        <w:pStyle w:val="5"/>
      </w:pPr>
      <w:r>
        <w:rPr>
          <w:rFonts w:hint="eastAsia"/>
        </w:rPr>
        <w:t>服务内容</w:t>
      </w:r>
    </w:p>
    <w:p>
      <w:r>
        <w:t>在社会资源接入网区搭建一套符合等保2.0二级的安全环境，视频专网区搭建一套符合等保2.0三级的安全环境，并在社会资源接入网与视频专网、政务外网与视频专网之间建设两块安全边界并部署相应的安全设备，具体部署情况如下：</w:t>
      </w:r>
    </w:p>
    <w:p>
      <w:r>
        <w:t>（1）社会资源接入网区</w:t>
      </w:r>
    </w:p>
    <w:p>
      <w:r>
        <w:t>a）在社会资源接入网区出口部署一台下一代防火墙进行隔离和访问控制，保护对访问网络以及互联网用户终端，实现对入侵事件的监控、阻断，保护整个专网各个安全域免受外网常见恶意攻击；为核心业务系统实现全面的L2-7层安全防护，保证核心业务稳定运行，实现对所有流经下一代防火墙的数据包按照严格的安全规则进行过滤，将所有不安全的或不符合安全规则的数据包屏蔽，杜绝越权访问，防止各类非法攻击行为。</w:t>
      </w:r>
    </w:p>
    <w:p>
      <w:r>
        <w:t>b）运维管理区：</w:t>
      </w:r>
    </w:p>
    <w:p>
      <w:r>
        <w:t>i．在运维管理区部署一台日志审计，可以通过监测及采集信息系统中的系统安全事件、用户访问行为、系统运行日志、系统运行状态等各类信息，经过规范化、过滤、归并和告警分析等处理后，以统一格式的日志形式进行集中存储和管理，结合丰富的日志统计汇总及综合分析功能，实现对信息系统整体安全状况的全面审计。</w:t>
      </w:r>
    </w:p>
    <w:p>
      <w:r>
        <w:t>ii.在运维管理区部署一台漏洞扫描，能够使网络管理员能了解楼层网络的安全设置和运行的应用服务，及时发现安全漏洞，客观评估网络风险等级，能根据扫描的结果更正网络安全漏洞和系统中的错误设置，在黑客攻击前进行防范，能有效避免黑客攻击行为，做到防患于未然。</w:t>
      </w:r>
    </w:p>
    <w:p>
      <w:r>
        <w:t>iii.通过在运维管理区部署一台数据库审计，针对业务环境下的数据库操作行为进行细粒度审计的合规性管理系统。它通过对业务人员访问系统的行为进行解析、分析、记录、汇报，用来帮助用户事前规划预防，事中实时监视、违规行为响应，事后合规报告、事故追踪溯源，促进核心资产的正常运营。</w:t>
      </w:r>
    </w:p>
    <w:p>
      <w:r>
        <w:t>iv. 通过在运维管理区部署一套终端安全管理系统，配合终端杀毒软件（EDR）在关键节点（</w:t>
      </w:r>
      <w:r>
        <w:rPr>
          <w:kern w:val="0"/>
          <w:szCs w:val="21"/>
        </w:rPr>
        <w:t>分别在服务端和PC端部署</w:t>
      </w:r>
      <w:r>
        <w:t>）进行安全防护，</w:t>
      </w:r>
      <w:r>
        <w:rPr>
          <w:kern w:val="0"/>
          <w:szCs w:val="21"/>
        </w:rPr>
        <w:t>支持防病毒功能、入侵防御功能、防火墙隔离功能、数据信息采集上报、安全事件的一键处置等功能，</w:t>
      </w:r>
      <w:r>
        <w:t>做到从风险预测、终端保护、攻击检测到系统响应整个安全闭环。</w:t>
      </w:r>
    </w:p>
    <w:p>
      <w:r>
        <w:t>（2）边界交互区</w:t>
      </w:r>
    </w:p>
    <w:p>
      <w:r>
        <w:t>a）社会资源接入网核心区和视频专线核心区之间</w:t>
      </w:r>
    </w:p>
    <w:p>
      <w:r>
        <w:t>i.在社会资源接入网核心区和视频专线核心区之间部署一台下一代防火墙供对此区域整体网络的安全防护；可以实时检查流经流量的安全风险，防范病毒、蠕虫、僵尸网络等威胁内容的横向传播，防止口令密码被暴力破解，对我们整体网络造成的信息泄露等安全隐患。</w:t>
      </w:r>
    </w:p>
    <w:p>
      <w:r>
        <w:t>ii.在</w:t>
      </w:r>
      <w:r>
        <w:rPr>
          <w:rFonts w:hint="eastAsia"/>
        </w:rPr>
        <w:t>社会资源接入网</w:t>
      </w:r>
      <w:r>
        <w:t>核心区和视频专线核心区之间部署一台网闸，实现内外网的安全隔离需求，通过区域的数据需要采取安全防护措施，如何根据需接入的区域类型，部署对应的安全接入设备及措施，规避前端设备、传输链路、网络边界、系统应用等各环节安全风险，保证信息安全，确保数据不会发生外泄。</w:t>
      </w:r>
    </w:p>
    <w:p>
      <w:r>
        <w:t>b）政务外网和视频专线核心区之间</w:t>
      </w:r>
    </w:p>
    <w:p>
      <w:r>
        <w:t>i.在政务外网和视频专线核心区之间部署一台下一代防火墙供对此区域整体网络的安全防护；可以实时检查流经流量的安全风险，防范病毒、蠕虫、僵尸网络等威胁内容的横向传播，防止口令密码被暴力破解，对我们整体网络造成的信息泄露等安全隐患。</w:t>
      </w:r>
    </w:p>
    <w:p>
      <w:r>
        <w:t>ii.在政务外网核心区和视频专线核心区之间部署一台网闸，实现内外网的安全隔离需求，通过区域的数据需要采取安全防护措施，如何根据需接入的区域类型，部署对应的安全接入设备及措施，规避前端设备、传输链路、网络边界、系统应用等各环节安全风险，保证信息安全，确保数据不会发生外泄。</w:t>
      </w:r>
    </w:p>
    <w:p>
      <w:r>
        <w:t>（3）视频专网区</w:t>
      </w:r>
    </w:p>
    <w:p>
      <w:r>
        <w:t>a）安全管理区</w:t>
      </w:r>
    </w:p>
    <w:p>
      <w:r>
        <w:t>i.在安全管理区部署一台日志审计，可以通过监测及采集信息系统中的系统安全事件、用户访问行为、系统运行日志、系统运行状态等各类信息，经过规范化、过滤、归并和告警分析等处理后，以统一格式的日志形式进行集中存储和管理，结合丰富的日志统计汇总及综合分析功能，实现对信息系统整体安全状况的全面审计。</w:t>
      </w:r>
    </w:p>
    <w:p>
      <w:r>
        <w:t>ii.在安全管理区部署一台漏洞扫描，能够使网络管理员能了解楼层网络的安全设置和运行的应用服务，及时发现安全漏洞，客观评估网络风险等级，能根据扫描的结果更正网络安全漏洞和系统中的错误设置，在黑客攻击前进行防范，能有效避免黑客攻击行为，做到防患于未然。</w:t>
      </w:r>
    </w:p>
    <w:p>
      <w:r>
        <w:t>iii.通过在安全管理区部署一台数据库审计，针对业务环境下的数据库操作行为进行细粒度审计的合规性管理系统。它通过对业务人员访问系统的行为进行解析、分析、记录、汇报，用来帮助用户事前规划预防，事中实时监视、违规行为响应，事后合规报告、事故追踪溯源，促进核心资产的正常运营。</w:t>
      </w:r>
    </w:p>
    <w:p>
      <w:r>
        <w:t>iv.通过在安全管理区部署一台堡垒机，能够提供安全的信息传输路径，实现了对网络中的安全设备或安全组件进行统一管理，简化了组织的安全运维工作，降低因违规操作发生安全事件的风险。</w:t>
      </w:r>
    </w:p>
    <w:p>
      <w:r>
        <w:t>v.通过在安全管理区部署一台安全感知平台，帮助单位构建整体安全体系，形成本地的安全大脑，基于行为和关联分析技术对全网的流量进行安全检测实现可视化预警。</w:t>
      </w:r>
    </w:p>
    <w:p>
      <w:r>
        <w:t>vi.通过在安全管理区部署一台潜伏威胁探针，通过全流量的数据采集，分析有价值的数据上报给安全感知平台进行分析；</w:t>
      </w:r>
    </w:p>
    <w:p>
      <w:pPr>
        <w:pStyle w:val="106"/>
        <w:numPr>
          <w:ilvl w:val="0"/>
          <w:numId w:val="17"/>
        </w:numPr>
        <w:ind w:firstLineChars="0"/>
      </w:pPr>
      <w:r>
        <w:t>安全威胁分析：结合安全感知日志和威胁情报进行深度分析，研判网络中存在的威胁和攻击行为，明确对业务的影响和危害；</w:t>
      </w:r>
    </w:p>
    <w:p>
      <w:pPr>
        <w:pStyle w:val="106"/>
        <w:numPr>
          <w:ilvl w:val="0"/>
          <w:numId w:val="17"/>
        </w:numPr>
        <w:ind w:firstLineChars="0"/>
      </w:pPr>
      <w:r>
        <w:t>安全事件处置：对安全事件进行处置，清除恶意文件、快速恢复业务；</w:t>
      </w:r>
    </w:p>
    <w:p>
      <w:pPr>
        <w:pStyle w:val="106"/>
        <w:numPr>
          <w:ilvl w:val="0"/>
          <w:numId w:val="18"/>
        </w:numPr>
        <w:ind w:firstLineChars="0"/>
      </w:pPr>
      <w:r>
        <w:t>事件溯源分析：深入分析安全事件的成因，发现存在的薄弱点，溯源攻击路径；</w:t>
      </w:r>
    </w:p>
    <w:p>
      <w:pPr>
        <w:pStyle w:val="106"/>
        <w:numPr>
          <w:ilvl w:val="0"/>
          <w:numId w:val="18"/>
        </w:numPr>
        <w:ind w:firstLineChars="0"/>
      </w:pPr>
      <w:r>
        <w:t>安全加固建议：根据事件发生的根因、影响范围，针对性给出安全加固方案；按季度输出安全加固方案及安全运营效果汇报。</w:t>
      </w:r>
    </w:p>
    <w:p>
      <w:pPr>
        <w:pStyle w:val="106"/>
        <w:numPr>
          <w:ilvl w:val="0"/>
          <w:numId w:val="18"/>
        </w:numPr>
        <w:ind w:firstLineChars="0"/>
      </w:pPr>
      <w:r>
        <w:t>清晰展示全网安全状态：对平台整体的安全状态进行汇总分析，可以通过大屏展示可视化的界面了解到整个平台网络的安全状态进行呈现。</w:t>
      </w:r>
    </w:p>
    <w:p>
      <w:r>
        <w:t>vii.通过在安全管理区部署一台物联网接入安全网关，解决大量前端摄像机接入时准入与安全的问题。</w:t>
      </w:r>
    </w:p>
    <w:p>
      <w:r>
        <w:t>viii.通过在运维管理区部署一套终端安全管理系统，配合终端杀毒软件（EDR）在关键节点（</w:t>
      </w:r>
      <w:r>
        <w:rPr>
          <w:kern w:val="0"/>
          <w:szCs w:val="21"/>
        </w:rPr>
        <w:t>分别在服务端和PC端部署</w:t>
      </w:r>
      <w:r>
        <w:t>）进行安全防护，</w:t>
      </w:r>
      <w:r>
        <w:rPr>
          <w:kern w:val="0"/>
          <w:szCs w:val="21"/>
        </w:rPr>
        <w:t>支持防病毒功能、入侵防御功能、防火墙隔离功能、数据信息采集上报、安全事件的一键处置等功能，</w:t>
      </w:r>
      <w:r>
        <w:t>做到从风险预测、终端保护、攻击检测到系统响应整个安全闭环。</w:t>
      </w:r>
    </w:p>
    <w:p>
      <w:r>
        <w:t>b）视频专网出口区</w:t>
      </w:r>
    </w:p>
    <w:p>
      <w:r>
        <w:t>i.在视频专线区出口部署一台下一代防火墙进行隔离和访问控制，保护对访问网络以及用户终端，实现对入侵事件的监控、阻断，保护整个专网各个安全域免受外网常见恶意攻击；为核心业务系统实现全面的L2-7层安全防护，保证核心业务稳定运行，实现对所有流经下一代防火墙的数据包按照严格的安全规则进行过滤，将所有不安全的或不符合安全规则的数据包屏蔽，杜绝越权访问，防止各类非法攻击行为。</w:t>
      </w:r>
    </w:p>
    <w:p>
      <w:pPr>
        <w:pStyle w:val="4"/>
      </w:pPr>
      <w:bookmarkStart w:id="85" w:name="_Toc112317380"/>
      <w:bookmarkStart w:id="86" w:name="_Toc112169166"/>
      <w:r>
        <w:t>机房及配套</w:t>
      </w:r>
      <w:r>
        <w:rPr>
          <w:rFonts w:hint="eastAsia"/>
        </w:rPr>
        <w:t>服务方案</w:t>
      </w:r>
      <w:bookmarkEnd w:id="85"/>
      <w:bookmarkEnd w:id="86"/>
    </w:p>
    <w:p>
      <w:pPr>
        <w:pStyle w:val="5"/>
      </w:pPr>
      <w:bookmarkStart w:id="87" w:name="_Toc409171194"/>
      <w:bookmarkStart w:id="88" w:name="_Toc410218870"/>
      <w:bookmarkStart w:id="89" w:name="_Toc409618727"/>
      <w:bookmarkStart w:id="90" w:name="_Toc112317382"/>
      <w:bookmarkStart w:id="91" w:name="_Toc78275668"/>
      <w:r>
        <w:t>建设内容</w:t>
      </w:r>
      <w:bookmarkEnd w:id="87"/>
      <w:bookmarkEnd w:id="88"/>
      <w:bookmarkEnd w:id="89"/>
      <w:bookmarkEnd w:id="90"/>
      <w:bookmarkEnd w:id="91"/>
    </w:p>
    <w:p>
      <w:pPr>
        <w:ind w:firstLine="360" w:firstLineChars="150"/>
      </w:pPr>
      <w:r>
        <w:t>本期数据机房工程包含以下各个系统的建设工程，详见子系统功能规划表：</w:t>
      </w:r>
    </w:p>
    <w:p>
      <w:pPr>
        <w:pStyle w:val="6"/>
      </w:pPr>
      <w:r>
        <w:t>子系统功能规划</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1"/>
        <w:gridCol w:w="5708"/>
        <w:gridCol w:w="1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blHeader/>
        </w:trPr>
        <w:tc>
          <w:tcPr>
            <w:tcW w:w="5000" w:type="pct"/>
            <w:gridSpan w:val="3"/>
            <w:shd w:val="clear" w:color="auto" w:fill="auto"/>
            <w:noWrap/>
            <w:vAlign w:val="center"/>
          </w:tcPr>
          <w:p>
            <w:pPr>
              <w:widowControl/>
              <w:spacing w:line="240" w:lineRule="auto"/>
              <w:ind w:firstLine="0" w:firstLineChars="0"/>
              <w:jc w:val="center"/>
              <w:rPr>
                <w:b/>
                <w:bCs/>
                <w:color w:val="000000"/>
                <w:kern w:val="0"/>
                <w:sz w:val="21"/>
                <w:szCs w:val="21"/>
              </w:rPr>
            </w:pPr>
            <w:r>
              <w:rPr>
                <w:b/>
                <w:bCs/>
                <w:color w:val="000000"/>
                <w:kern w:val="0"/>
                <w:sz w:val="21"/>
                <w:szCs w:val="21"/>
              </w:rPr>
              <w:t>子系统功能规划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blHeader/>
        </w:trPr>
        <w:tc>
          <w:tcPr>
            <w:tcW w:w="1006" w:type="pct"/>
            <w:shd w:val="clear" w:color="auto" w:fill="auto"/>
            <w:noWrap/>
            <w:vAlign w:val="center"/>
          </w:tcPr>
          <w:p>
            <w:pPr>
              <w:widowControl/>
              <w:spacing w:line="240" w:lineRule="auto"/>
              <w:ind w:firstLine="0" w:firstLineChars="0"/>
              <w:jc w:val="center"/>
              <w:rPr>
                <w:b/>
                <w:bCs/>
                <w:color w:val="000000"/>
                <w:kern w:val="0"/>
                <w:sz w:val="21"/>
                <w:szCs w:val="21"/>
              </w:rPr>
            </w:pPr>
            <w:r>
              <w:rPr>
                <w:b/>
                <w:bCs/>
                <w:color w:val="000000"/>
                <w:kern w:val="0"/>
                <w:sz w:val="21"/>
                <w:szCs w:val="21"/>
              </w:rPr>
              <w:t>序号</w:t>
            </w:r>
          </w:p>
        </w:tc>
        <w:tc>
          <w:tcPr>
            <w:tcW w:w="2989" w:type="pct"/>
            <w:shd w:val="clear" w:color="auto" w:fill="auto"/>
            <w:noWrap/>
            <w:vAlign w:val="center"/>
          </w:tcPr>
          <w:p>
            <w:pPr>
              <w:widowControl/>
              <w:spacing w:line="240" w:lineRule="auto"/>
              <w:ind w:firstLine="0" w:firstLineChars="0"/>
              <w:jc w:val="center"/>
              <w:rPr>
                <w:b/>
                <w:bCs/>
                <w:color w:val="000000"/>
                <w:kern w:val="0"/>
                <w:sz w:val="21"/>
                <w:szCs w:val="21"/>
              </w:rPr>
            </w:pPr>
            <w:r>
              <w:rPr>
                <w:b/>
                <w:bCs/>
                <w:color w:val="000000"/>
                <w:kern w:val="0"/>
                <w:sz w:val="21"/>
                <w:szCs w:val="21"/>
              </w:rPr>
              <w:t>系统名称</w:t>
            </w:r>
          </w:p>
        </w:tc>
        <w:tc>
          <w:tcPr>
            <w:tcW w:w="1005" w:type="pct"/>
            <w:shd w:val="clear" w:color="auto" w:fill="auto"/>
            <w:noWrap/>
            <w:vAlign w:val="center"/>
          </w:tcPr>
          <w:p>
            <w:pPr>
              <w:widowControl/>
              <w:spacing w:line="240" w:lineRule="auto"/>
              <w:ind w:firstLine="0" w:firstLineChars="0"/>
              <w:jc w:val="center"/>
              <w:rPr>
                <w:b/>
                <w:bCs/>
                <w:color w:val="000000"/>
                <w:kern w:val="0"/>
                <w:sz w:val="21"/>
                <w:szCs w:val="21"/>
              </w:rPr>
            </w:pPr>
            <w:r>
              <w:rPr>
                <w:b/>
                <w:bCs/>
                <w:color w:val="000000"/>
                <w:kern w:val="0"/>
                <w:sz w:val="21"/>
                <w:szCs w:val="21"/>
              </w:rPr>
              <w:t>选项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006"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1</w:t>
            </w:r>
          </w:p>
        </w:tc>
        <w:tc>
          <w:tcPr>
            <w:tcW w:w="2989"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冷通道系统</w:t>
            </w:r>
          </w:p>
        </w:tc>
        <w:tc>
          <w:tcPr>
            <w:tcW w:w="1005"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006"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2</w:t>
            </w:r>
          </w:p>
        </w:tc>
        <w:tc>
          <w:tcPr>
            <w:tcW w:w="2989"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温控系统</w:t>
            </w:r>
          </w:p>
        </w:tc>
        <w:tc>
          <w:tcPr>
            <w:tcW w:w="1005"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006"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3</w:t>
            </w:r>
          </w:p>
        </w:tc>
        <w:tc>
          <w:tcPr>
            <w:tcW w:w="2989"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接地系统</w:t>
            </w:r>
          </w:p>
        </w:tc>
        <w:tc>
          <w:tcPr>
            <w:tcW w:w="1005"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006"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4</w:t>
            </w:r>
          </w:p>
        </w:tc>
        <w:tc>
          <w:tcPr>
            <w:tcW w:w="2989"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UPS系统</w:t>
            </w:r>
          </w:p>
        </w:tc>
        <w:tc>
          <w:tcPr>
            <w:tcW w:w="1005"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006"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5</w:t>
            </w:r>
          </w:p>
        </w:tc>
        <w:tc>
          <w:tcPr>
            <w:tcW w:w="2989"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综合布线系统</w:t>
            </w:r>
          </w:p>
        </w:tc>
        <w:tc>
          <w:tcPr>
            <w:tcW w:w="1005"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006" w:type="pct"/>
            <w:shd w:val="clear" w:color="auto" w:fill="auto"/>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6</w:t>
            </w:r>
          </w:p>
        </w:tc>
        <w:tc>
          <w:tcPr>
            <w:tcW w:w="2989" w:type="pct"/>
            <w:shd w:val="clear" w:color="auto" w:fill="auto"/>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动环监测系统</w:t>
            </w:r>
          </w:p>
        </w:tc>
        <w:tc>
          <w:tcPr>
            <w:tcW w:w="1005" w:type="pct"/>
            <w:shd w:val="clear" w:color="auto" w:fill="auto"/>
            <w:noWrap/>
            <w:vAlign w:val="center"/>
          </w:tcPr>
          <w:p>
            <w:pPr>
              <w:widowControl/>
              <w:spacing w:line="240" w:lineRule="auto"/>
              <w:ind w:firstLine="0" w:firstLineChars="0"/>
              <w:jc w:val="center"/>
              <w:rPr>
                <w:color w:val="000000"/>
                <w:kern w:val="0"/>
                <w:sz w:val="21"/>
                <w:szCs w:val="21"/>
              </w:rPr>
            </w:pPr>
          </w:p>
        </w:tc>
      </w:tr>
    </w:tbl>
    <w:p/>
    <w:p>
      <w:pPr>
        <w:pStyle w:val="5"/>
      </w:pPr>
      <w:bookmarkStart w:id="92" w:name="_Toc112317383"/>
      <w:r>
        <w:t>建设方案</w:t>
      </w:r>
      <w:bookmarkEnd w:id="92"/>
    </w:p>
    <w:p>
      <w:r>
        <w:t>本期建设内容主要包含微模块和机房配套改造，建设1个微模块（包含服务器机柜13台、列间空调2台、精密列头柜1架等），根据新增设备的用电需求，新增精密空调2台替换原有精密空调1处。另外还需在达拉特旗公安局地下一层动力机房，新增90KVA 模块化UPS系统1套及蓄电池192块以满足本次新增冷通道后备电的需求，并对原有IDC机房和动力机房进行相应的动环系统改造、机房监控补充和简单装修</w:t>
      </w:r>
      <w:r>
        <w:rPr>
          <w:rFonts w:hint="eastAsia"/>
        </w:rPr>
        <w:t>，简单装修内容见项目清单</w:t>
      </w:r>
      <w:r>
        <w:t>。</w:t>
      </w:r>
    </w:p>
    <w:p>
      <w:pPr>
        <w:pStyle w:val="6"/>
      </w:pPr>
      <w:bookmarkStart w:id="93" w:name="_Toc409618733"/>
      <w:bookmarkStart w:id="94" w:name="_Toc410218876"/>
      <w:bookmarkStart w:id="95" w:name="_Toc409171200"/>
      <w:r>
        <w:t>冷通道系统</w:t>
      </w:r>
      <w:bookmarkEnd w:id="93"/>
      <w:bookmarkEnd w:id="94"/>
      <w:bookmarkEnd w:id="95"/>
    </w:p>
    <w:p>
      <w:r>
        <w:t>拆除原有三个服务器IT机柜，移至下图第四排位置，新增冷通道位置如图所示：</w:t>
      </w:r>
    </w:p>
    <w:p>
      <w:pPr>
        <w:ind w:firstLine="0" w:firstLineChars="0"/>
      </w:pPr>
      <w:r>
        <w:drawing>
          <wp:inline distT="0" distB="0" distL="0" distR="0">
            <wp:extent cx="5925820" cy="2240280"/>
            <wp:effectExtent l="0" t="0" r="0" b="7620"/>
            <wp:docPr id="2709" name="图片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 name="图片 2709"/>
                    <pic:cNvPicPr>
                      <a:picLocks noChangeAspect="1"/>
                    </pic:cNvPicPr>
                  </pic:nvPicPr>
                  <pic:blipFill>
                    <a:blip r:embed="rId29"/>
                    <a:stretch>
                      <a:fillRect/>
                    </a:stretch>
                  </pic:blipFill>
                  <pic:spPr>
                    <a:xfrm>
                      <a:off x="0" y="0"/>
                      <a:ext cx="5925820" cy="2240280"/>
                    </a:xfrm>
                    <a:prstGeom prst="rect">
                      <a:avLst/>
                    </a:prstGeom>
                  </pic:spPr>
                </pic:pic>
              </a:graphicData>
            </a:graphic>
          </wp:inline>
        </w:drawing>
      </w:r>
    </w:p>
    <w:p>
      <w:pPr>
        <w:pStyle w:val="9"/>
      </w:pPr>
      <w:r>
        <w:rPr>
          <w:rFonts w:hint="eastAsia"/>
        </w:rPr>
        <w:t>机房</w:t>
      </w:r>
      <w:r>
        <w:t>改造方案</w:t>
      </w:r>
    </w:p>
    <w:p>
      <w:pPr>
        <w:rPr>
          <w:shd w:val="clear" w:color="auto" w:fill="FFFFFF"/>
        </w:rPr>
      </w:pPr>
      <w:r>
        <w:rPr>
          <w:shd w:val="clear" w:color="auto" w:fill="FFFFFF"/>
        </w:rPr>
        <w:t>（1）采用模块化机房，一体化集成机柜系统、温控系统、机房管理系统、防雷接地系统和综合布线系统。</w:t>
      </w:r>
    </w:p>
    <w:p>
      <w:pPr>
        <w:rPr>
          <w:shd w:val="clear" w:color="auto" w:fill="FFFFFF"/>
        </w:rPr>
      </w:pPr>
      <w:r>
        <w:rPr>
          <w:rFonts w:hint="eastAsia"/>
          <w:shd w:val="clear" w:color="auto" w:fill="FFFFFF"/>
        </w:rPr>
        <w:t>（2）一体化机柜系统，每个机柜位选用尺寸为（长*宽*高1200mm*600mm*2000mm）。</w:t>
      </w:r>
    </w:p>
    <w:p>
      <w:pPr>
        <w:rPr>
          <w:shd w:val="clear" w:color="auto" w:fill="FFFFFF"/>
        </w:rPr>
      </w:pPr>
      <w:r>
        <w:rPr>
          <w:shd w:val="clear" w:color="auto" w:fill="FFFFFF"/>
        </w:rPr>
        <w:t>（3）高可靠配电柜，供IT设备用电。</w:t>
      </w:r>
    </w:p>
    <w:p>
      <w:pPr>
        <w:rPr>
          <w:shd w:val="clear" w:color="auto" w:fill="FFFFFF"/>
        </w:rPr>
      </w:pPr>
      <w:r>
        <w:rPr>
          <w:shd w:val="clear" w:color="auto" w:fill="FFFFFF"/>
        </w:rPr>
        <w:t>（4）为服务器、存储、网络设备和综合布线柜设置不同的供电电流，支撑混合密度组网。</w:t>
      </w:r>
    </w:p>
    <w:p>
      <w:pPr>
        <w:rPr>
          <w:shd w:val="clear" w:color="auto" w:fill="FFFFFF"/>
        </w:rPr>
      </w:pPr>
      <w:r>
        <w:rPr>
          <w:shd w:val="clear" w:color="auto" w:fill="FFFFFF"/>
        </w:rPr>
        <w:t>（5）机房设备的布置满足机房管理人员操作和安全、设备和物品运输、设备散热、设备安装和维护的要求。</w:t>
      </w:r>
    </w:p>
    <w:p>
      <w:pPr>
        <w:pStyle w:val="6"/>
      </w:pPr>
      <w:bookmarkStart w:id="96" w:name="_Toc105601034"/>
      <w:r>
        <w:t>UPS</w:t>
      </w:r>
      <w:bookmarkEnd w:id="96"/>
      <w:r>
        <w:t>系统</w:t>
      </w:r>
    </w:p>
    <w:p>
      <w:r>
        <w:t>达拉特旗公安局机房是承接该旗雪亮工程系统业务的核心机房，原有UPS电源及电池已经到了更新扩容。为了保障应用系统正常稳定运行，避免受到办公楼停电、断电影响，防止出现设备不可修复的损伤货数据丢失等情况，现针对UPS及电池进行新增：</w:t>
      </w:r>
      <w:r>
        <w:rPr>
          <w:rFonts w:hint="eastAsia"/>
        </w:rPr>
        <w:t>为节省机房空间资源，本期</w:t>
      </w:r>
      <w:r>
        <w:t>新增90K</w:t>
      </w:r>
      <w:r>
        <w:rPr>
          <w:rFonts w:hint="eastAsia"/>
        </w:rPr>
        <w:t>VA模块化</w:t>
      </w:r>
      <w:r>
        <w:t>UPS+12V 100Ah电池192块设备对本次新增冷通道系统进行供电。UPS系统供配电将集中分布于电力机房的固定区域，采用同一品牌的UPS产品及配套产品。由UPS分配柜连接至微模块配电列头柜PDF，列头柜至各个机柜PDU。</w:t>
      </w:r>
      <w:r>
        <w:rPr>
          <w:rFonts w:hint="eastAsia"/>
        </w:rPr>
        <w:t>改造方案</w:t>
      </w:r>
      <w:r>
        <w:t>如图所示：</w:t>
      </w:r>
    </w:p>
    <w:p>
      <w:pPr>
        <w:ind w:firstLine="0" w:firstLineChars="0"/>
      </w:pPr>
      <w:r>
        <w:drawing>
          <wp:inline distT="0" distB="0" distL="0" distR="0">
            <wp:extent cx="5925820" cy="3827780"/>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a:stretch>
                      <a:fillRect/>
                    </a:stretch>
                  </pic:blipFill>
                  <pic:spPr>
                    <a:xfrm>
                      <a:off x="0" y="0"/>
                      <a:ext cx="5925820" cy="3827780"/>
                    </a:xfrm>
                    <a:prstGeom prst="rect">
                      <a:avLst/>
                    </a:prstGeom>
                  </pic:spPr>
                </pic:pic>
              </a:graphicData>
            </a:graphic>
          </wp:inline>
        </w:drawing>
      </w:r>
    </w:p>
    <w:p>
      <w:pPr>
        <w:pStyle w:val="9"/>
      </w:pPr>
      <w:r>
        <w:rPr>
          <w:rFonts w:hint="eastAsia"/>
        </w:rPr>
        <w:t>动力室改造方案</w:t>
      </w:r>
    </w:p>
    <w:p>
      <w:pPr>
        <w:pStyle w:val="6"/>
      </w:pPr>
      <w:r>
        <w:t>温控系统</w:t>
      </w:r>
    </w:p>
    <w:p>
      <w:pPr>
        <w:pStyle w:val="7"/>
      </w:pPr>
      <w:r>
        <w:t>精密空调</w:t>
      </w:r>
    </w:p>
    <w:p>
      <w:r>
        <w:t>本期项目为达旗公安局数据中心新增2台40KW制冷量的精密空调</w:t>
      </w:r>
      <w:r>
        <w:rPr>
          <w:rFonts w:hint="eastAsia"/>
        </w:rPr>
        <w:t>，替换原有两台超期服役空调。</w:t>
      </w:r>
    </w:p>
    <w:p>
      <w:pPr>
        <w:pStyle w:val="6"/>
      </w:pPr>
      <w:r>
        <w:rPr>
          <w:rFonts w:hint="eastAsia"/>
        </w:rPr>
        <w:t>动环监测系统</w:t>
      </w:r>
    </w:p>
    <w:p>
      <w:pPr>
        <w:pStyle w:val="7"/>
      </w:pPr>
      <w:r>
        <w:rPr>
          <w:rFonts w:hint="eastAsia"/>
        </w:rPr>
        <w:t>机房环境监测</w:t>
      </w:r>
    </w:p>
    <w:p>
      <w:r>
        <w:rPr>
          <w:rFonts w:hint="eastAsia"/>
        </w:rPr>
        <w:t>建设位置主要涉及8楼中心机房和地下一层两处动力机房。动环监测系统可实时显示机房内温湿度传感器所检测到的温湿度值，可设定每个温湿度传感器温度与湿度的上限与下限值。当任意一传感器检测到的数值超过设定值时，监控系统发出相应报警。</w:t>
      </w:r>
    </w:p>
    <w:p>
      <w:pPr>
        <w:pStyle w:val="7"/>
      </w:pPr>
      <w:r>
        <w:rPr>
          <w:rFonts w:hint="eastAsia"/>
        </w:rPr>
        <w:t>机房漏水监测</w:t>
      </w:r>
    </w:p>
    <w:p>
      <w:r>
        <w:rPr>
          <w:rFonts w:hint="eastAsia"/>
        </w:rPr>
        <w:t>建设位置主要涉及8楼中心机房和地下一层两处动力机房。空调有漏水检测功能（为绳式检测方式），对空调器可能发生的漏水，可通过空调器自身的通信端口上传相关漏水信息并发出相应告警。绳式漏水检测方式由漏水感应绳与漏水控制器组成，沿精密空调四周敷设漏水感应绳，感测空调器冷凝水的漏水状况并通过漏水控制器通信接口上传信息。从而实现对漏水的实时监测，确保机房安全运行。</w:t>
      </w:r>
    </w:p>
    <w:p>
      <w:r>
        <w:rPr>
          <w:rFonts w:hint="eastAsia"/>
        </w:rPr>
        <w:t>当检测到发生漏水时，人机交互界面自动切换到漏水监控界面，显示漏水位置、发出报警。同时对报警事件进行记录、存储。</w:t>
      </w:r>
    </w:p>
    <w:p>
      <w:pPr>
        <w:pStyle w:val="7"/>
      </w:pPr>
      <w:r>
        <w:rPr>
          <w:rFonts w:hint="eastAsia"/>
        </w:rPr>
        <w:t>门禁管理</w:t>
      </w:r>
    </w:p>
    <w:p>
      <w:r>
        <w:rPr>
          <w:rFonts w:hint="eastAsia"/>
        </w:rPr>
        <w:t>本次门禁管理系统安装于8楼机房1个、负一层2个配电室各一个，门禁系统是机房的门禁。门禁系统由门禁控制器、读卡器组成，具有人员进出权限设置及管理功能，有开门超时报警功能。要求有与视频监控系统联动控制功能，当发生开/关门动作时，通过上传通信端口将开/关门信息发送至视频系统，以实现与视频系统的联动。</w:t>
      </w:r>
    </w:p>
    <w:p>
      <w:pPr>
        <w:pStyle w:val="6"/>
      </w:pPr>
      <w:r>
        <w:t>防雷系统</w:t>
      </w:r>
    </w:p>
    <w:p>
      <w:r>
        <w:t>本机房</w:t>
      </w:r>
      <w:r>
        <w:rPr>
          <w:rFonts w:hint="eastAsia"/>
        </w:rPr>
        <w:t>服务</w:t>
      </w:r>
      <w:r>
        <w:t>方案中采用一、二、三级防雷器。</w:t>
      </w:r>
    </w:p>
    <w:p>
      <w:r>
        <w:t>电源线路是雷电入侵的主要通道，本次</w:t>
      </w:r>
      <w:r>
        <w:rPr>
          <w:rFonts w:hint="eastAsia"/>
        </w:rPr>
        <w:t>服务</w:t>
      </w:r>
      <w:r>
        <w:t>方案将在电源输入端加装相应的各级浪涌吸收装置，这样形成了多级的电源防雷体系。</w:t>
      </w:r>
    </w:p>
    <w:p>
      <w:r>
        <w:t>第一级：在市电电源主机进线前端加装的防雷器，作为机房的电源一级防护。</w:t>
      </w:r>
    </w:p>
    <w:p>
      <w:r>
        <w:t>第二级：在UPS电源主机进线端安装防雷器，做为机房电源的二级别保护。</w:t>
      </w:r>
    </w:p>
    <w:p>
      <w:r>
        <w:t>具体措施：</w:t>
      </w:r>
    </w:p>
    <w:p>
      <w:r>
        <w:t>在电源主机进线前端，安装1套型电源防雷器；作为配电设备的电源二级防护。</w:t>
      </w:r>
    </w:p>
    <w:p>
      <w:r>
        <w:t>第三级：在各个机房模块区域强电列头柜内加装的防雷器，作为机房的电源三级防护。</w:t>
      </w:r>
    </w:p>
    <w:p>
      <w:pPr>
        <w:pStyle w:val="7"/>
      </w:pPr>
      <w:bookmarkStart w:id="97" w:name="_Toc24348720"/>
      <w:bookmarkStart w:id="98" w:name="_Toc24349367"/>
      <w:bookmarkStart w:id="99" w:name="_Toc28057375"/>
      <w:bookmarkStart w:id="100" w:name="_Toc28357130"/>
      <w:bookmarkStart w:id="101" w:name="_Toc80907659"/>
      <w:bookmarkStart w:id="102" w:name="_Toc201982909"/>
      <w:bookmarkStart w:id="103" w:name="_Toc24349271"/>
      <w:bookmarkStart w:id="104" w:name="_Toc24347732"/>
      <w:bookmarkStart w:id="105" w:name="_Toc50573070"/>
      <w:r>
        <w:t>本期项目防雷接地要求</w:t>
      </w:r>
    </w:p>
    <w:p>
      <w:r>
        <w:t>本项目接地要求主要为新增设备的架内接地，按照信号地、机壳地、防静电地等均应分别用导线经接地排。线缆布放时的接地要求通信系统防雷接地要求实施。</w:t>
      </w:r>
    </w:p>
    <w:p>
      <w:pPr>
        <w:pStyle w:val="6"/>
      </w:pPr>
      <w:r>
        <w:t>抗震加固</w:t>
      </w:r>
      <w:bookmarkEnd w:id="97"/>
      <w:bookmarkEnd w:id="98"/>
      <w:bookmarkEnd w:id="99"/>
      <w:bookmarkEnd w:id="100"/>
      <w:bookmarkEnd w:id="101"/>
      <w:bookmarkEnd w:id="102"/>
      <w:bookmarkEnd w:id="103"/>
      <w:bookmarkEnd w:id="104"/>
      <w:bookmarkEnd w:id="105"/>
    </w:p>
    <w:p>
      <w:pPr>
        <w:ind w:firstLine="482"/>
        <w:jc w:val="both"/>
        <w:rPr>
          <w:b/>
        </w:rPr>
      </w:pPr>
      <w:r>
        <w:rPr>
          <w:b/>
        </w:rPr>
        <w:t>通信行业抗震主要设计规范参照下表，设备安装类主要引用YD5059-2005《电信设备安装抗震设计规范》相关条文。</w:t>
      </w:r>
    </w:p>
    <w:p>
      <w:pPr>
        <w:pStyle w:val="9"/>
      </w:pPr>
      <w:r>
        <w:t>抗震标准表</w:t>
      </w:r>
    </w:p>
    <w:tbl>
      <w:tblPr>
        <w:tblStyle w:val="35"/>
        <w:tblW w:w="9322" w:type="dxa"/>
        <w:jc w:val="center"/>
        <w:tblLayout w:type="fixed"/>
        <w:tblCellMar>
          <w:top w:w="0" w:type="dxa"/>
          <w:left w:w="0" w:type="dxa"/>
          <w:bottom w:w="0" w:type="dxa"/>
          <w:right w:w="0" w:type="dxa"/>
        </w:tblCellMar>
      </w:tblPr>
      <w:tblGrid>
        <w:gridCol w:w="947"/>
        <w:gridCol w:w="2808"/>
        <w:gridCol w:w="5567"/>
      </w:tblGrid>
      <w:tr>
        <w:tblPrEx>
          <w:tblCellMar>
            <w:top w:w="0" w:type="dxa"/>
            <w:left w:w="0" w:type="dxa"/>
            <w:bottom w:w="0" w:type="dxa"/>
            <w:right w:w="0" w:type="dxa"/>
          </w:tblCellMar>
        </w:tblPrEx>
        <w:trPr>
          <w:tblHeader/>
          <w:jc w:val="center"/>
        </w:trPr>
        <w:tc>
          <w:tcPr>
            <w:tcW w:w="947"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pPr>
              <w:pStyle w:val="103"/>
              <w:rPr>
                <w:rFonts w:cs="Times New Roman"/>
              </w:rPr>
            </w:pPr>
            <w:r>
              <w:rPr>
                <w:rFonts w:cs="Times New Roman"/>
              </w:rPr>
              <w:t>分类</w:t>
            </w:r>
          </w:p>
        </w:tc>
        <w:tc>
          <w:tcPr>
            <w:tcW w:w="2808" w:type="dxa"/>
            <w:tcBorders>
              <w:top w:val="single" w:color="auto" w:sz="4" w:space="0"/>
              <w:left w:val="nil"/>
              <w:bottom w:val="single" w:color="auto" w:sz="4" w:space="0"/>
              <w:right w:val="single" w:color="auto" w:sz="4" w:space="0"/>
            </w:tcBorders>
            <w:shd w:val="clear" w:color="auto" w:fill="E7E6E6" w:themeFill="background2"/>
            <w:vAlign w:val="center"/>
          </w:tcPr>
          <w:p>
            <w:pPr>
              <w:pStyle w:val="103"/>
              <w:rPr>
                <w:rFonts w:cs="Times New Roman"/>
              </w:rPr>
            </w:pPr>
            <w:r>
              <w:rPr>
                <w:rFonts w:cs="Times New Roman"/>
              </w:rPr>
              <w:t>标准号</w:t>
            </w:r>
          </w:p>
        </w:tc>
        <w:tc>
          <w:tcPr>
            <w:tcW w:w="5567" w:type="dxa"/>
            <w:tcBorders>
              <w:top w:val="single" w:color="auto" w:sz="4" w:space="0"/>
              <w:left w:val="nil"/>
              <w:bottom w:val="single" w:color="auto" w:sz="4" w:space="0"/>
              <w:right w:val="single" w:color="auto" w:sz="4" w:space="0"/>
            </w:tcBorders>
            <w:shd w:val="clear" w:color="auto" w:fill="E7E6E6" w:themeFill="background2"/>
            <w:vAlign w:val="center"/>
          </w:tcPr>
          <w:p>
            <w:pPr>
              <w:pStyle w:val="103"/>
              <w:rPr>
                <w:rFonts w:cs="Times New Roman"/>
              </w:rPr>
            </w:pPr>
            <w:r>
              <w:rPr>
                <w:rFonts w:cs="Times New Roman"/>
              </w:rPr>
              <w:t>标准名称</w:t>
            </w:r>
          </w:p>
        </w:tc>
      </w:tr>
      <w:tr>
        <w:tblPrEx>
          <w:tblCellMar>
            <w:top w:w="0" w:type="dxa"/>
            <w:left w:w="0" w:type="dxa"/>
            <w:bottom w:w="0" w:type="dxa"/>
            <w:right w:w="0" w:type="dxa"/>
          </w:tblCellMar>
        </w:tblPrEx>
        <w:trPr>
          <w:jc w:val="center"/>
        </w:trPr>
        <w:tc>
          <w:tcPr>
            <w:tcW w:w="947" w:type="dxa"/>
            <w:vMerge w:val="restart"/>
            <w:tcBorders>
              <w:top w:val="nil"/>
              <w:left w:val="single" w:color="auto" w:sz="4" w:space="0"/>
              <w:bottom w:val="single" w:color="auto" w:sz="4" w:space="0"/>
              <w:right w:val="single" w:color="auto" w:sz="4" w:space="0"/>
            </w:tcBorders>
            <w:shd w:val="clear" w:color="auto" w:fill="auto"/>
            <w:vAlign w:val="center"/>
          </w:tcPr>
          <w:p>
            <w:pPr>
              <w:pStyle w:val="103"/>
              <w:rPr>
                <w:rFonts w:cs="Times New Roman"/>
              </w:rPr>
            </w:pPr>
            <w:r>
              <w:rPr>
                <w:rFonts w:cs="Times New Roman"/>
              </w:rPr>
              <w:t>抗震</w:t>
            </w:r>
          </w:p>
        </w:tc>
        <w:tc>
          <w:tcPr>
            <w:tcW w:w="2808" w:type="dxa"/>
            <w:tcBorders>
              <w:top w:val="nil"/>
              <w:left w:val="nil"/>
              <w:bottom w:val="single" w:color="auto" w:sz="4" w:space="0"/>
              <w:right w:val="single" w:color="auto" w:sz="4" w:space="0"/>
            </w:tcBorders>
            <w:shd w:val="clear" w:color="auto" w:fill="auto"/>
            <w:vAlign w:val="center"/>
          </w:tcPr>
          <w:p>
            <w:pPr>
              <w:pStyle w:val="103"/>
              <w:rPr>
                <w:rFonts w:cs="Times New Roman"/>
              </w:rPr>
            </w:pPr>
            <w:r>
              <w:rPr>
                <w:rFonts w:cs="Times New Roman"/>
              </w:rPr>
              <w:t>YD5054-2010</w:t>
            </w:r>
          </w:p>
        </w:tc>
        <w:tc>
          <w:tcPr>
            <w:tcW w:w="5567" w:type="dxa"/>
            <w:tcBorders>
              <w:top w:val="nil"/>
              <w:left w:val="nil"/>
              <w:bottom w:val="single" w:color="auto" w:sz="4" w:space="0"/>
              <w:right w:val="single" w:color="auto" w:sz="4" w:space="0"/>
            </w:tcBorders>
            <w:shd w:val="clear" w:color="auto" w:fill="auto"/>
            <w:vAlign w:val="center"/>
          </w:tcPr>
          <w:p>
            <w:pPr>
              <w:pStyle w:val="103"/>
              <w:rPr>
                <w:rFonts w:cs="Times New Roman"/>
              </w:rPr>
            </w:pPr>
            <w:r>
              <w:rPr>
                <w:rFonts w:cs="Times New Roman"/>
              </w:rPr>
              <w:t>通信建筑抗震设防分类标准</w:t>
            </w:r>
          </w:p>
        </w:tc>
      </w:tr>
      <w:tr>
        <w:tblPrEx>
          <w:tblCellMar>
            <w:top w:w="0" w:type="dxa"/>
            <w:left w:w="0" w:type="dxa"/>
            <w:bottom w:w="0" w:type="dxa"/>
            <w:right w:w="0" w:type="dxa"/>
          </w:tblCellMar>
        </w:tblPrEx>
        <w:trPr>
          <w:jc w:val="center"/>
        </w:trPr>
        <w:tc>
          <w:tcPr>
            <w:tcW w:w="947" w:type="dxa"/>
            <w:vMerge w:val="continue"/>
            <w:tcBorders>
              <w:top w:val="nil"/>
              <w:left w:val="single" w:color="auto" w:sz="4" w:space="0"/>
              <w:bottom w:val="single" w:color="auto" w:sz="4" w:space="0"/>
              <w:right w:val="single" w:color="auto" w:sz="4" w:space="0"/>
            </w:tcBorders>
            <w:shd w:val="clear" w:color="auto" w:fill="auto"/>
            <w:vAlign w:val="center"/>
          </w:tcPr>
          <w:p>
            <w:pPr>
              <w:pStyle w:val="103"/>
              <w:rPr>
                <w:rFonts w:cs="Times New Roman"/>
              </w:rPr>
            </w:pPr>
          </w:p>
        </w:tc>
        <w:tc>
          <w:tcPr>
            <w:tcW w:w="2808" w:type="dxa"/>
            <w:tcBorders>
              <w:top w:val="nil"/>
              <w:left w:val="nil"/>
              <w:bottom w:val="single" w:color="auto" w:sz="4" w:space="0"/>
              <w:right w:val="single" w:color="auto" w:sz="4" w:space="0"/>
            </w:tcBorders>
            <w:shd w:val="clear" w:color="auto" w:fill="auto"/>
            <w:vAlign w:val="center"/>
          </w:tcPr>
          <w:p>
            <w:pPr>
              <w:pStyle w:val="103"/>
              <w:rPr>
                <w:rFonts w:cs="Times New Roman"/>
              </w:rPr>
            </w:pPr>
            <w:r>
              <w:rPr>
                <w:rFonts w:cs="Times New Roman"/>
              </w:rPr>
              <w:t>YD5059-2005</w:t>
            </w:r>
          </w:p>
        </w:tc>
        <w:tc>
          <w:tcPr>
            <w:tcW w:w="5567" w:type="dxa"/>
            <w:tcBorders>
              <w:top w:val="nil"/>
              <w:left w:val="nil"/>
              <w:bottom w:val="single" w:color="auto" w:sz="4" w:space="0"/>
              <w:right w:val="single" w:color="auto" w:sz="4" w:space="0"/>
            </w:tcBorders>
            <w:shd w:val="clear" w:color="auto" w:fill="auto"/>
            <w:vAlign w:val="center"/>
          </w:tcPr>
          <w:p>
            <w:pPr>
              <w:pStyle w:val="103"/>
              <w:rPr>
                <w:rFonts w:cs="Times New Roman"/>
              </w:rPr>
            </w:pPr>
            <w:r>
              <w:rPr>
                <w:rFonts w:cs="Times New Roman"/>
              </w:rPr>
              <w:t>电信设备安装抗震设计规范</w:t>
            </w:r>
          </w:p>
        </w:tc>
      </w:tr>
    </w:tbl>
    <w:p/>
    <w:p>
      <w:r>
        <w:t>本期设备机房按照规范YD5054－2010《电信建筑抗震设防分类标准》采用标准设防类（乙类）设防要求。本期通信设备的抗震设防措施根据如下表3-4-1“本期工程抗震措施抗震设防烈度表”所示：</w:t>
      </w:r>
    </w:p>
    <w:p>
      <w:pPr>
        <w:pStyle w:val="9"/>
      </w:pPr>
      <w:r>
        <w:t>本期工程抗震措施抗震设防烈度表</w:t>
      </w:r>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075"/>
        <w:gridCol w:w="2496"/>
        <w:gridCol w:w="2689"/>
        <w:gridCol w:w="283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blHeader/>
          <w:jc w:val="center"/>
        </w:trPr>
        <w:tc>
          <w:tcPr>
            <w:tcW w:w="1075" w:type="dxa"/>
            <w:vAlign w:val="center"/>
          </w:tcPr>
          <w:p>
            <w:pPr>
              <w:widowControl/>
              <w:spacing w:line="240" w:lineRule="auto"/>
              <w:ind w:firstLine="0" w:firstLineChars="0"/>
              <w:jc w:val="center"/>
              <w:rPr>
                <w:b/>
                <w:bCs/>
                <w:color w:val="000000"/>
                <w:kern w:val="0"/>
                <w:sz w:val="21"/>
                <w:szCs w:val="21"/>
              </w:rPr>
            </w:pPr>
            <w:r>
              <w:rPr>
                <w:b/>
                <w:bCs/>
                <w:color w:val="000000"/>
                <w:kern w:val="0"/>
                <w:sz w:val="21"/>
                <w:szCs w:val="21"/>
              </w:rPr>
              <w:t>序号</w:t>
            </w:r>
          </w:p>
        </w:tc>
        <w:tc>
          <w:tcPr>
            <w:tcW w:w="2496" w:type="dxa"/>
            <w:vAlign w:val="center"/>
          </w:tcPr>
          <w:p>
            <w:pPr>
              <w:widowControl/>
              <w:spacing w:line="240" w:lineRule="auto"/>
              <w:ind w:firstLine="0" w:firstLineChars="0"/>
              <w:jc w:val="center"/>
              <w:rPr>
                <w:b/>
                <w:bCs/>
                <w:color w:val="000000"/>
                <w:kern w:val="0"/>
                <w:sz w:val="21"/>
                <w:szCs w:val="21"/>
              </w:rPr>
            </w:pPr>
            <w:r>
              <w:rPr>
                <w:b/>
                <w:bCs/>
                <w:color w:val="000000"/>
                <w:kern w:val="0"/>
                <w:sz w:val="21"/>
                <w:szCs w:val="21"/>
              </w:rPr>
              <w:t>安装地点（地区或者机房名称）</w:t>
            </w:r>
          </w:p>
        </w:tc>
        <w:tc>
          <w:tcPr>
            <w:tcW w:w="2689" w:type="dxa"/>
            <w:vAlign w:val="center"/>
          </w:tcPr>
          <w:p>
            <w:pPr>
              <w:widowControl/>
              <w:spacing w:line="240" w:lineRule="auto"/>
              <w:ind w:firstLine="0" w:firstLineChars="0"/>
              <w:jc w:val="center"/>
              <w:rPr>
                <w:b/>
                <w:bCs/>
                <w:color w:val="000000"/>
                <w:kern w:val="0"/>
                <w:sz w:val="21"/>
                <w:szCs w:val="21"/>
              </w:rPr>
            </w:pPr>
            <w:r>
              <w:rPr>
                <w:b/>
                <w:bCs/>
                <w:color w:val="000000"/>
                <w:kern w:val="0"/>
                <w:sz w:val="21"/>
                <w:szCs w:val="21"/>
              </w:rPr>
              <w:t>该地点地震烈度</w:t>
            </w:r>
          </w:p>
        </w:tc>
        <w:tc>
          <w:tcPr>
            <w:tcW w:w="2831" w:type="dxa"/>
            <w:vAlign w:val="center"/>
          </w:tcPr>
          <w:p>
            <w:pPr>
              <w:widowControl/>
              <w:spacing w:line="240" w:lineRule="auto"/>
              <w:ind w:firstLine="0" w:firstLineChars="0"/>
              <w:jc w:val="center"/>
              <w:rPr>
                <w:b/>
                <w:bCs/>
                <w:color w:val="000000"/>
                <w:kern w:val="0"/>
                <w:sz w:val="21"/>
                <w:szCs w:val="21"/>
              </w:rPr>
            </w:pPr>
            <w:r>
              <w:rPr>
                <w:b/>
                <w:bCs/>
                <w:color w:val="000000"/>
                <w:kern w:val="0"/>
                <w:sz w:val="21"/>
                <w:szCs w:val="21"/>
              </w:rPr>
              <w:t>本期抗震措施采用的抗震设防烈度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jc w:val="center"/>
        </w:trPr>
        <w:tc>
          <w:tcPr>
            <w:tcW w:w="1075" w:type="dxa"/>
            <w:vAlign w:val="center"/>
          </w:tcPr>
          <w:p>
            <w:pPr>
              <w:widowControl/>
              <w:spacing w:line="240" w:lineRule="auto"/>
              <w:ind w:firstLine="0" w:firstLineChars="0"/>
              <w:jc w:val="center"/>
              <w:rPr>
                <w:bCs/>
                <w:color w:val="000000"/>
                <w:kern w:val="0"/>
                <w:sz w:val="21"/>
                <w:szCs w:val="21"/>
              </w:rPr>
            </w:pPr>
            <w:r>
              <w:rPr>
                <w:bCs/>
                <w:color w:val="000000"/>
                <w:kern w:val="0"/>
                <w:sz w:val="21"/>
                <w:szCs w:val="21"/>
              </w:rPr>
              <w:t>1</w:t>
            </w:r>
          </w:p>
        </w:tc>
        <w:tc>
          <w:tcPr>
            <w:tcW w:w="2496" w:type="dxa"/>
            <w:vAlign w:val="center"/>
          </w:tcPr>
          <w:p>
            <w:pPr>
              <w:widowControl/>
              <w:spacing w:line="240" w:lineRule="auto"/>
              <w:ind w:firstLine="0" w:firstLineChars="0"/>
              <w:jc w:val="center"/>
              <w:rPr>
                <w:bCs/>
                <w:color w:val="000000"/>
                <w:kern w:val="0"/>
                <w:sz w:val="21"/>
                <w:szCs w:val="21"/>
              </w:rPr>
            </w:pPr>
            <w:r>
              <w:rPr>
                <w:bCs/>
                <w:color w:val="000000"/>
                <w:kern w:val="0"/>
                <w:sz w:val="21"/>
                <w:szCs w:val="21"/>
              </w:rPr>
              <w:t>鄂尔多斯市达拉特旗</w:t>
            </w:r>
          </w:p>
        </w:tc>
        <w:tc>
          <w:tcPr>
            <w:tcW w:w="2689" w:type="dxa"/>
            <w:vAlign w:val="center"/>
          </w:tcPr>
          <w:p>
            <w:pPr>
              <w:widowControl/>
              <w:spacing w:line="240" w:lineRule="auto"/>
              <w:ind w:firstLine="0" w:firstLineChars="0"/>
              <w:jc w:val="center"/>
              <w:rPr>
                <w:bCs/>
                <w:color w:val="000000"/>
                <w:kern w:val="0"/>
                <w:sz w:val="21"/>
                <w:szCs w:val="21"/>
              </w:rPr>
            </w:pPr>
            <w:r>
              <w:rPr>
                <w:bCs/>
                <w:color w:val="000000"/>
                <w:kern w:val="0"/>
                <w:sz w:val="21"/>
                <w:szCs w:val="21"/>
              </w:rPr>
              <w:t>8度</w:t>
            </w:r>
          </w:p>
        </w:tc>
        <w:tc>
          <w:tcPr>
            <w:tcW w:w="2831" w:type="dxa"/>
            <w:vAlign w:val="center"/>
          </w:tcPr>
          <w:p>
            <w:pPr>
              <w:widowControl/>
              <w:spacing w:line="240" w:lineRule="auto"/>
              <w:ind w:firstLine="0" w:firstLineChars="0"/>
              <w:jc w:val="center"/>
              <w:rPr>
                <w:bCs/>
                <w:color w:val="000000"/>
                <w:kern w:val="0"/>
                <w:sz w:val="21"/>
                <w:szCs w:val="21"/>
              </w:rPr>
            </w:pPr>
            <w:r>
              <w:rPr>
                <w:bCs/>
                <w:color w:val="000000"/>
                <w:kern w:val="0"/>
                <w:sz w:val="21"/>
                <w:szCs w:val="21"/>
              </w:rPr>
              <w:t>8度</w:t>
            </w:r>
          </w:p>
        </w:tc>
      </w:tr>
    </w:tbl>
    <w:p>
      <w:bookmarkStart w:id="106" w:name="_Toc277667335"/>
      <w:bookmarkStart w:id="107" w:name="_Toc214950329"/>
    </w:p>
    <w:p>
      <w:r>
        <w:t>在我国抗震设防烈度7烈度以上（含7烈度）地区公用电信网中使用的交换、传输、接入、服务器网关、移动基站、通信电源等主要设备，应当经过电信设备抗震性能质量监督检验机构进行抗震性能检测，未获得工信部颁发的通信设备抗震性能合格证的不得在工程中使用。</w:t>
      </w:r>
    </w:p>
    <w:p>
      <w:r>
        <w:t>设备加固安装必须满足YD5059-2005《电信设备安装抗震设计规范》（以下简称“抗震设计规范”）的要求。本期设备安装的抗震类型如表本期工程设备抗震类型表所示，应按照抗震设计规范对应的要求进行设计和安装。施工单位也可参照厂家提供的设备抗震安装图纸进行施工。</w:t>
      </w:r>
    </w:p>
    <w:p>
      <w:pPr>
        <w:pStyle w:val="9"/>
      </w:pPr>
      <w:r>
        <w:t>本期工程设备抗震类型表</w:t>
      </w:r>
      <w:bookmarkEnd w:id="106"/>
      <w:bookmarkEnd w:id="107"/>
    </w:p>
    <w:tbl>
      <w:tblPr>
        <w:tblStyle w:val="35"/>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1343"/>
        <w:gridCol w:w="2663"/>
        <w:gridCol w:w="4005"/>
        <w:gridCol w:w="134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70" w:hRule="atLeast"/>
          <w:jc w:val="center"/>
        </w:trPr>
        <w:tc>
          <w:tcPr>
            <w:tcW w:w="718" w:type="pct"/>
            <w:shd w:val="clear" w:color="auto" w:fill="auto"/>
            <w:noWrap/>
            <w:vAlign w:val="center"/>
          </w:tcPr>
          <w:p>
            <w:pPr>
              <w:widowControl/>
              <w:spacing w:line="240" w:lineRule="auto"/>
              <w:ind w:firstLine="0" w:firstLineChars="0"/>
              <w:jc w:val="center"/>
              <w:rPr>
                <w:b/>
                <w:bCs/>
                <w:color w:val="000000"/>
                <w:kern w:val="0"/>
                <w:sz w:val="21"/>
                <w:szCs w:val="21"/>
              </w:rPr>
            </w:pPr>
            <w:r>
              <w:rPr>
                <w:b/>
                <w:bCs/>
                <w:color w:val="000000"/>
                <w:kern w:val="0"/>
                <w:sz w:val="21"/>
                <w:szCs w:val="21"/>
              </w:rPr>
              <w:t>序号</w:t>
            </w:r>
          </w:p>
        </w:tc>
        <w:tc>
          <w:tcPr>
            <w:tcW w:w="1424" w:type="pct"/>
            <w:shd w:val="clear" w:color="auto" w:fill="auto"/>
            <w:noWrap/>
            <w:vAlign w:val="center"/>
          </w:tcPr>
          <w:p>
            <w:pPr>
              <w:widowControl/>
              <w:spacing w:line="240" w:lineRule="auto"/>
              <w:ind w:firstLine="0" w:firstLineChars="0"/>
              <w:jc w:val="center"/>
              <w:rPr>
                <w:b/>
                <w:bCs/>
                <w:color w:val="000000"/>
                <w:kern w:val="0"/>
                <w:sz w:val="21"/>
                <w:szCs w:val="21"/>
              </w:rPr>
            </w:pPr>
            <w:r>
              <w:rPr>
                <w:b/>
                <w:bCs/>
                <w:color w:val="000000"/>
                <w:kern w:val="0"/>
                <w:sz w:val="21"/>
                <w:szCs w:val="21"/>
              </w:rPr>
              <w:t>设备类型</w:t>
            </w:r>
          </w:p>
        </w:tc>
        <w:tc>
          <w:tcPr>
            <w:tcW w:w="2141" w:type="pct"/>
            <w:shd w:val="clear" w:color="auto" w:fill="auto"/>
            <w:noWrap/>
            <w:vAlign w:val="center"/>
          </w:tcPr>
          <w:p>
            <w:pPr>
              <w:widowControl/>
              <w:spacing w:line="240" w:lineRule="auto"/>
              <w:ind w:firstLine="0" w:firstLineChars="0"/>
              <w:jc w:val="center"/>
              <w:rPr>
                <w:b/>
                <w:bCs/>
                <w:color w:val="000000"/>
                <w:kern w:val="0"/>
                <w:sz w:val="21"/>
                <w:szCs w:val="21"/>
              </w:rPr>
            </w:pPr>
            <w:r>
              <w:rPr>
                <w:b/>
                <w:bCs/>
                <w:color w:val="000000"/>
                <w:kern w:val="0"/>
                <w:sz w:val="21"/>
                <w:szCs w:val="21"/>
              </w:rPr>
              <w:t>本期工程安装情况</w:t>
            </w:r>
          </w:p>
        </w:tc>
        <w:tc>
          <w:tcPr>
            <w:tcW w:w="717" w:type="pct"/>
            <w:shd w:val="clear" w:color="auto" w:fill="auto"/>
            <w:noWrap/>
            <w:vAlign w:val="center"/>
          </w:tcPr>
          <w:p>
            <w:pPr>
              <w:widowControl/>
              <w:spacing w:line="240" w:lineRule="auto"/>
              <w:ind w:firstLine="0" w:firstLineChars="0"/>
              <w:jc w:val="center"/>
              <w:rPr>
                <w:b/>
                <w:bCs/>
                <w:color w:val="000000"/>
                <w:kern w:val="0"/>
                <w:sz w:val="21"/>
                <w:szCs w:val="21"/>
              </w:rPr>
            </w:pPr>
            <w:r>
              <w:rPr>
                <w:b/>
                <w:bCs/>
                <w:color w:val="000000"/>
                <w:kern w:val="0"/>
                <w:sz w:val="21"/>
                <w:szCs w:val="21"/>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70" w:hRule="atLeast"/>
          <w:jc w:val="center"/>
        </w:trPr>
        <w:tc>
          <w:tcPr>
            <w:tcW w:w="718" w:type="pct"/>
            <w:shd w:val="clear" w:color="auto" w:fill="auto"/>
            <w:noWrap/>
            <w:vAlign w:val="center"/>
          </w:tcPr>
          <w:p>
            <w:pPr>
              <w:widowControl/>
              <w:spacing w:line="240" w:lineRule="auto"/>
              <w:ind w:firstLine="0" w:firstLineChars="0"/>
              <w:jc w:val="center"/>
              <w:rPr>
                <w:bCs/>
                <w:color w:val="000000"/>
                <w:kern w:val="0"/>
                <w:sz w:val="21"/>
                <w:szCs w:val="21"/>
              </w:rPr>
            </w:pPr>
            <w:r>
              <w:rPr>
                <w:bCs/>
                <w:color w:val="000000"/>
                <w:kern w:val="0"/>
                <w:sz w:val="21"/>
                <w:szCs w:val="21"/>
              </w:rPr>
              <w:t>1</w:t>
            </w:r>
          </w:p>
        </w:tc>
        <w:tc>
          <w:tcPr>
            <w:tcW w:w="1424" w:type="pct"/>
            <w:shd w:val="clear" w:color="auto" w:fill="auto"/>
            <w:noWrap/>
            <w:vAlign w:val="center"/>
          </w:tcPr>
          <w:p>
            <w:pPr>
              <w:widowControl/>
              <w:spacing w:line="240" w:lineRule="auto"/>
              <w:ind w:firstLine="0" w:firstLineChars="0"/>
              <w:jc w:val="center"/>
              <w:rPr>
                <w:bCs/>
                <w:color w:val="000000"/>
                <w:kern w:val="0"/>
                <w:sz w:val="21"/>
                <w:szCs w:val="21"/>
              </w:rPr>
            </w:pPr>
            <w:r>
              <w:rPr>
                <w:bCs/>
                <w:color w:val="000000"/>
                <w:kern w:val="0"/>
                <w:sz w:val="21"/>
                <w:szCs w:val="21"/>
              </w:rPr>
              <w:t>机架设备</w:t>
            </w:r>
          </w:p>
        </w:tc>
        <w:tc>
          <w:tcPr>
            <w:tcW w:w="2141" w:type="pct"/>
            <w:shd w:val="clear" w:color="auto" w:fill="auto"/>
            <w:noWrap/>
            <w:vAlign w:val="center"/>
          </w:tcPr>
          <w:p>
            <w:pPr>
              <w:widowControl/>
              <w:spacing w:line="240" w:lineRule="auto"/>
              <w:ind w:firstLine="0" w:firstLineChars="0"/>
              <w:jc w:val="center"/>
              <w:rPr>
                <w:bCs/>
                <w:color w:val="000000"/>
                <w:kern w:val="0"/>
                <w:sz w:val="21"/>
                <w:szCs w:val="21"/>
              </w:rPr>
            </w:pPr>
            <w:r>
              <w:rPr>
                <w:bCs/>
                <w:color w:val="000000"/>
                <w:kern w:val="0"/>
                <w:sz w:val="21"/>
                <w:szCs w:val="21"/>
              </w:rPr>
              <w:t>微模块化设备</w:t>
            </w:r>
          </w:p>
        </w:tc>
        <w:tc>
          <w:tcPr>
            <w:tcW w:w="717" w:type="pct"/>
            <w:shd w:val="clear" w:color="auto" w:fill="auto"/>
            <w:noWrap/>
            <w:vAlign w:val="center"/>
          </w:tcPr>
          <w:p>
            <w:pPr>
              <w:widowControl/>
              <w:spacing w:line="240" w:lineRule="auto"/>
              <w:ind w:firstLine="0" w:firstLineChars="0"/>
              <w:jc w:val="center"/>
              <w:rPr>
                <w:bCs/>
                <w:color w:val="000000"/>
                <w:kern w:val="0"/>
                <w:sz w:val="21"/>
                <w:szCs w:val="21"/>
              </w:rPr>
            </w:pPr>
            <w:r>
              <w:rPr>
                <w:bCs/>
                <w:color w:val="000000"/>
                <w:kern w:val="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70" w:hRule="atLeast"/>
          <w:jc w:val="center"/>
        </w:trPr>
        <w:tc>
          <w:tcPr>
            <w:tcW w:w="718" w:type="pct"/>
            <w:shd w:val="clear" w:color="auto" w:fill="auto"/>
            <w:noWrap/>
            <w:vAlign w:val="center"/>
          </w:tcPr>
          <w:p>
            <w:pPr>
              <w:widowControl/>
              <w:spacing w:line="240" w:lineRule="auto"/>
              <w:ind w:firstLine="0" w:firstLineChars="0"/>
              <w:jc w:val="center"/>
              <w:rPr>
                <w:bCs/>
                <w:color w:val="000000"/>
                <w:kern w:val="0"/>
                <w:sz w:val="21"/>
                <w:szCs w:val="21"/>
              </w:rPr>
            </w:pPr>
            <w:r>
              <w:rPr>
                <w:bCs/>
                <w:color w:val="000000"/>
                <w:kern w:val="0"/>
                <w:sz w:val="21"/>
                <w:szCs w:val="21"/>
              </w:rPr>
              <w:t>2</w:t>
            </w:r>
          </w:p>
        </w:tc>
        <w:tc>
          <w:tcPr>
            <w:tcW w:w="1424" w:type="pct"/>
            <w:shd w:val="clear" w:color="auto" w:fill="auto"/>
            <w:noWrap/>
            <w:vAlign w:val="center"/>
          </w:tcPr>
          <w:p>
            <w:pPr>
              <w:widowControl/>
              <w:spacing w:line="240" w:lineRule="auto"/>
              <w:ind w:firstLine="0" w:firstLineChars="0"/>
              <w:jc w:val="center"/>
              <w:rPr>
                <w:bCs/>
                <w:color w:val="000000"/>
                <w:kern w:val="0"/>
                <w:sz w:val="21"/>
                <w:szCs w:val="21"/>
              </w:rPr>
            </w:pPr>
            <w:r>
              <w:rPr>
                <w:bCs/>
                <w:color w:val="000000"/>
                <w:kern w:val="0"/>
                <w:sz w:val="21"/>
                <w:szCs w:val="21"/>
              </w:rPr>
              <w:t>机架设备</w:t>
            </w:r>
          </w:p>
        </w:tc>
        <w:tc>
          <w:tcPr>
            <w:tcW w:w="2141" w:type="pct"/>
            <w:shd w:val="clear" w:color="auto" w:fill="auto"/>
            <w:noWrap/>
            <w:vAlign w:val="center"/>
          </w:tcPr>
          <w:p>
            <w:pPr>
              <w:widowControl/>
              <w:spacing w:line="240" w:lineRule="auto"/>
              <w:ind w:firstLine="0" w:firstLineChars="0"/>
              <w:jc w:val="center"/>
              <w:rPr>
                <w:bCs/>
                <w:color w:val="000000"/>
                <w:kern w:val="0"/>
                <w:sz w:val="21"/>
                <w:szCs w:val="21"/>
              </w:rPr>
            </w:pPr>
            <w:r>
              <w:rPr>
                <w:bCs/>
                <w:color w:val="000000"/>
                <w:kern w:val="0"/>
                <w:sz w:val="21"/>
                <w:szCs w:val="21"/>
              </w:rPr>
              <w:t>UPS设备</w:t>
            </w:r>
          </w:p>
        </w:tc>
        <w:tc>
          <w:tcPr>
            <w:tcW w:w="717" w:type="pct"/>
            <w:shd w:val="clear" w:color="auto" w:fill="auto"/>
            <w:noWrap/>
            <w:vAlign w:val="center"/>
          </w:tcPr>
          <w:p>
            <w:pPr>
              <w:widowControl/>
              <w:spacing w:line="240" w:lineRule="auto"/>
              <w:ind w:firstLine="0" w:firstLineChars="0"/>
              <w:jc w:val="center"/>
              <w:rPr>
                <w:bCs/>
                <w:color w:val="000000"/>
                <w:kern w:val="0"/>
                <w:sz w:val="21"/>
                <w:szCs w:val="21"/>
              </w:rPr>
            </w:pPr>
            <w:r>
              <w:rPr>
                <w:bCs/>
                <w:color w:val="000000"/>
                <w:kern w:val="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70" w:hRule="atLeast"/>
          <w:jc w:val="center"/>
        </w:trPr>
        <w:tc>
          <w:tcPr>
            <w:tcW w:w="718" w:type="pct"/>
            <w:shd w:val="clear" w:color="auto" w:fill="auto"/>
            <w:noWrap/>
            <w:vAlign w:val="center"/>
          </w:tcPr>
          <w:p>
            <w:pPr>
              <w:widowControl/>
              <w:spacing w:line="240" w:lineRule="auto"/>
              <w:ind w:firstLine="0" w:firstLineChars="0"/>
              <w:jc w:val="center"/>
              <w:rPr>
                <w:bCs/>
                <w:color w:val="000000"/>
                <w:kern w:val="0"/>
                <w:sz w:val="21"/>
                <w:szCs w:val="21"/>
              </w:rPr>
            </w:pPr>
            <w:r>
              <w:rPr>
                <w:bCs/>
                <w:color w:val="000000"/>
                <w:kern w:val="0"/>
                <w:sz w:val="21"/>
                <w:szCs w:val="21"/>
              </w:rPr>
              <w:t>3</w:t>
            </w:r>
          </w:p>
        </w:tc>
        <w:tc>
          <w:tcPr>
            <w:tcW w:w="1424" w:type="pct"/>
            <w:shd w:val="clear" w:color="auto" w:fill="auto"/>
            <w:noWrap/>
            <w:vAlign w:val="center"/>
          </w:tcPr>
          <w:p>
            <w:pPr>
              <w:widowControl/>
              <w:spacing w:line="240" w:lineRule="auto"/>
              <w:ind w:firstLine="0" w:firstLineChars="0"/>
              <w:jc w:val="center"/>
              <w:rPr>
                <w:bCs/>
                <w:color w:val="000000"/>
                <w:kern w:val="0"/>
                <w:sz w:val="21"/>
                <w:szCs w:val="21"/>
              </w:rPr>
            </w:pPr>
            <w:r>
              <w:rPr>
                <w:bCs/>
                <w:color w:val="000000"/>
                <w:kern w:val="0"/>
                <w:sz w:val="21"/>
                <w:szCs w:val="21"/>
              </w:rPr>
              <w:t>蓄电池组</w:t>
            </w:r>
          </w:p>
        </w:tc>
        <w:tc>
          <w:tcPr>
            <w:tcW w:w="2141" w:type="pct"/>
            <w:shd w:val="clear" w:color="auto" w:fill="auto"/>
            <w:noWrap/>
            <w:vAlign w:val="center"/>
          </w:tcPr>
          <w:p>
            <w:pPr>
              <w:widowControl/>
              <w:spacing w:line="240" w:lineRule="auto"/>
              <w:ind w:firstLine="0" w:firstLineChars="0"/>
              <w:jc w:val="center"/>
              <w:rPr>
                <w:bCs/>
                <w:color w:val="000000"/>
                <w:kern w:val="0"/>
                <w:sz w:val="21"/>
                <w:szCs w:val="21"/>
              </w:rPr>
            </w:pPr>
            <w:r>
              <w:rPr>
                <w:bCs/>
                <w:color w:val="000000"/>
                <w:kern w:val="0"/>
                <w:sz w:val="21"/>
                <w:szCs w:val="21"/>
              </w:rPr>
              <w:t>　12V蓄电池组</w:t>
            </w:r>
          </w:p>
        </w:tc>
        <w:tc>
          <w:tcPr>
            <w:tcW w:w="717" w:type="pct"/>
            <w:shd w:val="clear" w:color="auto" w:fill="auto"/>
            <w:noWrap/>
            <w:vAlign w:val="center"/>
          </w:tcPr>
          <w:p>
            <w:pPr>
              <w:widowControl/>
              <w:spacing w:line="240" w:lineRule="auto"/>
              <w:ind w:firstLine="0" w:firstLineChars="0"/>
              <w:jc w:val="center"/>
              <w:rPr>
                <w:bCs/>
                <w:color w:val="000000"/>
                <w:kern w:val="0"/>
                <w:sz w:val="21"/>
                <w:szCs w:val="21"/>
              </w:rPr>
            </w:pPr>
            <w:r>
              <w:rPr>
                <w:bCs/>
                <w:color w:val="000000"/>
                <w:kern w:val="0"/>
                <w:sz w:val="21"/>
                <w:szCs w:val="21"/>
              </w:rPr>
              <w:t>　</w:t>
            </w:r>
          </w:p>
        </w:tc>
      </w:tr>
    </w:tbl>
    <w:p>
      <w:bookmarkStart w:id="108" w:name="_Toc112317384"/>
      <w:bookmarkStart w:id="109" w:name="_Toc110247033"/>
    </w:p>
    <w:p>
      <w:pPr>
        <w:pStyle w:val="4"/>
      </w:pPr>
      <w:r>
        <w:rPr>
          <w:rFonts w:hint="eastAsia"/>
        </w:rPr>
        <w:t>服务参数</w:t>
      </w:r>
    </w:p>
    <w:tbl>
      <w:tblPr>
        <w:tblStyle w:val="35"/>
        <w:tblW w:w="9469" w:type="dxa"/>
        <w:tblInd w:w="-147" w:type="dxa"/>
        <w:tblLayout w:type="autofit"/>
        <w:tblCellMar>
          <w:top w:w="0" w:type="dxa"/>
          <w:left w:w="108" w:type="dxa"/>
          <w:bottom w:w="0" w:type="dxa"/>
          <w:right w:w="108" w:type="dxa"/>
        </w:tblCellMar>
      </w:tblPr>
      <w:tblGrid>
        <w:gridCol w:w="604"/>
        <w:gridCol w:w="743"/>
        <w:gridCol w:w="1484"/>
        <w:gridCol w:w="5470"/>
        <w:gridCol w:w="462"/>
        <w:gridCol w:w="716"/>
      </w:tblGrid>
      <w:tr>
        <w:tblPrEx>
          <w:tblCellMar>
            <w:top w:w="0" w:type="dxa"/>
            <w:left w:w="108" w:type="dxa"/>
            <w:bottom w:w="0" w:type="dxa"/>
            <w:right w:w="108" w:type="dxa"/>
          </w:tblCellMar>
        </w:tblPrEx>
        <w:trPr>
          <w:trHeight w:val="276" w:hRule="atLeast"/>
          <w:tblHeader/>
        </w:trPr>
        <w:tc>
          <w:tcPr>
            <w:tcW w:w="6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序号</w:t>
            </w:r>
          </w:p>
        </w:tc>
        <w:tc>
          <w:tcPr>
            <w:tcW w:w="74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服务种类</w:t>
            </w:r>
          </w:p>
        </w:tc>
        <w:tc>
          <w:tcPr>
            <w:tcW w:w="148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设备名称</w:t>
            </w:r>
          </w:p>
        </w:tc>
        <w:tc>
          <w:tcPr>
            <w:tcW w:w="5470"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服务参数和服务功能</w:t>
            </w:r>
          </w:p>
        </w:tc>
        <w:tc>
          <w:tcPr>
            <w:tcW w:w="462"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单位</w:t>
            </w:r>
          </w:p>
        </w:tc>
        <w:tc>
          <w:tcPr>
            <w:tcW w:w="706"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数量</w:t>
            </w:r>
          </w:p>
        </w:tc>
      </w:tr>
      <w:tr>
        <w:tblPrEx>
          <w:tblCellMar>
            <w:top w:w="0" w:type="dxa"/>
            <w:left w:w="108" w:type="dxa"/>
            <w:bottom w:w="0" w:type="dxa"/>
            <w:right w:w="108" w:type="dxa"/>
          </w:tblCellMar>
        </w:tblPrEx>
        <w:trPr>
          <w:trHeight w:val="276" w:hRule="atLeast"/>
        </w:trPr>
        <w:tc>
          <w:tcPr>
            <w:tcW w:w="604"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b/>
                <w:bCs/>
                <w:color w:val="000000"/>
                <w:kern w:val="0"/>
                <w:sz w:val="20"/>
                <w:szCs w:val="20"/>
              </w:rPr>
            </w:pPr>
            <w:r>
              <w:rPr>
                <w:rFonts w:hint="eastAsia" w:ascii="宋体" w:hAnsi="宋体"/>
                <w:b/>
                <w:bCs/>
                <w:color w:val="000000"/>
                <w:kern w:val="0"/>
                <w:sz w:val="20"/>
                <w:szCs w:val="20"/>
              </w:rPr>
              <w:t>一</w:t>
            </w:r>
          </w:p>
        </w:tc>
        <w:tc>
          <w:tcPr>
            <w:tcW w:w="8865"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b/>
                <w:bCs/>
                <w:color w:val="000000"/>
                <w:kern w:val="0"/>
                <w:sz w:val="20"/>
                <w:szCs w:val="20"/>
              </w:rPr>
            </w:pPr>
            <w:r>
              <w:rPr>
                <w:rFonts w:hint="eastAsia" w:ascii="宋体" w:hAnsi="宋体" w:cs="宋体"/>
                <w:b/>
                <w:bCs/>
                <w:color w:val="000000"/>
                <w:kern w:val="0"/>
                <w:sz w:val="20"/>
                <w:szCs w:val="20"/>
              </w:rPr>
              <w:t>前端采集系统服务</w:t>
            </w:r>
          </w:p>
        </w:tc>
      </w:tr>
      <w:tr>
        <w:tblPrEx>
          <w:tblCellMar>
            <w:top w:w="0" w:type="dxa"/>
            <w:left w:w="108" w:type="dxa"/>
            <w:bottom w:w="0" w:type="dxa"/>
            <w:right w:w="108" w:type="dxa"/>
          </w:tblCellMar>
        </w:tblPrEx>
        <w:trPr>
          <w:trHeight w:val="1800" w:hRule="atLeast"/>
        </w:trPr>
        <w:tc>
          <w:tcPr>
            <w:tcW w:w="60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c>
          <w:tcPr>
            <w:tcW w:w="74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人像卡口</w:t>
            </w: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人像卡口摄像机</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r>
              <w:rPr>
                <w:rFonts w:hint="eastAsia" w:ascii="宋体" w:hAnsi="宋体"/>
                <w:color w:val="000000"/>
                <w:kern w:val="0"/>
                <w:sz w:val="20"/>
                <w:szCs w:val="20"/>
              </w:rPr>
              <w:t>.像素≥400万像素，传感器尺寸≥1/1.8英寸，内置一体化电动变焦，8-32mm电动变焦镜头；</w:t>
            </w:r>
            <w:r>
              <w:rPr>
                <w:rFonts w:hint="eastAsia" w:ascii="宋体" w:hAnsi="宋体"/>
                <w:color w:val="000000"/>
                <w:kern w:val="0"/>
                <w:sz w:val="20"/>
                <w:szCs w:val="20"/>
              </w:rPr>
              <w:br w:type="textWrapping"/>
            </w:r>
            <w:r>
              <w:rPr>
                <w:rFonts w:hint="eastAsia" w:ascii="宋体" w:hAnsi="宋体"/>
                <w:color w:val="000000"/>
                <w:kern w:val="0"/>
                <w:sz w:val="20"/>
                <w:szCs w:val="20"/>
              </w:rPr>
              <w:t>2.图像分辨率≥2560*1440；</w:t>
            </w:r>
            <w:r>
              <w:rPr>
                <w:rFonts w:hint="eastAsia" w:ascii="宋体" w:hAnsi="宋体"/>
                <w:color w:val="000000"/>
                <w:kern w:val="0"/>
                <w:sz w:val="20"/>
                <w:szCs w:val="20"/>
              </w:rPr>
              <w:br w:type="textWrapping"/>
            </w:r>
            <w:r>
              <w:rPr>
                <w:rFonts w:eastAsia="等线"/>
                <w:color w:val="000000"/>
                <w:kern w:val="0"/>
                <w:sz w:val="20"/>
                <w:szCs w:val="20"/>
              </w:rPr>
              <w:t>3.</w:t>
            </w:r>
            <w:r>
              <w:rPr>
                <w:rFonts w:hint="eastAsia" w:ascii="宋体" w:hAnsi="宋体"/>
                <w:color w:val="000000"/>
                <w:kern w:val="0"/>
                <w:sz w:val="20"/>
                <w:szCs w:val="20"/>
              </w:rPr>
              <w:t>支持</w:t>
            </w:r>
            <w:r>
              <w:rPr>
                <w:rFonts w:eastAsia="等线"/>
                <w:color w:val="000000"/>
                <w:kern w:val="0"/>
                <w:sz w:val="20"/>
                <w:szCs w:val="20"/>
              </w:rPr>
              <w:t>GB/T28181-2016</w:t>
            </w:r>
            <w:r>
              <w:rPr>
                <w:rFonts w:hint="eastAsia" w:ascii="宋体" w:hAnsi="宋体"/>
                <w:color w:val="000000"/>
                <w:kern w:val="0"/>
                <w:sz w:val="20"/>
                <w:szCs w:val="20"/>
              </w:rPr>
              <w:t>协议；支持</w:t>
            </w:r>
            <w:r>
              <w:rPr>
                <w:rFonts w:eastAsia="等线"/>
                <w:color w:val="000000"/>
                <w:kern w:val="0"/>
                <w:sz w:val="20"/>
                <w:szCs w:val="20"/>
              </w:rPr>
              <w:t>GA/T1400</w:t>
            </w:r>
            <w:r>
              <w:rPr>
                <w:rFonts w:hint="eastAsia" w:ascii="宋体" w:hAnsi="宋体"/>
                <w:color w:val="000000"/>
                <w:kern w:val="0"/>
                <w:sz w:val="20"/>
                <w:szCs w:val="20"/>
              </w:rPr>
              <w:t>视图库协议；</w:t>
            </w:r>
            <w:r>
              <w:rPr>
                <w:rFonts w:hint="eastAsia" w:ascii="宋体" w:hAnsi="宋体"/>
                <w:color w:val="000000"/>
                <w:kern w:val="0"/>
                <w:sz w:val="20"/>
                <w:szCs w:val="20"/>
              </w:rPr>
              <w:br w:type="textWrapping"/>
            </w:r>
            <w:r>
              <w:rPr>
                <w:rFonts w:eastAsia="等线"/>
                <w:color w:val="000000"/>
                <w:kern w:val="0"/>
                <w:sz w:val="20"/>
                <w:szCs w:val="20"/>
              </w:rPr>
              <w:t>4.</w:t>
            </w:r>
            <w:r>
              <w:rPr>
                <w:rFonts w:hint="eastAsia" w:ascii="宋体" w:hAnsi="宋体"/>
                <w:color w:val="000000"/>
                <w:kern w:val="0"/>
                <w:sz w:val="20"/>
                <w:szCs w:val="20"/>
              </w:rPr>
              <w:t>支持人脸、人体检测抓拍及人脸、人体属性提取；</w:t>
            </w:r>
            <w:r>
              <w:rPr>
                <w:rFonts w:hint="eastAsia" w:ascii="宋体" w:hAnsi="宋体"/>
                <w:color w:val="000000"/>
                <w:kern w:val="0"/>
                <w:sz w:val="20"/>
                <w:szCs w:val="20"/>
              </w:rPr>
              <w:br w:type="textWrapping"/>
            </w:r>
            <w:r>
              <w:rPr>
                <w:rFonts w:eastAsia="等线"/>
                <w:color w:val="000000"/>
                <w:kern w:val="0"/>
                <w:sz w:val="20"/>
                <w:szCs w:val="20"/>
              </w:rPr>
              <w:t>5.</w:t>
            </w:r>
            <w:r>
              <w:rPr>
                <w:rFonts w:hint="eastAsia" w:ascii="宋体" w:hAnsi="宋体"/>
                <w:color w:val="000000"/>
                <w:kern w:val="0"/>
                <w:sz w:val="20"/>
                <w:szCs w:val="20"/>
              </w:rPr>
              <w:t>采用混合补光，补光距离不小于</w:t>
            </w:r>
            <w:r>
              <w:rPr>
                <w:rFonts w:eastAsia="等线"/>
                <w:color w:val="000000"/>
                <w:kern w:val="0"/>
                <w:sz w:val="20"/>
                <w:szCs w:val="20"/>
              </w:rPr>
              <w:t>50</w:t>
            </w:r>
            <w:r>
              <w:rPr>
                <w:rFonts w:hint="eastAsia" w:ascii="宋体" w:hAnsi="宋体"/>
                <w:color w:val="000000"/>
                <w:kern w:val="0"/>
                <w:sz w:val="20"/>
                <w:szCs w:val="20"/>
              </w:rPr>
              <w:t>米；</w:t>
            </w:r>
            <w:r>
              <w:rPr>
                <w:rFonts w:hint="eastAsia" w:ascii="宋体" w:hAnsi="宋体"/>
                <w:color w:val="000000"/>
                <w:kern w:val="0"/>
                <w:sz w:val="20"/>
                <w:szCs w:val="20"/>
              </w:rPr>
              <w:br w:type="textWrapping"/>
            </w:r>
            <w:r>
              <w:rPr>
                <w:rFonts w:eastAsia="等线"/>
                <w:color w:val="000000"/>
                <w:kern w:val="0"/>
                <w:sz w:val="20"/>
                <w:szCs w:val="20"/>
              </w:rPr>
              <w:t>6.</w:t>
            </w:r>
            <w:r>
              <w:rPr>
                <w:rFonts w:hint="eastAsia" w:ascii="宋体" w:hAnsi="宋体"/>
                <w:color w:val="000000"/>
                <w:kern w:val="0"/>
                <w:sz w:val="20"/>
                <w:szCs w:val="20"/>
              </w:rPr>
              <w:t>防护等级不低于</w:t>
            </w:r>
            <w:r>
              <w:rPr>
                <w:rFonts w:eastAsia="等线"/>
                <w:color w:val="000000"/>
                <w:kern w:val="0"/>
                <w:sz w:val="20"/>
                <w:szCs w:val="20"/>
              </w:rPr>
              <w:t>IP66</w:t>
            </w:r>
            <w:r>
              <w:rPr>
                <w:rFonts w:hint="eastAsia" w:ascii="宋体" w:hAnsi="宋体"/>
                <w:color w:val="000000"/>
                <w:kern w:val="0"/>
                <w:sz w:val="20"/>
                <w:szCs w:val="20"/>
              </w:rPr>
              <w:t>。</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台</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100</w:t>
            </w:r>
          </w:p>
        </w:tc>
      </w:tr>
      <w:tr>
        <w:tblPrEx>
          <w:tblCellMar>
            <w:top w:w="0" w:type="dxa"/>
            <w:left w:w="108" w:type="dxa"/>
            <w:bottom w:w="0" w:type="dxa"/>
            <w:right w:w="108" w:type="dxa"/>
          </w:tblCellMar>
        </w:tblPrEx>
        <w:trPr>
          <w:trHeight w:val="480"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摄像机电源（人像卡口）</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应支持不低于</w:t>
            </w:r>
            <w:r>
              <w:rPr>
                <w:rFonts w:eastAsia="等线"/>
                <w:color w:val="000000"/>
                <w:kern w:val="0"/>
                <w:sz w:val="20"/>
                <w:szCs w:val="20"/>
              </w:rPr>
              <w:t>DC12V</w:t>
            </w:r>
            <w:r>
              <w:rPr>
                <w:rFonts w:hint="eastAsia" w:ascii="宋体" w:hAnsi="宋体"/>
                <w:color w:val="000000"/>
                <w:kern w:val="0"/>
                <w:sz w:val="20"/>
                <w:szCs w:val="20"/>
              </w:rPr>
              <w:t>，输出功率</w:t>
            </w:r>
            <w:r>
              <w:rPr>
                <w:rFonts w:eastAsia="等线"/>
                <w:color w:val="000000"/>
                <w:kern w:val="0"/>
                <w:sz w:val="20"/>
                <w:szCs w:val="20"/>
              </w:rPr>
              <w:t>36W</w:t>
            </w:r>
            <w:r>
              <w:rPr>
                <w:rFonts w:hint="eastAsia" w:ascii="宋体" w:hAnsi="宋体"/>
                <w:color w:val="000000"/>
                <w:kern w:val="0"/>
                <w:sz w:val="20"/>
                <w:szCs w:val="20"/>
              </w:rPr>
              <w:t>。</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个</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100</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万向节（人像卡口）</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万向节，调节上下角度</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个</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100</w:t>
            </w:r>
          </w:p>
        </w:tc>
      </w:tr>
      <w:tr>
        <w:tblPrEx>
          <w:tblCellMar>
            <w:top w:w="0" w:type="dxa"/>
            <w:left w:w="108" w:type="dxa"/>
            <w:bottom w:w="0" w:type="dxa"/>
            <w:right w:w="108" w:type="dxa"/>
          </w:tblCellMar>
        </w:tblPrEx>
        <w:trPr>
          <w:trHeight w:val="1584" w:hRule="atLeast"/>
        </w:trPr>
        <w:tc>
          <w:tcPr>
            <w:tcW w:w="60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2</w:t>
            </w:r>
          </w:p>
        </w:tc>
        <w:tc>
          <w:tcPr>
            <w:tcW w:w="74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单目结构化相机</w:t>
            </w: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单目结构化摄像机</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r>
              <w:rPr>
                <w:rFonts w:hint="eastAsia" w:ascii="宋体" w:hAnsi="宋体"/>
                <w:color w:val="000000"/>
                <w:kern w:val="0"/>
                <w:sz w:val="20"/>
                <w:szCs w:val="20"/>
              </w:rPr>
              <w:t>像素≥</w:t>
            </w:r>
            <w:r>
              <w:rPr>
                <w:rFonts w:eastAsia="等线"/>
                <w:color w:val="000000"/>
                <w:kern w:val="0"/>
                <w:sz w:val="20"/>
                <w:szCs w:val="20"/>
              </w:rPr>
              <w:t>400</w:t>
            </w:r>
            <w:r>
              <w:rPr>
                <w:rFonts w:hint="eastAsia" w:ascii="宋体" w:hAnsi="宋体"/>
                <w:color w:val="000000"/>
                <w:kern w:val="0"/>
                <w:sz w:val="20"/>
                <w:szCs w:val="20"/>
              </w:rPr>
              <w:t>万像素，传感器尺寸≥</w:t>
            </w:r>
            <w:r>
              <w:rPr>
                <w:rFonts w:eastAsia="等线"/>
                <w:color w:val="000000"/>
                <w:kern w:val="0"/>
                <w:sz w:val="20"/>
                <w:szCs w:val="20"/>
              </w:rPr>
              <w:t>1/1.8</w:t>
            </w:r>
            <w:r>
              <w:rPr>
                <w:rFonts w:hint="eastAsia" w:ascii="宋体" w:hAnsi="宋体"/>
                <w:color w:val="000000"/>
                <w:kern w:val="0"/>
                <w:sz w:val="20"/>
                <w:szCs w:val="20"/>
              </w:rPr>
              <w:t>英寸，内置一体化电动变焦，</w:t>
            </w:r>
            <w:r>
              <w:rPr>
                <w:rFonts w:eastAsia="等线"/>
                <w:color w:val="000000"/>
                <w:kern w:val="0"/>
                <w:sz w:val="20"/>
                <w:szCs w:val="20"/>
              </w:rPr>
              <w:t>8-32mm</w:t>
            </w:r>
            <w:r>
              <w:rPr>
                <w:rFonts w:hint="eastAsia" w:ascii="宋体" w:hAnsi="宋体"/>
                <w:color w:val="000000"/>
                <w:kern w:val="0"/>
                <w:sz w:val="20"/>
                <w:szCs w:val="20"/>
              </w:rPr>
              <w:t>电动变焦镜头；</w:t>
            </w:r>
            <w:r>
              <w:rPr>
                <w:rFonts w:hint="eastAsia" w:ascii="宋体" w:hAnsi="宋体"/>
                <w:color w:val="000000"/>
                <w:kern w:val="0"/>
                <w:sz w:val="20"/>
                <w:szCs w:val="20"/>
              </w:rPr>
              <w:br w:type="textWrapping"/>
            </w:r>
            <w:r>
              <w:rPr>
                <w:rFonts w:eastAsia="等线"/>
                <w:color w:val="000000"/>
                <w:kern w:val="0"/>
                <w:sz w:val="20"/>
                <w:szCs w:val="20"/>
              </w:rPr>
              <w:t>2.</w:t>
            </w:r>
            <w:r>
              <w:rPr>
                <w:rFonts w:hint="eastAsia" w:ascii="宋体" w:hAnsi="宋体"/>
                <w:color w:val="000000"/>
                <w:kern w:val="0"/>
                <w:sz w:val="20"/>
                <w:szCs w:val="20"/>
              </w:rPr>
              <w:t>支持混合补光，补光距离不低于</w:t>
            </w:r>
            <w:r>
              <w:rPr>
                <w:rFonts w:eastAsia="等线"/>
                <w:color w:val="000000"/>
                <w:kern w:val="0"/>
                <w:sz w:val="20"/>
                <w:szCs w:val="20"/>
              </w:rPr>
              <w:t>50</w:t>
            </w:r>
            <w:r>
              <w:rPr>
                <w:rFonts w:hint="eastAsia" w:ascii="宋体" w:hAnsi="宋体"/>
                <w:color w:val="000000"/>
                <w:kern w:val="0"/>
                <w:sz w:val="20"/>
                <w:szCs w:val="20"/>
              </w:rPr>
              <w:t>米；</w:t>
            </w:r>
            <w:r>
              <w:rPr>
                <w:rFonts w:hint="eastAsia" w:ascii="宋体" w:hAnsi="宋体"/>
                <w:color w:val="000000"/>
                <w:kern w:val="0"/>
                <w:sz w:val="20"/>
                <w:szCs w:val="20"/>
              </w:rPr>
              <w:br w:type="textWrapping"/>
            </w:r>
            <w:r>
              <w:rPr>
                <w:rFonts w:eastAsia="等线"/>
                <w:color w:val="000000"/>
                <w:kern w:val="0"/>
                <w:sz w:val="20"/>
                <w:szCs w:val="20"/>
              </w:rPr>
              <w:t>3.</w:t>
            </w:r>
            <w:r>
              <w:rPr>
                <w:rFonts w:hint="eastAsia" w:ascii="宋体" w:hAnsi="宋体"/>
                <w:color w:val="000000"/>
                <w:kern w:val="0"/>
                <w:sz w:val="20"/>
                <w:szCs w:val="20"/>
              </w:rPr>
              <w:t>图像分辨率≥</w:t>
            </w:r>
            <w:r>
              <w:rPr>
                <w:rFonts w:eastAsia="等线"/>
                <w:color w:val="000000"/>
                <w:kern w:val="0"/>
                <w:sz w:val="20"/>
                <w:szCs w:val="20"/>
              </w:rPr>
              <w:t>2560*1440</w:t>
            </w:r>
            <w:r>
              <w:rPr>
                <w:rFonts w:hint="eastAsia" w:ascii="宋体" w:hAnsi="宋体"/>
                <w:color w:val="000000"/>
                <w:kern w:val="0"/>
                <w:sz w:val="20"/>
                <w:szCs w:val="20"/>
              </w:rPr>
              <w:t>；</w:t>
            </w:r>
            <w:r>
              <w:rPr>
                <w:rFonts w:hint="eastAsia" w:ascii="宋体" w:hAnsi="宋体"/>
                <w:color w:val="000000"/>
                <w:kern w:val="0"/>
                <w:sz w:val="20"/>
                <w:szCs w:val="20"/>
              </w:rPr>
              <w:br w:type="textWrapping"/>
            </w:r>
            <w:r>
              <w:rPr>
                <w:rFonts w:eastAsia="等线"/>
                <w:color w:val="000000"/>
                <w:kern w:val="0"/>
                <w:sz w:val="20"/>
                <w:szCs w:val="20"/>
              </w:rPr>
              <w:t>4.</w:t>
            </w:r>
            <w:r>
              <w:rPr>
                <w:rFonts w:hint="eastAsia" w:ascii="宋体" w:hAnsi="宋体"/>
                <w:color w:val="000000"/>
                <w:kern w:val="0"/>
                <w:sz w:val="20"/>
                <w:szCs w:val="20"/>
              </w:rPr>
              <w:t>支持</w:t>
            </w:r>
            <w:r>
              <w:rPr>
                <w:rFonts w:eastAsia="等线"/>
                <w:color w:val="000000"/>
                <w:kern w:val="0"/>
                <w:sz w:val="20"/>
                <w:szCs w:val="20"/>
              </w:rPr>
              <w:t>GB/T28181-2016</w:t>
            </w:r>
            <w:r>
              <w:rPr>
                <w:rFonts w:hint="eastAsia" w:ascii="宋体" w:hAnsi="宋体"/>
                <w:color w:val="000000"/>
                <w:kern w:val="0"/>
                <w:sz w:val="20"/>
                <w:szCs w:val="20"/>
              </w:rPr>
              <w:t>协议；支持</w:t>
            </w:r>
            <w:r>
              <w:rPr>
                <w:rFonts w:eastAsia="等线"/>
                <w:color w:val="000000"/>
                <w:kern w:val="0"/>
                <w:sz w:val="20"/>
                <w:szCs w:val="20"/>
              </w:rPr>
              <w:t>GA/T1400</w:t>
            </w:r>
            <w:r>
              <w:rPr>
                <w:rFonts w:hint="eastAsia" w:ascii="宋体" w:hAnsi="宋体"/>
                <w:color w:val="000000"/>
                <w:kern w:val="0"/>
                <w:sz w:val="20"/>
                <w:szCs w:val="20"/>
              </w:rPr>
              <w:t>视图库协议；</w:t>
            </w:r>
            <w:r>
              <w:rPr>
                <w:rFonts w:hint="eastAsia" w:ascii="宋体" w:hAnsi="宋体"/>
                <w:color w:val="000000"/>
                <w:kern w:val="0"/>
                <w:sz w:val="20"/>
                <w:szCs w:val="20"/>
              </w:rPr>
              <w:br w:type="textWrapping"/>
            </w:r>
            <w:r>
              <w:rPr>
                <w:rFonts w:eastAsia="等线"/>
                <w:color w:val="000000"/>
                <w:kern w:val="0"/>
                <w:sz w:val="20"/>
                <w:szCs w:val="20"/>
              </w:rPr>
              <w:t>5.</w:t>
            </w:r>
            <w:r>
              <w:rPr>
                <w:rFonts w:hint="eastAsia" w:ascii="宋体" w:hAnsi="宋体"/>
                <w:color w:val="000000"/>
                <w:kern w:val="0"/>
                <w:sz w:val="20"/>
                <w:szCs w:val="20"/>
              </w:rPr>
              <w:t>支持人像抓拍、机动车抓拍、非机动车抓拍；</w:t>
            </w:r>
            <w:r>
              <w:rPr>
                <w:rFonts w:hint="eastAsia" w:ascii="宋体" w:hAnsi="宋体"/>
                <w:color w:val="000000"/>
                <w:kern w:val="0"/>
                <w:sz w:val="20"/>
                <w:szCs w:val="20"/>
              </w:rPr>
              <w:br w:type="textWrapping"/>
            </w:r>
            <w:r>
              <w:rPr>
                <w:rFonts w:eastAsia="等线"/>
                <w:color w:val="000000"/>
                <w:kern w:val="0"/>
                <w:sz w:val="20"/>
                <w:szCs w:val="20"/>
              </w:rPr>
              <w:t>6.</w:t>
            </w:r>
            <w:r>
              <w:rPr>
                <w:rFonts w:hint="eastAsia" w:ascii="宋体" w:hAnsi="宋体"/>
                <w:color w:val="000000"/>
                <w:kern w:val="0"/>
                <w:sz w:val="20"/>
                <w:szCs w:val="20"/>
              </w:rPr>
              <w:t>不低于</w:t>
            </w:r>
            <w:r>
              <w:rPr>
                <w:rFonts w:eastAsia="等线"/>
                <w:color w:val="000000"/>
                <w:kern w:val="0"/>
                <w:sz w:val="20"/>
                <w:szCs w:val="20"/>
              </w:rPr>
              <w:t>IP66</w:t>
            </w:r>
            <w:r>
              <w:rPr>
                <w:rFonts w:hint="eastAsia" w:ascii="宋体" w:hAnsi="宋体"/>
                <w:color w:val="000000"/>
                <w:kern w:val="0"/>
                <w:sz w:val="20"/>
                <w:szCs w:val="20"/>
              </w:rPr>
              <w:t>防护等级</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台</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832</w:t>
            </w:r>
          </w:p>
        </w:tc>
      </w:tr>
      <w:tr>
        <w:tblPrEx>
          <w:tblCellMar>
            <w:top w:w="0" w:type="dxa"/>
            <w:left w:w="108" w:type="dxa"/>
            <w:bottom w:w="0" w:type="dxa"/>
            <w:right w:w="108" w:type="dxa"/>
          </w:tblCellMar>
        </w:tblPrEx>
        <w:trPr>
          <w:trHeight w:val="480"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摄像机电源（单目结构化摄像机）</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应支持不低于</w:t>
            </w:r>
            <w:r>
              <w:rPr>
                <w:rFonts w:eastAsia="等线"/>
                <w:color w:val="000000"/>
                <w:kern w:val="0"/>
                <w:sz w:val="20"/>
                <w:szCs w:val="20"/>
              </w:rPr>
              <w:t>DC12V</w:t>
            </w:r>
            <w:r>
              <w:rPr>
                <w:rFonts w:hint="eastAsia" w:ascii="宋体" w:hAnsi="宋体"/>
                <w:color w:val="000000"/>
                <w:kern w:val="0"/>
                <w:sz w:val="20"/>
                <w:szCs w:val="20"/>
              </w:rPr>
              <w:t>，输出功率</w:t>
            </w:r>
            <w:r>
              <w:rPr>
                <w:rFonts w:eastAsia="等线"/>
                <w:color w:val="000000"/>
                <w:kern w:val="0"/>
                <w:sz w:val="20"/>
                <w:szCs w:val="20"/>
              </w:rPr>
              <w:t>36W</w:t>
            </w:r>
            <w:r>
              <w:rPr>
                <w:rFonts w:hint="eastAsia" w:ascii="宋体" w:hAnsi="宋体"/>
                <w:color w:val="000000"/>
                <w:kern w:val="0"/>
                <w:sz w:val="20"/>
                <w:szCs w:val="20"/>
              </w:rPr>
              <w:t>。</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个</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832</w:t>
            </w:r>
          </w:p>
        </w:tc>
      </w:tr>
      <w:tr>
        <w:tblPrEx>
          <w:tblCellMar>
            <w:top w:w="0" w:type="dxa"/>
            <w:left w:w="108" w:type="dxa"/>
            <w:bottom w:w="0" w:type="dxa"/>
            <w:right w:w="108" w:type="dxa"/>
          </w:tblCellMar>
        </w:tblPrEx>
        <w:trPr>
          <w:trHeight w:val="480"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万向节（单目结构化摄像机）</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万向节，调节上下角度</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个</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832</w:t>
            </w:r>
          </w:p>
        </w:tc>
      </w:tr>
      <w:tr>
        <w:tblPrEx>
          <w:tblCellMar>
            <w:top w:w="0" w:type="dxa"/>
            <w:left w:w="108" w:type="dxa"/>
            <w:bottom w:w="0" w:type="dxa"/>
            <w:right w:w="108" w:type="dxa"/>
          </w:tblCellMar>
        </w:tblPrEx>
        <w:trPr>
          <w:trHeight w:val="2352" w:hRule="atLeast"/>
        </w:trPr>
        <w:tc>
          <w:tcPr>
            <w:tcW w:w="60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3</w:t>
            </w:r>
          </w:p>
        </w:tc>
        <w:tc>
          <w:tcPr>
            <w:tcW w:w="74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900W车辆环保卡口</w:t>
            </w: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900W</w:t>
            </w:r>
            <w:r>
              <w:rPr>
                <w:rFonts w:hint="eastAsia" w:ascii="宋体" w:hAnsi="宋体"/>
                <w:color w:val="000000"/>
                <w:kern w:val="0"/>
                <w:sz w:val="20"/>
                <w:szCs w:val="20"/>
              </w:rPr>
              <w:t>车辆环保卡口摄像机</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r>
              <w:rPr>
                <w:rFonts w:hint="eastAsia" w:ascii="宋体" w:hAnsi="宋体"/>
                <w:color w:val="000000"/>
                <w:kern w:val="0"/>
                <w:sz w:val="20"/>
                <w:szCs w:val="20"/>
              </w:rPr>
              <w:t>像素≥900万；</w:t>
            </w:r>
            <w:r>
              <w:rPr>
                <w:rFonts w:hint="eastAsia" w:ascii="宋体" w:hAnsi="宋体"/>
                <w:color w:val="000000"/>
                <w:kern w:val="0"/>
                <w:sz w:val="20"/>
                <w:szCs w:val="20"/>
              </w:rPr>
              <w:br w:type="textWrapping"/>
            </w:r>
            <w:r>
              <w:rPr>
                <w:rFonts w:eastAsia="等线"/>
                <w:color w:val="000000"/>
                <w:kern w:val="0"/>
                <w:sz w:val="20"/>
                <w:szCs w:val="20"/>
              </w:rPr>
              <w:t>2.</w:t>
            </w:r>
            <w:r>
              <w:rPr>
                <w:rFonts w:hint="eastAsia" w:ascii="宋体" w:hAnsi="宋体"/>
                <w:color w:val="000000"/>
                <w:kern w:val="0"/>
                <w:sz w:val="20"/>
                <w:szCs w:val="20"/>
              </w:rPr>
              <w:t>视频分辨率：</w:t>
            </w:r>
            <w:r>
              <w:rPr>
                <w:rFonts w:eastAsia="等线"/>
                <w:color w:val="000000"/>
                <w:kern w:val="0"/>
                <w:sz w:val="20"/>
                <w:szCs w:val="20"/>
              </w:rPr>
              <w:t>4096(H)×2160(V)</w:t>
            </w:r>
            <w:r>
              <w:rPr>
                <w:rFonts w:hint="eastAsia" w:ascii="宋体" w:hAnsi="宋体"/>
                <w:color w:val="000000"/>
                <w:kern w:val="0"/>
                <w:sz w:val="20"/>
                <w:szCs w:val="20"/>
              </w:rPr>
              <w:t>；</w:t>
            </w:r>
            <w:r>
              <w:rPr>
                <w:rFonts w:hint="eastAsia" w:ascii="宋体" w:hAnsi="宋体"/>
                <w:color w:val="000000"/>
                <w:kern w:val="0"/>
                <w:sz w:val="20"/>
                <w:szCs w:val="20"/>
              </w:rPr>
              <w:br w:type="textWrapping"/>
            </w:r>
            <w:r>
              <w:rPr>
                <w:rFonts w:eastAsia="等线"/>
                <w:color w:val="000000"/>
                <w:kern w:val="0"/>
                <w:sz w:val="20"/>
                <w:szCs w:val="20"/>
              </w:rPr>
              <w:t>3.</w:t>
            </w:r>
            <w:r>
              <w:rPr>
                <w:rFonts w:hint="eastAsia" w:ascii="宋体" w:hAnsi="宋体"/>
                <w:color w:val="000000"/>
                <w:kern w:val="0"/>
                <w:sz w:val="20"/>
                <w:szCs w:val="20"/>
              </w:rPr>
              <w:t>支持</w:t>
            </w:r>
            <w:r>
              <w:rPr>
                <w:rFonts w:eastAsia="等线"/>
                <w:color w:val="000000"/>
                <w:kern w:val="0"/>
                <w:sz w:val="20"/>
                <w:szCs w:val="20"/>
              </w:rPr>
              <w:t>GB/T28181-2016</w:t>
            </w:r>
            <w:r>
              <w:rPr>
                <w:rFonts w:hint="eastAsia" w:ascii="宋体" w:hAnsi="宋体"/>
                <w:color w:val="000000"/>
                <w:kern w:val="0"/>
                <w:sz w:val="20"/>
                <w:szCs w:val="20"/>
              </w:rPr>
              <w:t>协议；支持</w:t>
            </w:r>
            <w:r>
              <w:rPr>
                <w:rFonts w:eastAsia="等线"/>
                <w:color w:val="000000"/>
                <w:kern w:val="0"/>
                <w:sz w:val="20"/>
                <w:szCs w:val="20"/>
              </w:rPr>
              <w:t>GA/T1400</w:t>
            </w:r>
            <w:r>
              <w:rPr>
                <w:rFonts w:hint="eastAsia" w:ascii="宋体" w:hAnsi="宋体"/>
                <w:color w:val="000000"/>
                <w:kern w:val="0"/>
                <w:sz w:val="20"/>
                <w:szCs w:val="20"/>
              </w:rPr>
              <w:t>视图库协议；</w:t>
            </w:r>
            <w:r>
              <w:rPr>
                <w:rFonts w:hint="eastAsia" w:ascii="宋体" w:hAnsi="宋体"/>
                <w:color w:val="000000"/>
                <w:kern w:val="0"/>
                <w:sz w:val="20"/>
                <w:szCs w:val="20"/>
              </w:rPr>
              <w:br w:type="textWrapping"/>
            </w:r>
            <w:r>
              <w:rPr>
                <w:rFonts w:eastAsia="等线"/>
                <w:color w:val="000000"/>
                <w:kern w:val="0"/>
                <w:sz w:val="20"/>
                <w:szCs w:val="20"/>
              </w:rPr>
              <w:t>4.</w:t>
            </w:r>
            <w:r>
              <w:rPr>
                <w:rFonts w:hint="eastAsia" w:ascii="宋体" w:hAnsi="宋体"/>
                <w:color w:val="000000"/>
                <w:kern w:val="0"/>
                <w:sz w:val="20"/>
                <w:szCs w:val="20"/>
              </w:rPr>
              <w:t>支持车牌、车型、车身颜色、车辆主品牌及子品牌、安全带、遮阳板等信息识别；</w:t>
            </w:r>
            <w:r>
              <w:rPr>
                <w:rFonts w:hint="eastAsia" w:ascii="宋体" w:hAnsi="宋体"/>
                <w:color w:val="000000"/>
                <w:kern w:val="0"/>
                <w:sz w:val="20"/>
                <w:szCs w:val="20"/>
              </w:rPr>
              <w:br w:type="textWrapping"/>
            </w:r>
            <w:r>
              <w:rPr>
                <w:rFonts w:eastAsia="等线"/>
                <w:color w:val="000000"/>
                <w:kern w:val="0"/>
                <w:sz w:val="20"/>
                <w:szCs w:val="20"/>
              </w:rPr>
              <w:t>5.</w:t>
            </w:r>
            <w:r>
              <w:rPr>
                <w:rFonts w:hint="eastAsia" w:ascii="宋体" w:hAnsi="宋体"/>
                <w:color w:val="000000"/>
                <w:kern w:val="0"/>
                <w:sz w:val="20"/>
                <w:szCs w:val="20"/>
              </w:rPr>
              <w:t>支持多种车牌种类识别；支持多种常见颜色识别；支持多种车型识别；（提供公安部权威机构出具的产品检测报告，并加盖生产厂商公章）</w:t>
            </w:r>
            <w:r>
              <w:rPr>
                <w:rFonts w:hint="eastAsia" w:ascii="宋体" w:hAnsi="宋体"/>
                <w:color w:val="000000"/>
                <w:kern w:val="0"/>
                <w:sz w:val="20"/>
                <w:szCs w:val="20"/>
              </w:rPr>
              <w:br w:type="textWrapping"/>
            </w:r>
            <w:r>
              <w:rPr>
                <w:rFonts w:eastAsia="等线"/>
                <w:color w:val="000000"/>
                <w:kern w:val="0"/>
                <w:sz w:val="20"/>
                <w:szCs w:val="20"/>
              </w:rPr>
              <w:t>6.</w:t>
            </w:r>
            <w:r>
              <w:rPr>
                <w:rFonts w:hint="eastAsia" w:ascii="宋体" w:hAnsi="宋体"/>
                <w:color w:val="000000"/>
                <w:kern w:val="0"/>
                <w:sz w:val="20"/>
                <w:szCs w:val="20"/>
              </w:rPr>
              <w:t>具有防尘、防水滴、防浪涌等功能；应包含高清镜头、室外防护罩、万向节；</w:t>
            </w:r>
            <w:r>
              <w:rPr>
                <w:rFonts w:hint="eastAsia" w:ascii="宋体" w:hAnsi="宋体"/>
                <w:color w:val="000000"/>
                <w:kern w:val="0"/>
                <w:sz w:val="20"/>
                <w:szCs w:val="20"/>
              </w:rPr>
              <w:br w:type="textWrapping"/>
            </w:r>
            <w:r>
              <w:rPr>
                <w:rFonts w:eastAsia="等线"/>
                <w:color w:val="000000"/>
                <w:kern w:val="0"/>
                <w:sz w:val="20"/>
                <w:szCs w:val="20"/>
              </w:rPr>
              <w:t>7.</w:t>
            </w:r>
            <w:r>
              <w:rPr>
                <w:rFonts w:hint="eastAsia" w:ascii="宋体" w:hAnsi="宋体"/>
                <w:color w:val="000000"/>
                <w:kern w:val="0"/>
                <w:sz w:val="20"/>
                <w:szCs w:val="20"/>
              </w:rPr>
              <w:t>不低于</w:t>
            </w:r>
            <w:r>
              <w:rPr>
                <w:rFonts w:eastAsia="等线"/>
                <w:color w:val="000000"/>
                <w:kern w:val="0"/>
                <w:sz w:val="20"/>
                <w:szCs w:val="20"/>
              </w:rPr>
              <w:t>IP66</w:t>
            </w:r>
            <w:r>
              <w:rPr>
                <w:rFonts w:hint="eastAsia" w:ascii="宋体" w:hAnsi="宋体"/>
                <w:color w:val="000000"/>
                <w:kern w:val="0"/>
                <w:sz w:val="20"/>
                <w:szCs w:val="20"/>
              </w:rPr>
              <w:t>防护等级；</w:t>
            </w:r>
            <w:r>
              <w:rPr>
                <w:rFonts w:hint="eastAsia" w:ascii="宋体" w:hAnsi="宋体"/>
                <w:color w:val="000000"/>
                <w:kern w:val="0"/>
                <w:sz w:val="20"/>
                <w:szCs w:val="20"/>
              </w:rPr>
              <w:br w:type="textWrapping"/>
            </w:r>
            <w:r>
              <w:rPr>
                <w:rFonts w:eastAsia="等线"/>
                <w:color w:val="000000"/>
                <w:kern w:val="0"/>
                <w:sz w:val="20"/>
                <w:szCs w:val="20"/>
              </w:rPr>
              <w:t>8.</w:t>
            </w:r>
            <w:r>
              <w:rPr>
                <w:rFonts w:hint="eastAsia" w:ascii="宋体" w:hAnsi="宋体"/>
                <w:color w:val="000000"/>
                <w:kern w:val="0"/>
                <w:sz w:val="20"/>
                <w:szCs w:val="20"/>
              </w:rPr>
              <w:t>夜间补光使用环保补光灯；</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台</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43</w:t>
            </w:r>
          </w:p>
        </w:tc>
      </w:tr>
      <w:tr>
        <w:tblPrEx>
          <w:tblCellMar>
            <w:top w:w="0" w:type="dxa"/>
            <w:left w:w="108" w:type="dxa"/>
            <w:bottom w:w="0" w:type="dxa"/>
            <w:right w:w="108" w:type="dxa"/>
          </w:tblCellMar>
        </w:tblPrEx>
        <w:trPr>
          <w:trHeight w:val="1320"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多合一补光灯（</w:t>
            </w:r>
            <w:r>
              <w:rPr>
                <w:rFonts w:eastAsia="等线"/>
                <w:color w:val="000000"/>
                <w:kern w:val="0"/>
                <w:sz w:val="20"/>
                <w:szCs w:val="20"/>
              </w:rPr>
              <w:t>900W</w:t>
            </w:r>
            <w:r>
              <w:rPr>
                <w:rFonts w:hint="eastAsia" w:ascii="宋体" w:hAnsi="宋体"/>
                <w:color w:val="000000"/>
                <w:kern w:val="0"/>
                <w:sz w:val="20"/>
                <w:szCs w:val="20"/>
              </w:rPr>
              <w:t>车辆环保卡口）</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r>
              <w:rPr>
                <w:rFonts w:hint="eastAsia" w:ascii="宋体" w:hAnsi="宋体"/>
                <w:color w:val="000000"/>
                <w:kern w:val="0"/>
                <w:sz w:val="20"/>
                <w:szCs w:val="20"/>
              </w:rPr>
              <w:t>支持</w:t>
            </w:r>
            <w:r>
              <w:rPr>
                <w:rFonts w:eastAsia="等线"/>
                <w:color w:val="000000"/>
                <w:kern w:val="0"/>
                <w:sz w:val="20"/>
                <w:szCs w:val="20"/>
              </w:rPr>
              <w:t>LED</w:t>
            </w:r>
            <w:r>
              <w:rPr>
                <w:rFonts w:hint="eastAsia" w:ascii="宋体" w:hAnsi="宋体"/>
                <w:color w:val="000000"/>
                <w:kern w:val="0"/>
                <w:sz w:val="20"/>
                <w:szCs w:val="20"/>
              </w:rPr>
              <w:t>灯频闪、白光气体爆闪，红外气体爆闪</w:t>
            </w:r>
            <w:r>
              <w:rPr>
                <w:rFonts w:hint="eastAsia" w:ascii="宋体" w:hAnsi="宋体"/>
                <w:color w:val="000000"/>
                <w:kern w:val="0"/>
                <w:sz w:val="20"/>
                <w:szCs w:val="20"/>
              </w:rPr>
              <w:br w:type="textWrapping"/>
            </w:r>
            <w:r>
              <w:rPr>
                <w:rFonts w:eastAsia="等线"/>
                <w:color w:val="000000"/>
                <w:kern w:val="0"/>
                <w:sz w:val="20"/>
                <w:szCs w:val="20"/>
              </w:rPr>
              <w:t>2.</w:t>
            </w:r>
            <w:r>
              <w:rPr>
                <w:rFonts w:hint="eastAsia" w:ascii="宋体" w:hAnsi="宋体"/>
                <w:color w:val="000000"/>
                <w:kern w:val="0"/>
                <w:sz w:val="20"/>
                <w:szCs w:val="20"/>
              </w:rPr>
              <w:t>支持相机误触发保护功能，触发信号输入异常时自动保护、且自动恢复</w:t>
            </w:r>
            <w:r>
              <w:rPr>
                <w:rFonts w:hint="eastAsia" w:ascii="宋体" w:hAnsi="宋体"/>
                <w:color w:val="000000"/>
                <w:kern w:val="0"/>
                <w:sz w:val="20"/>
                <w:szCs w:val="20"/>
              </w:rPr>
              <w:br w:type="textWrapping"/>
            </w:r>
            <w:r>
              <w:rPr>
                <w:rFonts w:eastAsia="等线"/>
                <w:color w:val="000000"/>
                <w:kern w:val="0"/>
                <w:sz w:val="20"/>
                <w:szCs w:val="20"/>
              </w:rPr>
              <w:t>3.</w:t>
            </w:r>
            <w:r>
              <w:rPr>
                <w:rFonts w:hint="eastAsia" w:ascii="宋体" w:hAnsi="宋体"/>
                <w:color w:val="000000"/>
                <w:kern w:val="0"/>
                <w:sz w:val="20"/>
                <w:szCs w:val="20"/>
              </w:rPr>
              <w:t>回电时间≤</w:t>
            </w:r>
            <w:r>
              <w:rPr>
                <w:rFonts w:eastAsia="等线"/>
                <w:color w:val="000000"/>
                <w:kern w:val="0"/>
                <w:sz w:val="20"/>
                <w:szCs w:val="20"/>
              </w:rPr>
              <w:t>67ms</w:t>
            </w:r>
            <w:r>
              <w:rPr>
                <w:rFonts w:hint="eastAsia" w:ascii="宋体" w:hAnsi="宋体"/>
                <w:color w:val="000000"/>
                <w:kern w:val="0"/>
                <w:sz w:val="20"/>
                <w:szCs w:val="20"/>
              </w:rPr>
              <w:t>，支持超速连拍</w:t>
            </w:r>
            <w:r>
              <w:rPr>
                <w:rFonts w:hint="eastAsia" w:ascii="宋体" w:hAnsi="宋体"/>
                <w:color w:val="000000"/>
                <w:kern w:val="0"/>
                <w:sz w:val="20"/>
                <w:szCs w:val="20"/>
              </w:rPr>
              <w:br w:type="textWrapping"/>
            </w:r>
            <w:r>
              <w:rPr>
                <w:rFonts w:eastAsia="等线"/>
                <w:color w:val="000000"/>
                <w:kern w:val="0"/>
                <w:sz w:val="20"/>
                <w:szCs w:val="20"/>
              </w:rPr>
              <w:t>4.</w:t>
            </w:r>
            <w:r>
              <w:rPr>
                <w:rFonts w:hint="eastAsia" w:ascii="宋体" w:hAnsi="宋体"/>
                <w:color w:val="000000"/>
                <w:kern w:val="0"/>
                <w:sz w:val="20"/>
                <w:szCs w:val="20"/>
              </w:rPr>
              <w:t>气体补光控制具有峰值抑制功能</w:t>
            </w:r>
            <w:r>
              <w:rPr>
                <w:rFonts w:hint="eastAsia" w:ascii="宋体" w:hAnsi="宋体"/>
                <w:color w:val="000000"/>
                <w:kern w:val="0"/>
                <w:sz w:val="20"/>
                <w:szCs w:val="20"/>
              </w:rPr>
              <w:br w:type="textWrapping"/>
            </w:r>
            <w:r>
              <w:rPr>
                <w:rFonts w:eastAsia="等线"/>
                <w:color w:val="000000"/>
                <w:kern w:val="0"/>
                <w:sz w:val="20"/>
                <w:szCs w:val="20"/>
              </w:rPr>
              <w:t>5.</w:t>
            </w:r>
            <w:r>
              <w:rPr>
                <w:rFonts w:hint="eastAsia" w:ascii="宋体" w:hAnsi="宋体"/>
                <w:color w:val="000000"/>
                <w:kern w:val="0"/>
                <w:sz w:val="20"/>
                <w:szCs w:val="20"/>
              </w:rPr>
              <w:t>防护等级：不低于</w:t>
            </w:r>
            <w:r>
              <w:rPr>
                <w:rFonts w:eastAsia="等线"/>
                <w:color w:val="000000"/>
                <w:kern w:val="0"/>
                <w:sz w:val="20"/>
                <w:szCs w:val="20"/>
              </w:rPr>
              <w:t>IP65</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个</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110</w:t>
            </w:r>
          </w:p>
        </w:tc>
      </w:tr>
      <w:tr>
        <w:tblPrEx>
          <w:tblCellMar>
            <w:top w:w="0" w:type="dxa"/>
            <w:left w:w="108" w:type="dxa"/>
            <w:bottom w:w="0" w:type="dxa"/>
            <w:right w:w="108" w:type="dxa"/>
          </w:tblCellMar>
        </w:tblPrEx>
        <w:trPr>
          <w:trHeight w:val="1920" w:hRule="atLeast"/>
        </w:trPr>
        <w:tc>
          <w:tcPr>
            <w:tcW w:w="60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4</w:t>
            </w:r>
          </w:p>
        </w:tc>
        <w:tc>
          <w:tcPr>
            <w:tcW w:w="74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900W</w:t>
            </w:r>
            <w:r>
              <w:rPr>
                <w:rFonts w:hint="eastAsia" w:ascii="宋体" w:hAnsi="宋体"/>
                <w:color w:val="000000"/>
                <w:kern w:val="0"/>
                <w:sz w:val="20"/>
                <w:szCs w:val="20"/>
              </w:rPr>
              <w:t>电警卡口</w:t>
            </w: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900W</w:t>
            </w:r>
            <w:r>
              <w:rPr>
                <w:rFonts w:hint="eastAsia" w:ascii="宋体" w:hAnsi="宋体"/>
                <w:color w:val="000000"/>
                <w:kern w:val="0"/>
                <w:sz w:val="20"/>
                <w:szCs w:val="20"/>
              </w:rPr>
              <w:t>电警卡口摄像机</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1.像素≥900W；分辨率：4096(H)×2160(V)；不低于1" 英寸全局曝光CMOS等传感器；</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2.视频压缩标准：H.265/H.264/MJPEG</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3.支持GB/T28181-2016协议；支持GA/T1400视图库协议</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4.接口：支持RJ45 100M/1000M自适应网口、RS485接口等</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5.目标检测：机动车抓拍，车辆捕获率≥99%（线圈）车辆捕获率≥99%（视频）；（提供公安部权威机构出具的产品检测报告，并加盖生产厂商公章）</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6.违章检测：压线、逆行、闯红灯、不按导向行驶、违法变道等；</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7.车辆特征检测：车牌识别、车型识别、车身颜色识别、车辆品牌等特征；</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台</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67</w:t>
            </w:r>
          </w:p>
        </w:tc>
      </w:tr>
      <w:tr>
        <w:tblPrEx>
          <w:tblCellMar>
            <w:top w:w="0" w:type="dxa"/>
            <w:left w:w="108" w:type="dxa"/>
            <w:bottom w:w="0" w:type="dxa"/>
            <w:right w:w="108" w:type="dxa"/>
          </w:tblCellMar>
        </w:tblPrEx>
        <w:trPr>
          <w:trHeight w:val="105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900W</w:t>
            </w:r>
            <w:r>
              <w:rPr>
                <w:rFonts w:hint="eastAsia" w:ascii="宋体" w:hAnsi="宋体"/>
                <w:color w:val="000000"/>
                <w:kern w:val="0"/>
                <w:sz w:val="20"/>
                <w:szCs w:val="20"/>
              </w:rPr>
              <w:t>电警补光灯</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r>
              <w:rPr>
                <w:rFonts w:hint="eastAsia" w:ascii="宋体" w:hAnsi="宋体"/>
                <w:color w:val="000000"/>
                <w:kern w:val="0"/>
                <w:sz w:val="20"/>
                <w:szCs w:val="20"/>
              </w:rPr>
              <w:t>光源类型：大功率</w:t>
            </w:r>
            <w:r>
              <w:rPr>
                <w:rFonts w:eastAsia="等线"/>
                <w:color w:val="000000"/>
                <w:kern w:val="0"/>
                <w:sz w:val="20"/>
                <w:szCs w:val="20"/>
              </w:rPr>
              <w:t>LED</w:t>
            </w:r>
            <w:r>
              <w:rPr>
                <w:rFonts w:hint="eastAsia" w:ascii="宋体" w:hAnsi="宋体"/>
                <w:color w:val="000000"/>
                <w:kern w:val="0"/>
                <w:sz w:val="20"/>
                <w:szCs w:val="20"/>
              </w:rPr>
              <w:t>，单车道环境补光；</w:t>
            </w:r>
            <w:r>
              <w:rPr>
                <w:rFonts w:hint="eastAsia" w:ascii="宋体" w:hAnsi="宋体"/>
                <w:color w:val="000000"/>
                <w:kern w:val="0"/>
                <w:sz w:val="20"/>
                <w:szCs w:val="20"/>
              </w:rPr>
              <w:br w:type="textWrapping"/>
            </w:r>
            <w:r>
              <w:rPr>
                <w:rFonts w:eastAsia="等线"/>
                <w:color w:val="000000"/>
                <w:kern w:val="0"/>
                <w:sz w:val="20"/>
                <w:szCs w:val="20"/>
              </w:rPr>
              <w:t>2.</w:t>
            </w:r>
            <w:r>
              <w:rPr>
                <w:rFonts w:hint="eastAsia" w:ascii="宋体" w:hAnsi="宋体"/>
                <w:color w:val="000000"/>
                <w:kern w:val="0"/>
                <w:sz w:val="20"/>
                <w:szCs w:val="20"/>
              </w:rPr>
              <w:t>补光距离：不低于</w:t>
            </w:r>
            <w:r>
              <w:rPr>
                <w:rFonts w:eastAsia="等线"/>
                <w:color w:val="000000"/>
                <w:kern w:val="0"/>
                <w:sz w:val="20"/>
                <w:szCs w:val="20"/>
              </w:rPr>
              <w:t>16</w:t>
            </w:r>
            <w:r>
              <w:rPr>
                <w:rFonts w:hint="eastAsia" w:ascii="宋体" w:hAnsi="宋体"/>
                <w:color w:val="000000"/>
                <w:kern w:val="0"/>
                <w:sz w:val="20"/>
                <w:szCs w:val="20"/>
              </w:rPr>
              <w:t>米</w:t>
            </w:r>
            <w:r>
              <w:rPr>
                <w:rFonts w:hint="eastAsia" w:ascii="宋体" w:hAnsi="宋体"/>
                <w:color w:val="000000"/>
                <w:kern w:val="0"/>
                <w:sz w:val="20"/>
                <w:szCs w:val="20"/>
              </w:rPr>
              <w:br w:type="textWrapping"/>
            </w:r>
            <w:r>
              <w:rPr>
                <w:rFonts w:eastAsia="等线"/>
                <w:color w:val="000000"/>
                <w:kern w:val="0"/>
                <w:sz w:val="20"/>
                <w:szCs w:val="20"/>
              </w:rPr>
              <w:t>3.</w:t>
            </w:r>
            <w:r>
              <w:rPr>
                <w:rFonts w:hint="eastAsia" w:ascii="宋体" w:hAnsi="宋体"/>
                <w:color w:val="000000"/>
                <w:kern w:val="0"/>
                <w:sz w:val="20"/>
                <w:szCs w:val="20"/>
              </w:rPr>
              <w:t>日夜功能：支持环境亮度监测</w:t>
            </w:r>
            <w:r>
              <w:rPr>
                <w:rFonts w:eastAsia="等线"/>
                <w:color w:val="000000"/>
                <w:kern w:val="0"/>
                <w:sz w:val="20"/>
                <w:szCs w:val="20"/>
              </w:rPr>
              <w:t>,</w:t>
            </w:r>
            <w:r>
              <w:rPr>
                <w:rFonts w:hint="eastAsia" w:ascii="宋体" w:hAnsi="宋体"/>
                <w:color w:val="000000"/>
                <w:kern w:val="0"/>
                <w:sz w:val="20"/>
                <w:szCs w:val="20"/>
              </w:rPr>
              <w:t>低照度下自动开启</w:t>
            </w:r>
            <w:r>
              <w:rPr>
                <w:rFonts w:hint="eastAsia" w:ascii="宋体" w:hAnsi="宋体"/>
                <w:color w:val="000000"/>
                <w:kern w:val="0"/>
                <w:sz w:val="20"/>
                <w:szCs w:val="20"/>
              </w:rPr>
              <w:br w:type="textWrapping"/>
            </w:r>
            <w:r>
              <w:rPr>
                <w:rFonts w:eastAsia="等线"/>
                <w:color w:val="000000"/>
                <w:kern w:val="0"/>
                <w:sz w:val="20"/>
                <w:szCs w:val="20"/>
              </w:rPr>
              <w:t>4.</w:t>
            </w:r>
            <w:r>
              <w:rPr>
                <w:rFonts w:hint="eastAsia" w:ascii="宋体" w:hAnsi="宋体"/>
                <w:color w:val="000000"/>
                <w:kern w:val="0"/>
                <w:sz w:val="20"/>
                <w:szCs w:val="20"/>
              </w:rPr>
              <w:t>防护等级：不低于</w:t>
            </w:r>
            <w:r>
              <w:rPr>
                <w:rFonts w:eastAsia="等线"/>
                <w:color w:val="000000"/>
                <w:kern w:val="0"/>
                <w:sz w:val="20"/>
                <w:szCs w:val="20"/>
              </w:rPr>
              <w:t>IP66</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台</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200</w:t>
            </w:r>
          </w:p>
        </w:tc>
      </w:tr>
      <w:tr>
        <w:tblPrEx>
          <w:tblCellMar>
            <w:top w:w="0" w:type="dxa"/>
            <w:left w:w="108" w:type="dxa"/>
            <w:bottom w:w="0" w:type="dxa"/>
            <w:right w:w="108" w:type="dxa"/>
          </w:tblCellMar>
        </w:tblPrEx>
        <w:trPr>
          <w:trHeight w:val="1824" w:hRule="atLeast"/>
        </w:trPr>
        <w:tc>
          <w:tcPr>
            <w:tcW w:w="60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5</w:t>
            </w:r>
          </w:p>
        </w:tc>
        <w:tc>
          <w:tcPr>
            <w:tcW w:w="74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治安监控相机</w:t>
            </w: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治安监控球机</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r>
              <w:rPr>
                <w:rFonts w:hint="eastAsia" w:ascii="宋体" w:hAnsi="宋体"/>
                <w:color w:val="000000"/>
                <w:kern w:val="0"/>
                <w:sz w:val="20"/>
                <w:szCs w:val="20"/>
              </w:rPr>
              <w:t>像素≥400万像素，传感器尺寸≥1/1.8英寸；分辨率≥2560×1440</w:t>
            </w:r>
            <w:r>
              <w:rPr>
                <w:rFonts w:eastAsia="等线"/>
                <w:color w:val="000000"/>
                <w:kern w:val="0"/>
                <w:sz w:val="20"/>
                <w:szCs w:val="20"/>
              </w:rPr>
              <w:br w:type="textWrapping"/>
            </w:r>
            <w:r>
              <w:rPr>
                <w:rFonts w:eastAsia="等线"/>
                <w:color w:val="000000"/>
                <w:kern w:val="0"/>
                <w:sz w:val="20"/>
                <w:szCs w:val="20"/>
              </w:rPr>
              <w:t>2.</w:t>
            </w:r>
            <w:r>
              <w:rPr>
                <w:rFonts w:hint="eastAsia" w:ascii="宋体" w:hAnsi="宋体"/>
                <w:color w:val="000000"/>
                <w:kern w:val="0"/>
                <w:sz w:val="20"/>
                <w:szCs w:val="20"/>
              </w:rPr>
              <w:t>不低于</w:t>
            </w:r>
            <w:r>
              <w:rPr>
                <w:rFonts w:eastAsia="等线"/>
                <w:color w:val="000000"/>
                <w:kern w:val="0"/>
                <w:sz w:val="20"/>
                <w:szCs w:val="20"/>
              </w:rPr>
              <w:t>33</w:t>
            </w:r>
            <w:r>
              <w:rPr>
                <w:rFonts w:hint="eastAsia" w:ascii="宋体" w:hAnsi="宋体"/>
                <w:color w:val="000000"/>
                <w:kern w:val="0"/>
                <w:sz w:val="20"/>
                <w:szCs w:val="20"/>
              </w:rPr>
              <w:t>倍光学变倍（提供公安部权威机构出具的产品检测报告，并加盖生产厂商公章）</w:t>
            </w:r>
            <w:r>
              <w:rPr>
                <w:rFonts w:hint="eastAsia" w:ascii="宋体" w:hAnsi="宋体"/>
                <w:color w:val="000000"/>
                <w:kern w:val="0"/>
                <w:sz w:val="20"/>
                <w:szCs w:val="20"/>
              </w:rPr>
              <w:br w:type="textWrapping"/>
            </w:r>
            <w:r>
              <w:rPr>
                <w:rFonts w:eastAsia="等线"/>
                <w:color w:val="000000"/>
                <w:kern w:val="0"/>
                <w:sz w:val="20"/>
                <w:szCs w:val="20"/>
              </w:rPr>
              <w:t>3.</w:t>
            </w:r>
            <w:r>
              <w:rPr>
                <w:rFonts w:hint="eastAsia" w:ascii="宋体" w:hAnsi="宋体"/>
                <w:color w:val="000000"/>
                <w:kern w:val="0"/>
                <w:sz w:val="20"/>
                <w:szCs w:val="20"/>
              </w:rPr>
              <w:t>当环境照度低于一定值时，通过红外灯照射，可探测距离不小于</w:t>
            </w:r>
            <w:r>
              <w:rPr>
                <w:rFonts w:eastAsia="等线"/>
                <w:color w:val="000000"/>
                <w:kern w:val="0"/>
                <w:sz w:val="20"/>
                <w:szCs w:val="20"/>
              </w:rPr>
              <w:t>200</w:t>
            </w:r>
            <w:r>
              <w:rPr>
                <w:rFonts w:hint="eastAsia" w:ascii="宋体" w:hAnsi="宋体"/>
                <w:color w:val="000000"/>
                <w:kern w:val="0"/>
                <w:sz w:val="20"/>
                <w:szCs w:val="20"/>
              </w:rPr>
              <w:t>米处所摄目标的轮廓和状态</w:t>
            </w:r>
            <w:r>
              <w:rPr>
                <w:rFonts w:hint="eastAsia" w:ascii="宋体" w:hAnsi="宋体"/>
                <w:color w:val="000000"/>
                <w:kern w:val="0"/>
                <w:sz w:val="20"/>
                <w:szCs w:val="20"/>
              </w:rPr>
              <w:br w:type="textWrapping"/>
            </w:r>
            <w:r>
              <w:rPr>
                <w:rFonts w:eastAsia="等线"/>
                <w:color w:val="000000"/>
                <w:kern w:val="0"/>
                <w:sz w:val="20"/>
                <w:szCs w:val="20"/>
              </w:rPr>
              <w:t>4.</w:t>
            </w:r>
            <w:r>
              <w:rPr>
                <w:rFonts w:hint="eastAsia" w:ascii="宋体" w:hAnsi="宋体"/>
                <w:color w:val="000000"/>
                <w:kern w:val="0"/>
                <w:sz w:val="20"/>
                <w:szCs w:val="20"/>
              </w:rPr>
              <w:t>支持</w:t>
            </w:r>
            <w:r>
              <w:rPr>
                <w:rFonts w:eastAsia="等线"/>
                <w:color w:val="000000"/>
                <w:kern w:val="0"/>
                <w:sz w:val="20"/>
                <w:szCs w:val="20"/>
              </w:rPr>
              <w:t>H.264</w:t>
            </w:r>
            <w:r>
              <w:rPr>
                <w:rFonts w:hint="eastAsia" w:ascii="宋体" w:hAnsi="宋体"/>
                <w:color w:val="000000"/>
                <w:kern w:val="0"/>
                <w:sz w:val="20"/>
                <w:szCs w:val="20"/>
              </w:rPr>
              <w:t>、</w:t>
            </w:r>
            <w:r>
              <w:rPr>
                <w:rFonts w:eastAsia="等线"/>
                <w:color w:val="000000"/>
                <w:kern w:val="0"/>
                <w:sz w:val="20"/>
                <w:szCs w:val="20"/>
              </w:rPr>
              <w:t>H.265</w:t>
            </w:r>
            <w:r>
              <w:rPr>
                <w:rFonts w:hint="eastAsia" w:ascii="宋体" w:hAnsi="宋体"/>
                <w:color w:val="000000"/>
                <w:kern w:val="0"/>
                <w:sz w:val="20"/>
                <w:szCs w:val="20"/>
              </w:rPr>
              <w:t>及</w:t>
            </w:r>
            <w:r>
              <w:rPr>
                <w:rFonts w:eastAsia="等线"/>
                <w:color w:val="000000"/>
                <w:kern w:val="0"/>
                <w:sz w:val="20"/>
                <w:szCs w:val="20"/>
              </w:rPr>
              <w:t>MJPEG</w:t>
            </w:r>
            <w:r>
              <w:rPr>
                <w:rFonts w:eastAsia="等线"/>
                <w:color w:val="000000"/>
                <w:kern w:val="0"/>
                <w:sz w:val="20"/>
                <w:szCs w:val="20"/>
              </w:rPr>
              <w:br w:type="textWrapping"/>
            </w:r>
            <w:r>
              <w:rPr>
                <w:rFonts w:eastAsia="等线"/>
                <w:color w:val="000000"/>
                <w:kern w:val="0"/>
                <w:sz w:val="20"/>
                <w:szCs w:val="20"/>
              </w:rPr>
              <w:t>5.</w:t>
            </w:r>
            <w:r>
              <w:rPr>
                <w:rFonts w:hint="eastAsia" w:ascii="宋体" w:hAnsi="宋体"/>
                <w:color w:val="000000"/>
                <w:kern w:val="0"/>
                <w:sz w:val="20"/>
                <w:szCs w:val="20"/>
              </w:rPr>
              <w:t>支持</w:t>
            </w:r>
            <w:r>
              <w:rPr>
                <w:rFonts w:eastAsia="等线"/>
                <w:color w:val="000000"/>
                <w:kern w:val="0"/>
                <w:sz w:val="20"/>
                <w:szCs w:val="20"/>
              </w:rPr>
              <w:t>GB/T28181-2016</w:t>
            </w:r>
            <w:r>
              <w:rPr>
                <w:rFonts w:hint="eastAsia" w:ascii="宋体" w:hAnsi="宋体"/>
                <w:color w:val="000000"/>
                <w:kern w:val="0"/>
                <w:sz w:val="20"/>
                <w:szCs w:val="20"/>
              </w:rPr>
              <w:t>协议；支持</w:t>
            </w:r>
            <w:r>
              <w:rPr>
                <w:rFonts w:eastAsia="等线"/>
                <w:color w:val="000000"/>
                <w:kern w:val="0"/>
                <w:sz w:val="20"/>
                <w:szCs w:val="20"/>
              </w:rPr>
              <w:t>GA/T1400</w:t>
            </w:r>
            <w:r>
              <w:rPr>
                <w:rFonts w:hint="eastAsia" w:ascii="宋体" w:hAnsi="宋体"/>
                <w:color w:val="000000"/>
                <w:kern w:val="0"/>
                <w:sz w:val="20"/>
                <w:szCs w:val="20"/>
              </w:rPr>
              <w:t>视图库协议</w:t>
            </w:r>
            <w:r>
              <w:rPr>
                <w:rFonts w:hint="eastAsia" w:ascii="宋体" w:hAnsi="宋体"/>
                <w:color w:val="000000"/>
                <w:kern w:val="0"/>
                <w:sz w:val="20"/>
                <w:szCs w:val="20"/>
              </w:rPr>
              <w:br w:type="textWrapping"/>
            </w:r>
            <w:r>
              <w:rPr>
                <w:rFonts w:eastAsia="等线"/>
                <w:color w:val="000000"/>
                <w:kern w:val="0"/>
                <w:sz w:val="20"/>
                <w:szCs w:val="20"/>
              </w:rPr>
              <w:t>6.</w:t>
            </w:r>
            <w:r>
              <w:rPr>
                <w:rFonts w:hint="eastAsia" w:ascii="宋体" w:hAnsi="宋体"/>
                <w:color w:val="000000"/>
                <w:kern w:val="0"/>
                <w:sz w:val="20"/>
                <w:szCs w:val="20"/>
              </w:rPr>
              <w:t>防护等级：不低于</w:t>
            </w:r>
            <w:r>
              <w:rPr>
                <w:rFonts w:eastAsia="等线"/>
                <w:color w:val="000000"/>
                <w:kern w:val="0"/>
                <w:sz w:val="20"/>
                <w:szCs w:val="20"/>
              </w:rPr>
              <w:t>IP66</w:t>
            </w:r>
            <w:r>
              <w:rPr>
                <w:rFonts w:hint="eastAsia" w:ascii="宋体" w:hAnsi="宋体"/>
                <w:color w:val="000000"/>
                <w:kern w:val="0"/>
                <w:sz w:val="20"/>
                <w:szCs w:val="20"/>
              </w:rPr>
              <w:t>；支持在</w:t>
            </w:r>
            <w:r>
              <w:rPr>
                <w:rFonts w:eastAsia="等线"/>
                <w:color w:val="000000"/>
                <w:kern w:val="0"/>
                <w:sz w:val="20"/>
                <w:szCs w:val="20"/>
              </w:rPr>
              <w:t>-40°~70°</w:t>
            </w:r>
            <w:r>
              <w:rPr>
                <w:rFonts w:hint="eastAsia" w:ascii="宋体" w:hAnsi="宋体"/>
                <w:color w:val="000000"/>
                <w:kern w:val="0"/>
                <w:sz w:val="20"/>
                <w:szCs w:val="20"/>
              </w:rPr>
              <w:t>的环境下运行</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台</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100</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治安监控球机支架</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高清高速球立柱安装支架</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个</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100</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治安监控球机电源</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治安监控球机电源</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个</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100</w:t>
            </w:r>
          </w:p>
        </w:tc>
      </w:tr>
      <w:tr>
        <w:tblPrEx>
          <w:tblCellMar>
            <w:top w:w="0" w:type="dxa"/>
            <w:left w:w="108" w:type="dxa"/>
            <w:bottom w:w="0" w:type="dxa"/>
            <w:right w:w="108" w:type="dxa"/>
          </w:tblCellMar>
        </w:tblPrEx>
        <w:trPr>
          <w:trHeight w:val="2568" w:hRule="atLeast"/>
        </w:trPr>
        <w:tc>
          <w:tcPr>
            <w:tcW w:w="60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6</w:t>
            </w:r>
          </w:p>
        </w:tc>
        <w:tc>
          <w:tcPr>
            <w:tcW w:w="74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双目结构化相机</w:t>
            </w: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双目结构化相机</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1.≥400万像素，图像分辨率≥2560*1440，传感器尺寸≥1/1.8英寸；</w:t>
            </w:r>
            <w:r>
              <w:rPr>
                <w:rFonts w:hint="eastAsia" w:ascii="宋体" w:hAnsi="宋体"/>
                <w:color w:val="000000"/>
                <w:kern w:val="0"/>
                <w:sz w:val="20"/>
                <w:szCs w:val="20"/>
              </w:rPr>
              <w:br w:type="textWrapping"/>
            </w:r>
            <w:r>
              <w:rPr>
                <w:rFonts w:eastAsia="等线"/>
                <w:color w:val="000000"/>
                <w:kern w:val="0"/>
                <w:sz w:val="20"/>
                <w:szCs w:val="20"/>
              </w:rPr>
              <w:t>2.</w:t>
            </w:r>
            <w:r>
              <w:rPr>
                <w:rFonts w:hint="eastAsia" w:ascii="宋体" w:hAnsi="宋体"/>
                <w:color w:val="000000"/>
                <w:kern w:val="0"/>
                <w:sz w:val="20"/>
                <w:szCs w:val="20"/>
              </w:rPr>
              <w:t>支持混合补光，补光距离不低于</w:t>
            </w:r>
            <w:r>
              <w:rPr>
                <w:rFonts w:eastAsia="等线"/>
                <w:color w:val="000000"/>
                <w:kern w:val="0"/>
                <w:sz w:val="20"/>
                <w:szCs w:val="20"/>
              </w:rPr>
              <w:t>50</w:t>
            </w:r>
            <w:r>
              <w:rPr>
                <w:rFonts w:hint="eastAsia" w:ascii="宋体" w:hAnsi="宋体"/>
                <w:color w:val="000000"/>
                <w:kern w:val="0"/>
                <w:sz w:val="20"/>
                <w:szCs w:val="20"/>
              </w:rPr>
              <w:t>米；</w:t>
            </w:r>
            <w:r>
              <w:rPr>
                <w:rFonts w:hint="eastAsia" w:ascii="宋体" w:hAnsi="宋体"/>
                <w:color w:val="000000"/>
                <w:kern w:val="0"/>
                <w:sz w:val="20"/>
                <w:szCs w:val="20"/>
              </w:rPr>
              <w:br w:type="textWrapping"/>
            </w:r>
            <w:r>
              <w:rPr>
                <w:rFonts w:eastAsia="等线"/>
                <w:color w:val="000000"/>
                <w:kern w:val="0"/>
                <w:sz w:val="20"/>
                <w:szCs w:val="20"/>
              </w:rPr>
              <w:t>3.</w:t>
            </w:r>
            <w:r>
              <w:rPr>
                <w:rFonts w:hint="eastAsia" w:ascii="宋体" w:hAnsi="宋体"/>
                <w:color w:val="000000"/>
                <w:kern w:val="0"/>
                <w:sz w:val="20"/>
                <w:szCs w:val="20"/>
              </w:rPr>
              <w:t>定焦通道不小于</w:t>
            </w:r>
            <w:r>
              <w:rPr>
                <w:rFonts w:eastAsia="等线"/>
                <w:color w:val="000000"/>
                <w:kern w:val="0"/>
                <w:sz w:val="20"/>
                <w:szCs w:val="20"/>
              </w:rPr>
              <w:t>400</w:t>
            </w:r>
            <w:r>
              <w:rPr>
                <w:rFonts w:hint="eastAsia" w:ascii="宋体" w:hAnsi="宋体"/>
                <w:color w:val="000000"/>
                <w:kern w:val="0"/>
                <w:sz w:val="20"/>
                <w:szCs w:val="20"/>
              </w:rPr>
              <w:t>万像素设备，变焦通道不小于</w:t>
            </w:r>
            <w:r>
              <w:rPr>
                <w:rFonts w:eastAsia="等线"/>
                <w:color w:val="000000"/>
                <w:kern w:val="0"/>
                <w:sz w:val="20"/>
                <w:szCs w:val="20"/>
              </w:rPr>
              <w:t>400</w:t>
            </w:r>
            <w:r>
              <w:rPr>
                <w:rFonts w:hint="eastAsia" w:ascii="宋体" w:hAnsi="宋体"/>
                <w:color w:val="000000"/>
                <w:kern w:val="0"/>
                <w:sz w:val="20"/>
                <w:szCs w:val="20"/>
              </w:rPr>
              <w:t>万像素设备；变焦通道</w:t>
            </w:r>
            <w:r>
              <w:rPr>
                <w:rFonts w:eastAsia="等线"/>
                <w:color w:val="000000"/>
                <w:kern w:val="0"/>
                <w:sz w:val="20"/>
                <w:szCs w:val="20"/>
              </w:rPr>
              <w:t>10~50 mm</w:t>
            </w:r>
            <w:r>
              <w:rPr>
                <w:rFonts w:hint="eastAsia" w:ascii="宋体" w:hAnsi="宋体"/>
                <w:color w:val="000000"/>
                <w:kern w:val="0"/>
                <w:sz w:val="20"/>
                <w:szCs w:val="20"/>
              </w:rPr>
              <w:t>，定焦通道</w:t>
            </w:r>
            <w:r>
              <w:rPr>
                <w:rFonts w:eastAsia="等线"/>
                <w:color w:val="000000"/>
                <w:kern w:val="0"/>
                <w:sz w:val="20"/>
                <w:szCs w:val="20"/>
              </w:rPr>
              <w:t>4mm</w:t>
            </w:r>
            <w:r>
              <w:rPr>
                <w:rFonts w:eastAsia="等线"/>
                <w:color w:val="000000"/>
                <w:kern w:val="0"/>
                <w:sz w:val="20"/>
                <w:szCs w:val="20"/>
              </w:rPr>
              <w:br w:type="textWrapping"/>
            </w:r>
            <w:r>
              <w:rPr>
                <w:rFonts w:eastAsia="等线"/>
                <w:color w:val="000000"/>
                <w:kern w:val="0"/>
                <w:sz w:val="20"/>
                <w:szCs w:val="20"/>
              </w:rPr>
              <w:t>4.</w:t>
            </w:r>
            <w:r>
              <w:rPr>
                <w:rFonts w:hint="eastAsia" w:ascii="宋体" w:hAnsi="宋体"/>
                <w:color w:val="000000"/>
                <w:kern w:val="0"/>
                <w:sz w:val="20"/>
                <w:szCs w:val="20"/>
              </w:rPr>
              <w:t>支持行人检测、车辆检测、非机动车检测抓拍模式；</w:t>
            </w:r>
            <w:r>
              <w:rPr>
                <w:rFonts w:hint="eastAsia" w:ascii="宋体" w:hAnsi="宋体"/>
                <w:color w:val="000000"/>
                <w:kern w:val="0"/>
                <w:sz w:val="20"/>
                <w:szCs w:val="20"/>
              </w:rPr>
              <w:br w:type="textWrapping"/>
            </w:r>
            <w:r>
              <w:rPr>
                <w:rFonts w:eastAsia="等线"/>
                <w:color w:val="000000"/>
                <w:kern w:val="0"/>
                <w:sz w:val="20"/>
                <w:szCs w:val="20"/>
              </w:rPr>
              <w:t>5.</w:t>
            </w:r>
            <w:r>
              <w:rPr>
                <w:rFonts w:hint="eastAsia" w:ascii="宋体" w:hAnsi="宋体"/>
                <w:color w:val="000000"/>
                <w:kern w:val="0"/>
                <w:sz w:val="20"/>
                <w:szCs w:val="20"/>
              </w:rPr>
              <w:t>支持常见车型识别，常见车标识别；</w:t>
            </w:r>
            <w:r>
              <w:rPr>
                <w:rFonts w:hint="eastAsia" w:ascii="宋体" w:hAnsi="宋体"/>
                <w:color w:val="000000"/>
                <w:kern w:val="0"/>
                <w:sz w:val="20"/>
                <w:szCs w:val="20"/>
              </w:rPr>
              <w:br w:type="textWrapping"/>
            </w:r>
            <w:r>
              <w:rPr>
                <w:rFonts w:eastAsia="等线"/>
                <w:color w:val="000000"/>
                <w:kern w:val="0"/>
                <w:sz w:val="20"/>
                <w:szCs w:val="20"/>
              </w:rPr>
              <w:t>6.</w:t>
            </w:r>
            <w:r>
              <w:rPr>
                <w:rFonts w:hint="eastAsia" w:ascii="宋体" w:hAnsi="宋体"/>
                <w:color w:val="000000"/>
                <w:kern w:val="0"/>
                <w:sz w:val="20"/>
                <w:szCs w:val="20"/>
              </w:rPr>
              <w:t>支持性别、年龄、是否戴眼镜、是否戴口罩、上下衣款式等人员属性，车牌类型、车牌颜色等属性分析功能；</w:t>
            </w:r>
            <w:r>
              <w:rPr>
                <w:rFonts w:hint="eastAsia" w:ascii="宋体" w:hAnsi="宋体"/>
                <w:color w:val="000000"/>
                <w:kern w:val="0"/>
                <w:sz w:val="20"/>
                <w:szCs w:val="20"/>
              </w:rPr>
              <w:br w:type="textWrapping"/>
            </w:r>
            <w:r>
              <w:rPr>
                <w:rFonts w:eastAsia="等线"/>
                <w:color w:val="000000"/>
                <w:kern w:val="0"/>
                <w:sz w:val="20"/>
                <w:szCs w:val="20"/>
              </w:rPr>
              <w:t>7.</w:t>
            </w:r>
            <w:r>
              <w:rPr>
                <w:rFonts w:hint="eastAsia" w:ascii="宋体" w:hAnsi="宋体"/>
                <w:color w:val="000000"/>
                <w:kern w:val="0"/>
                <w:sz w:val="20"/>
                <w:szCs w:val="20"/>
              </w:rPr>
              <w:t>设备应具备</w:t>
            </w:r>
            <w:r>
              <w:rPr>
                <w:rFonts w:eastAsia="等线"/>
                <w:color w:val="000000"/>
                <w:kern w:val="0"/>
                <w:sz w:val="20"/>
                <w:szCs w:val="20"/>
              </w:rPr>
              <w:t>IP66</w:t>
            </w:r>
            <w:r>
              <w:rPr>
                <w:rFonts w:hint="eastAsia" w:ascii="宋体" w:hAnsi="宋体"/>
                <w:color w:val="000000"/>
                <w:kern w:val="0"/>
                <w:sz w:val="20"/>
                <w:szCs w:val="20"/>
              </w:rPr>
              <w:t>防护等级。</w:t>
            </w:r>
            <w:r>
              <w:rPr>
                <w:rFonts w:eastAsia="等线"/>
                <w:color w:val="000000"/>
                <w:kern w:val="0"/>
                <w:sz w:val="20"/>
                <w:szCs w:val="20"/>
              </w:rPr>
              <w:br w:type="textWrapping"/>
            </w:r>
            <w:r>
              <w:rPr>
                <w:rFonts w:hint="eastAsia" w:ascii="宋体" w:hAnsi="宋体"/>
                <w:color w:val="000000"/>
                <w:kern w:val="0"/>
                <w:sz w:val="20"/>
                <w:szCs w:val="20"/>
              </w:rPr>
              <w:t>8.支持GB/T28181-2016协议；支持GA/T1400视图库协议。</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台</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1211</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双目结构化相机电源</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应支持不低于</w:t>
            </w:r>
            <w:r>
              <w:rPr>
                <w:rFonts w:eastAsia="等线"/>
                <w:color w:val="000000"/>
                <w:kern w:val="0"/>
                <w:sz w:val="20"/>
                <w:szCs w:val="20"/>
              </w:rPr>
              <w:t>DC12V</w:t>
            </w:r>
            <w:r>
              <w:rPr>
                <w:rFonts w:hint="eastAsia" w:ascii="宋体" w:hAnsi="宋体"/>
                <w:color w:val="000000"/>
                <w:kern w:val="0"/>
                <w:sz w:val="20"/>
                <w:szCs w:val="20"/>
              </w:rPr>
              <w:t>，输出功率</w:t>
            </w:r>
            <w:r>
              <w:rPr>
                <w:rFonts w:eastAsia="等线"/>
                <w:color w:val="000000"/>
                <w:kern w:val="0"/>
                <w:sz w:val="20"/>
                <w:szCs w:val="20"/>
              </w:rPr>
              <w:t>36W</w:t>
            </w:r>
            <w:r>
              <w:rPr>
                <w:rFonts w:hint="eastAsia" w:ascii="宋体" w:hAnsi="宋体"/>
                <w:color w:val="000000"/>
                <w:kern w:val="0"/>
                <w:sz w:val="20"/>
                <w:szCs w:val="20"/>
              </w:rPr>
              <w:t>。</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个</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1211</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双目结构化相机支架</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万向节，调节上下角度</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个</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1211</w:t>
            </w:r>
          </w:p>
        </w:tc>
      </w:tr>
      <w:tr>
        <w:tblPrEx>
          <w:tblCellMar>
            <w:top w:w="0" w:type="dxa"/>
            <w:left w:w="108" w:type="dxa"/>
            <w:bottom w:w="0" w:type="dxa"/>
            <w:right w:w="108" w:type="dxa"/>
          </w:tblCellMar>
        </w:tblPrEx>
        <w:trPr>
          <w:trHeight w:val="276" w:hRule="atLeast"/>
        </w:trPr>
        <w:tc>
          <w:tcPr>
            <w:tcW w:w="60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7</w:t>
            </w:r>
          </w:p>
        </w:tc>
        <w:tc>
          <w:tcPr>
            <w:tcW w:w="74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设备配套及其他</w:t>
            </w: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红灯信号检测器</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支持不低于</w:t>
            </w:r>
            <w:r>
              <w:rPr>
                <w:rFonts w:eastAsia="等线"/>
                <w:color w:val="000000"/>
                <w:kern w:val="0"/>
                <w:sz w:val="20"/>
                <w:szCs w:val="20"/>
              </w:rPr>
              <w:t>16</w:t>
            </w:r>
            <w:r>
              <w:rPr>
                <w:rFonts w:hint="eastAsia" w:ascii="宋体" w:hAnsi="宋体"/>
                <w:color w:val="000000"/>
                <w:kern w:val="0"/>
                <w:sz w:val="20"/>
                <w:szCs w:val="20"/>
              </w:rPr>
              <w:t>路信号接入；</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台</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18</w:t>
            </w:r>
          </w:p>
        </w:tc>
      </w:tr>
      <w:tr>
        <w:tblPrEx>
          <w:tblCellMar>
            <w:top w:w="0" w:type="dxa"/>
            <w:left w:w="108" w:type="dxa"/>
            <w:bottom w:w="0" w:type="dxa"/>
            <w:right w:w="108" w:type="dxa"/>
          </w:tblCellMar>
        </w:tblPrEx>
        <w:trPr>
          <w:trHeight w:val="504"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前端存储管理设备</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含</w:t>
            </w:r>
            <w:r>
              <w:rPr>
                <w:rFonts w:eastAsia="等线"/>
                <w:color w:val="000000"/>
                <w:kern w:val="0"/>
                <w:sz w:val="20"/>
                <w:szCs w:val="20"/>
              </w:rPr>
              <w:t>4T</w:t>
            </w:r>
            <w:r>
              <w:rPr>
                <w:rFonts w:hint="eastAsia" w:ascii="宋体" w:hAnsi="宋体"/>
                <w:color w:val="000000"/>
                <w:kern w:val="0"/>
                <w:sz w:val="20"/>
                <w:szCs w:val="20"/>
              </w:rPr>
              <w:t>硬盘，最大可实现</w:t>
            </w:r>
            <w:r>
              <w:rPr>
                <w:rFonts w:eastAsia="等线"/>
                <w:color w:val="000000"/>
                <w:kern w:val="0"/>
                <w:sz w:val="20"/>
                <w:szCs w:val="20"/>
              </w:rPr>
              <w:t>12</w:t>
            </w:r>
            <w:r>
              <w:rPr>
                <w:rFonts w:hint="eastAsia" w:ascii="宋体" w:hAnsi="宋体"/>
                <w:color w:val="000000"/>
                <w:kern w:val="0"/>
                <w:sz w:val="20"/>
                <w:szCs w:val="20"/>
              </w:rPr>
              <w:t>路前端设备的视频和图片接入与管理。可实现图片和视频的存储、查询、上传、导出等功能。</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台</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25</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社会面监控存储卡</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工业级</w:t>
            </w:r>
            <w:r>
              <w:rPr>
                <w:rFonts w:eastAsia="等线"/>
                <w:color w:val="000000"/>
                <w:kern w:val="0"/>
                <w:sz w:val="20"/>
                <w:szCs w:val="20"/>
              </w:rPr>
              <w:t>TF</w:t>
            </w:r>
            <w:r>
              <w:rPr>
                <w:rFonts w:hint="eastAsia" w:ascii="宋体" w:hAnsi="宋体"/>
                <w:color w:val="000000"/>
                <w:kern w:val="0"/>
                <w:sz w:val="20"/>
                <w:szCs w:val="20"/>
              </w:rPr>
              <w:t>卡（</w:t>
            </w:r>
            <w:r>
              <w:rPr>
                <w:rFonts w:eastAsia="等线"/>
                <w:color w:val="000000"/>
                <w:kern w:val="0"/>
                <w:sz w:val="20"/>
                <w:szCs w:val="20"/>
              </w:rPr>
              <w:t>64G</w:t>
            </w:r>
            <w:r>
              <w:rPr>
                <w:rFonts w:hint="eastAsia" w:ascii="宋体" w:hAnsi="宋体"/>
                <w:color w:val="000000"/>
                <w:kern w:val="0"/>
                <w:sz w:val="20"/>
                <w:szCs w:val="20"/>
              </w:rPr>
              <w:t>），存储时长不小于</w:t>
            </w:r>
            <w:r>
              <w:rPr>
                <w:rFonts w:eastAsia="等线"/>
                <w:color w:val="000000"/>
                <w:kern w:val="0"/>
                <w:sz w:val="20"/>
                <w:szCs w:val="20"/>
              </w:rPr>
              <w:t>7</w:t>
            </w:r>
            <w:r>
              <w:rPr>
                <w:rFonts w:hint="eastAsia" w:ascii="宋体" w:hAnsi="宋体"/>
                <w:color w:val="000000"/>
                <w:kern w:val="0"/>
                <w:sz w:val="20"/>
                <w:szCs w:val="20"/>
              </w:rPr>
              <w:t>天</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张</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902</w:t>
            </w:r>
          </w:p>
        </w:tc>
      </w:tr>
      <w:tr>
        <w:tblPrEx>
          <w:tblCellMar>
            <w:top w:w="0" w:type="dxa"/>
            <w:left w:w="108" w:type="dxa"/>
            <w:bottom w:w="0" w:type="dxa"/>
            <w:right w:w="108" w:type="dxa"/>
          </w:tblCellMar>
        </w:tblPrEx>
        <w:trPr>
          <w:trHeight w:val="528" w:hRule="atLeast"/>
        </w:trPr>
        <w:tc>
          <w:tcPr>
            <w:tcW w:w="60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8</w:t>
            </w:r>
          </w:p>
        </w:tc>
        <w:tc>
          <w:tcPr>
            <w:tcW w:w="74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新立</w:t>
            </w:r>
            <w:r>
              <w:rPr>
                <w:rFonts w:eastAsia="等线"/>
                <w:color w:val="000000"/>
                <w:kern w:val="0"/>
                <w:sz w:val="20"/>
                <w:szCs w:val="20"/>
              </w:rPr>
              <w:t>4.5</w:t>
            </w:r>
            <w:r>
              <w:rPr>
                <w:rFonts w:hint="eastAsia" w:ascii="宋体" w:hAnsi="宋体"/>
                <w:color w:val="000000"/>
                <w:kern w:val="0"/>
                <w:sz w:val="20"/>
                <w:szCs w:val="20"/>
              </w:rPr>
              <w:t>米治安监控杆</w:t>
            </w: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新立治安监控杆</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4.5</w:t>
            </w:r>
            <w:r>
              <w:rPr>
                <w:rFonts w:hint="eastAsia" w:ascii="宋体" w:hAnsi="宋体"/>
                <w:color w:val="000000"/>
                <w:kern w:val="0"/>
                <w:sz w:val="20"/>
                <w:szCs w:val="20"/>
              </w:rPr>
              <w:t>米</w:t>
            </w:r>
            <w:r>
              <w:rPr>
                <w:rFonts w:eastAsia="等线"/>
                <w:color w:val="000000"/>
                <w:kern w:val="0"/>
                <w:sz w:val="20"/>
                <w:szCs w:val="20"/>
              </w:rPr>
              <w:t>*1.5</w:t>
            </w:r>
            <w:r>
              <w:rPr>
                <w:rFonts w:hint="eastAsia" w:ascii="宋体" w:hAnsi="宋体"/>
                <w:color w:val="000000"/>
                <w:kern w:val="0"/>
                <w:sz w:val="20"/>
                <w:szCs w:val="20"/>
              </w:rPr>
              <w:t>米</w:t>
            </w:r>
            <w:r>
              <w:rPr>
                <w:rFonts w:eastAsia="等线"/>
                <w:color w:val="000000"/>
                <w:kern w:val="0"/>
                <w:sz w:val="20"/>
                <w:szCs w:val="20"/>
              </w:rPr>
              <w:t>*2</w:t>
            </w:r>
            <w:r>
              <w:rPr>
                <w:rFonts w:hint="eastAsia" w:ascii="宋体" w:hAnsi="宋体"/>
                <w:color w:val="000000"/>
                <w:kern w:val="0"/>
                <w:sz w:val="20"/>
                <w:szCs w:val="20"/>
              </w:rPr>
              <w:t>监控杆（立杆八角，对角</w:t>
            </w:r>
            <w:r>
              <w:rPr>
                <w:rFonts w:eastAsia="等线"/>
                <w:color w:val="000000"/>
                <w:kern w:val="0"/>
                <w:sz w:val="20"/>
                <w:szCs w:val="20"/>
              </w:rPr>
              <w:t>140-180-5mm</w:t>
            </w:r>
            <w:r>
              <w:rPr>
                <w:rFonts w:hint="eastAsia" w:ascii="宋体" w:hAnsi="宋体"/>
                <w:color w:val="000000"/>
                <w:kern w:val="0"/>
                <w:sz w:val="20"/>
                <w:szCs w:val="20"/>
              </w:rPr>
              <w:t>厚；横杆等八角，对角</w:t>
            </w:r>
            <w:r>
              <w:rPr>
                <w:rFonts w:eastAsia="等线"/>
                <w:color w:val="000000"/>
                <w:kern w:val="0"/>
                <w:sz w:val="20"/>
                <w:szCs w:val="20"/>
              </w:rPr>
              <w:t>85-85-3mm</w:t>
            </w:r>
            <w:r>
              <w:rPr>
                <w:rFonts w:hint="eastAsia" w:ascii="宋体" w:hAnsi="宋体"/>
                <w:color w:val="000000"/>
                <w:kern w:val="0"/>
                <w:sz w:val="20"/>
                <w:szCs w:val="20"/>
              </w:rPr>
              <w:t>厚；立杆法兰</w:t>
            </w:r>
            <w:r>
              <w:rPr>
                <w:rFonts w:eastAsia="等线"/>
                <w:color w:val="000000"/>
                <w:kern w:val="0"/>
                <w:sz w:val="20"/>
                <w:szCs w:val="20"/>
              </w:rPr>
              <w:t>350*350-14mm</w:t>
            </w:r>
            <w:r>
              <w:rPr>
                <w:rFonts w:hint="eastAsia" w:ascii="宋体" w:hAnsi="宋体"/>
                <w:color w:val="000000"/>
                <w:kern w:val="0"/>
                <w:sz w:val="20"/>
                <w:szCs w:val="20"/>
              </w:rPr>
              <w:t>厚；杆件整体热镀锌喷塑白色</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230</w:t>
            </w:r>
          </w:p>
        </w:tc>
      </w:tr>
      <w:tr>
        <w:tblPrEx>
          <w:tblCellMar>
            <w:top w:w="0" w:type="dxa"/>
            <w:left w:w="108" w:type="dxa"/>
            <w:bottom w:w="0" w:type="dxa"/>
            <w:right w:w="108" w:type="dxa"/>
          </w:tblCellMar>
        </w:tblPrEx>
        <w:trPr>
          <w:trHeight w:val="792"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新立治安监控杆抱杆箱</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箱体尺寸</w:t>
            </w:r>
            <w:r>
              <w:rPr>
                <w:rFonts w:eastAsia="等线"/>
                <w:color w:val="000000"/>
                <w:kern w:val="0"/>
                <w:sz w:val="20"/>
                <w:szCs w:val="20"/>
              </w:rPr>
              <w:t>500mm*450mm*400mm</w:t>
            </w:r>
            <w:r>
              <w:rPr>
                <w:rFonts w:hint="eastAsia" w:ascii="宋体" w:hAnsi="宋体"/>
                <w:color w:val="000000"/>
                <w:kern w:val="0"/>
                <w:sz w:val="20"/>
                <w:szCs w:val="20"/>
              </w:rPr>
              <w:t>，</w:t>
            </w:r>
            <w:r>
              <w:rPr>
                <w:rFonts w:eastAsia="等线"/>
                <w:color w:val="000000"/>
                <w:kern w:val="0"/>
                <w:sz w:val="20"/>
                <w:szCs w:val="20"/>
              </w:rPr>
              <w:t>1.2mm</w:t>
            </w:r>
            <w:r>
              <w:rPr>
                <w:rFonts w:hint="eastAsia" w:ascii="宋体" w:hAnsi="宋体"/>
                <w:color w:val="000000"/>
                <w:kern w:val="0"/>
                <w:sz w:val="20"/>
                <w:szCs w:val="20"/>
              </w:rPr>
              <w:t>厚镀锌板，集成自动重合闸、电源输出、电源防雷、网络防雷、空开、风扇、</w:t>
            </w:r>
            <w:r>
              <w:rPr>
                <w:rFonts w:eastAsia="等线"/>
                <w:color w:val="000000"/>
                <w:kern w:val="0"/>
                <w:sz w:val="20"/>
                <w:szCs w:val="20"/>
              </w:rPr>
              <w:t>LED</w:t>
            </w:r>
            <w:r>
              <w:rPr>
                <w:rFonts w:hint="eastAsia" w:ascii="宋体" w:hAnsi="宋体"/>
                <w:color w:val="000000"/>
                <w:kern w:val="0"/>
                <w:sz w:val="20"/>
                <w:szCs w:val="20"/>
              </w:rPr>
              <w:t>灯等模块于一体；支持</w:t>
            </w:r>
            <w:r>
              <w:rPr>
                <w:rFonts w:eastAsia="等线"/>
                <w:color w:val="000000"/>
                <w:kern w:val="0"/>
                <w:sz w:val="20"/>
                <w:szCs w:val="20"/>
              </w:rPr>
              <w:t>AC220V</w:t>
            </w:r>
            <w:r>
              <w:rPr>
                <w:rFonts w:hint="eastAsia" w:ascii="宋体" w:hAnsi="宋体"/>
                <w:color w:val="000000"/>
                <w:kern w:val="0"/>
                <w:sz w:val="20"/>
                <w:szCs w:val="20"/>
              </w:rPr>
              <w:t>电源插座，</w:t>
            </w:r>
            <w:r>
              <w:rPr>
                <w:rFonts w:eastAsia="等线"/>
                <w:color w:val="000000"/>
                <w:kern w:val="0"/>
                <w:sz w:val="20"/>
                <w:szCs w:val="20"/>
              </w:rPr>
              <w:t>AC24V</w:t>
            </w:r>
            <w:r>
              <w:rPr>
                <w:rFonts w:hint="eastAsia" w:ascii="宋体" w:hAnsi="宋体"/>
                <w:color w:val="000000"/>
                <w:kern w:val="0"/>
                <w:sz w:val="20"/>
                <w:szCs w:val="20"/>
              </w:rPr>
              <w:t>电源输出端子、</w:t>
            </w:r>
            <w:r>
              <w:rPr>
                <w:rFonts w:eastAsia="等线"/>
                <w:color w:val="000000"/>
                <w:kern w:val="0"/>
                <w:sz w:val="20"/>
                <w:szCs w:val="20"/>
              </w:rPr>
              <w:t>DC12V</w:t>
            </w:r>
            <w:r>
              <w:rPr>
                <w:rFonts w:hint="eastAsia" w:ascii="宋体" w:hAnsi="宋体"/>
                <w:color w:val="000000"/>
                <w:kern w:val="0"/>
                <w:sz w:val="20"/>
                <w:szCs w:val="20"/>
              </w:rPr>
              <w:t>电源输出端子；</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台</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230</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检修井</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400*400*450</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个</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230</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网线</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六类网线屏蔽线</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米</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6900</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相机电源线</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RVV3*1.0</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米</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7590</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主电源线</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RVV3*2.5</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米</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11500</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线管</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φ50PE</w:t>
            </w:r>
            <w:r>
              <w:rPr>
                <w:rFonts w:hint="eastAsia" w:ascii="宋体" w:hAnsi="宋体"/>
                <w:color w:val="000000"/>
                <w:kern w:val="0"/>
                <w:sz w:val="20"/>
                <w:szCs w:val="20"/>
              </w:rPr>
              <w:t>管</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米</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6900</w:t>
            </w:r>
          </w:p>
        </w:tc>
      </w:tr>
      <w:tr>
        <w:tblPrEx>
          <w:tblCellMar>
            <w:top w:w="0" w:type="dxa"/>
            <w:left w:w="108" w:type="dxa"/>
            <w:bottom w:w="0" w:type="dxa"/>
            <w:right w:w="108" w:type="dxa"/>
          </w:tblCellMar>
        </w:tblPrEx>
        <w:trPr>
          <w:trHeight w:val="768"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人工及机械费</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混凝土（</w:t>
            </w:r>
            <w:r>
              <w:rPr>
                <w:rFonts w:eastAsia="等线"/>
                <w:color w:val="000000"/>
                <w:kern w:val="0"/>
                <w:sz w:val="20"/>
                <w:szCs w:val="20"/>
              </w:rPr>
              <w:t>1m×1m×1m</w:t>
            </w:r>
            <w:r>
              <w:rPr>
                <w:rFonts w:hint="eastAsia" w:ascii="宋体" w:hAnsi="宋体"/>
                <w:color w:val="000000"/>
                <w:kern w:val="0"/>
                <w:sz w:val="20"/>
                <w:szCs w:val="20"/>
              </w:rPr>
              <w:t>）</w:t>
            </w:r>
            <w:r>
              <w:rPr>
                <w:rFonts w:eastAsia="等线"/>
                <w:color w:val="000000"/>
                <w:kern w:val="0"/>
                <w:sz w:val="20"/>
                <w:szCs w:val="20"/>
              </w:rPr>
              <w:t>230</w:t>
            </w:r>
            <w:r>
              <w:rPr>
                <w:rFonts w:hint="eastAsia" w:ascii="宋体" w:hAnsi="宋体"/>
                <w:color w:val="000000"/>
                <w:kern w:val="0"/>
                <w:sz w:val="20"/>
                <w:szCs w:val="20"/>
              </w:rPr>
              <w:t>立方，点位取电（绿化带、人行道）开挖恢复</w:t>
            </w:r>
            <w:r>
              <w:rPr>
                <w:rFonts w:eastAsia="等线"/>
                <w:color w:val="000000"/>
                <w:kern w:val="0"/>
                <w:sz w:val="20"/>
                <w:szCs w:val="20"/>
              </w:rPr>
              <w:t>8050</w:t>
            </w:r>
            <w:r>
              <w:rPr>
                <w:rFonts w:hint="eastAsia" w:ascii="宋体" w:hAnsi="宋体"/>
                <w:color w:val="000000"/>
                <w:kern w:val="0"/>
                <w:sz w:val="20"/>
                <w:szCs w:val="20"/>
              </w:rPr>
              <w:t>米，渣土清运（</w:t>
            </w:r>
            <w:r>
              <w:rPr>
                <w:rFonts w:eastAsia="等线"/>
                <w:color w:val="000000"/>
                <w:kern w:val="0"/>
                <w:sz w:val="20"/>
                <w:szCs w:val="20"/>
              </w:rPr>
              <w:t>1m×1m×1m</w:t>
            </w:r>
            <w:r>
              <w:rPr>
                <w:rFonts w:hint="eastAsia" w:ascii="宋体" w:hAnsi="宋体"/>
                <w:color w:val="000000"/>
                <w:kern w:val="0"/>
                <w:sz w:val="20"/>
                <w:szCs w:val="20"/>
              </w:rPr>
              <w:t>）</w:t>
            </w:r>
            <w:r>
              <w:rPr>
                <w:rFonts w:eastAsia="等线"/>
                <w:color w:val="000000"/>
                <w:kern w:val="0"/>
                <w:sz w:val="20"/>
                <w:szCs w:val="20"/>
              </w:rPr>
              <w:t>230</w:t>
            </w:r>
            <w:r>
              <w:rPr>
                <w:rFonts w:hint="eastAsia" w:ascii="宋体" w:hAnsi="宋体"/>
                <w:color w:val="000000"/>
                <w:kern w:val="0"/>
                <w:sz w:val="20"/>
                <w:szCs w:val="20"/>
              </w:rPr>
              <w:t>立方，机械使用</w:t>
            </w:r>
            <w:r>
              <w:rPr>
                <w:rFonts w:eastAsia="等线"/>
                <w:color w:val="000000"/>
                <w:kern w:val="0"/>
                <w:sz w:val="20"/>
                <w:szCs w:val="20"/>
              </w:rPr>
              <w:t>460</w:t>
            </w:r>
            <w:r>
              <w:rPr>
                <w:rFonts w:hint="eastAsia" w:ascii="宋体" w:hAnsi="宋体"/>
                <w:color w:val="000000"/>
                <w:kern w:val="0"/>
                <w:sz w:val="20"/>
                <w:szCs w:val="20"/>
              </w:rPr>
              <w:t>天（吊车，高车，电镐，切割锯等），人工</w:t>
            </w:r>
            <w:r>
              <w:rPr>
                <w:rFonts w:eastAsia="等线"/>
                <w:color w:val="000000"/>
                <w:kern w:val="0"/>
                <w:sz w:val="20"/>
                <w:szCs w:val="20"/>
              </w:rPr>
              <w:t>1380</w:t>
            </w:r>
            <w:r>
              <w:rPr>
                <w:rFonts w:hint="eastAsia" w:ascii="宋体" w:hAnsi="宋体"/>
                <w:color w:val="000000"/>
                <w:kern w:val="0"/>
                <w:sz w:val="20"/>
                <w:szCs w:val="20"/>
              </w:rPr>
              <w:t>工日（立杆施工、布线、安装、调试）</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项</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528" w:hRule="atLeast"/>
        </w:trPr>
        <w:tc>
          <w:tcPr>
            <w:tcW w:w="60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9</w:t>
            </w:r>
          </w:p>
        </w:tc>
        <w:tc>
          <w:tcPr>
            <w:tcW w:w="74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新立</w:t>
            </w:r>
            <w:r>
              <w:rPr>
                <w:rFonts w:eastAsia="等线"/>
                <w:color w:val="000000"/>
                <w:kern w:val="0"/>
                <w:sz w:val="20"/>
                <w:szCs w:val="20"/>
              </w:rPr>
              <w:t>6</w:t>
            </w:r>
            <w:r>
              <w:rPr>
                <w:rFonts w:hint="eastAsia" w:ascii="宋体" w:hAnsi="宋体"/>
                <w:color w:val="000000"/>
                <w:kern w:val="0"/>
                <w:sz w:val="20"/>
                <w:szCs w:val="20"/>
              </w:rPr>
              <w:t>米治安监控杆</w:t>
            </w: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新立治安监控</w:t>
            </w:r>
            <w:r>
              <w:rPr>
                <w:rFonts w:eastAsia="等线"/>
                <w:color w:val="000000"/>
                <w:kern w:val="0"/>
                <w:sz w:val="20"/>
                <w:szCs w:val="20"/>
              </w:rPr>
              <w:t>6</w:t>
            </w:r>
            <w:r>
              <w:rPr>
                <w:rFonts w:hint="eastAsia" w:ascii="宋体" w:hAnsi="宋体"/>
                <w:color w:val="000000"/>
                <w:kern w:val="0"/>
                <w:sz w:val="20"/>
                <w:szCs w:val="20"/>
              </w:rPr>
              <w:t>米杆</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6</w:t>
            </w:r>
            <w:r>
              <w:rPr>
                <w:rFonts w:hint="eastAsia" w:ascii="宋体" w:hAnsi="宋体"/>
                <w:color w:val="000000"/>
                <w:kern w:val="0"/>
                <w:sz w:val="20"/>
                <w:szCs w:val="20"/>
              </w:rPr>
              <w:t>米</w:t>
            </w:r>
            <w:r>
              <w:rPr>
                <w:rFonts w:eastAsia="等线"/>
                <w:color w:val="000000"/>
                <w:kern w:val="0"/>
                <w:sz w:val="20"/>
                <w:szCs w:val="20"/>
              </w:rPr>
              <w:t>*1.5</w:t>
            </w:r>
            <w:r>
              <w:rPr>
                <w:rFonts w:hint="eastAsia" w:ascii="宋体" w:hAnsi="宋体"/>
                <w:color w:val="000000"/>
                <w:kern w:val="0"/>
                <w:sz w:val="20"/>
                <w:szCs w:val="20"/>
              </w:rPr>
              <w:t>米</w:t>
            </w:r>
            <w:r>
              <w:rPr>
                <w:rFonts w:eastAsia="等线"/>
                <w:color w:val="000000"/>
                <w:kern w:val="0"/>
                <w:sz w:val="20"/>
                <w:szCs w:val="20"/>
              </w:rPr>
              <w:t>*2</w:t>
            </w:r>
            <w:r>
              <w:rPr>
                <w:rFonts w:hint="eastAsia" w:ascii="宋体" w:hAnsi="宋体"/>
                <w:color w:val="000000"/>
                <w:kern w:val="0"/>
                <w:sz w:val="20"/>
                <w:szCs w:val="20"/>
              </w:rPr>
              <w:t>高低监控杆（立杆八角，对角</w:t>
            </w:r>
            <w:r>
              <w:rPr>
                <w:rFonts w:eastAsia="等线"/>
                <w:color w:val="000000"/>
                <w:kern w:val="0"/>
                <w:sz w:val="20"/>
                <w:szCs w:val="20"/>
              </w:rPr>
              <w:t>120-170-&amp;4-6000mm</w:t>
            </w:r>
            <w:r>
              <w:rPr>
                <w:rFonts w:hint="eastAsia" w:ascii="宋体" w:hAnsi="宋体"/>
                <w:color w:val="000000"/>
                <w:kern w:val="0"/>
                <w:sz w:val="20"/>
                <w:szCs w:val="20"/>
              </w:rPr>
              <w:t>，横杆等径八角，对角</w:t>
            </w:r>
            <w:r>
              <w:rPr>
                <w:rFonts w:eastAsia="等线"/>
                <w:color w:val="000000"/>
                <w:kern w:val="0"/>
                <w:sz w:val="20"/>
                <w:szCs w:val="20"/>
              </w:rPr>
              <w:t>85-&amp;3-1500mm</w:t>
            </w:r>
            <w:r>
              <w:rPr>
                <w:rFonts w:hint="eastAsia" w:ascii="宋体" w:hAnsi="宋体"/>
                <w:color w:val="000000"/>
                <w:kern w:val="0"/>
                <w:sz w:val="20"/>
                <w:szCs w:val="20"/>
              </w:rPr>
              <w:t>，</w:t>
            </w:r>
            <w:r>
              <w:rPr>
                <w:rFonts w:eastAsia="等线"/>
                <w:color w:val="000000"/>
                <w:kern w:val="0"/>
                <w:sz w:val="20"/>
                <w:szCs w:val="20"/>
              </w:rPr>
              <w:t>2</w:t>
            </w:r>
            <w:r>
              <w:rPr>
                <w:rFonts w:hint="eastAsia" w:ascii="宋体" w:hAnsi="宋体"/>
                <w:color w:val="000000"/>
                <w:kern w:val="0"/>
                <w:sz w:val="20"/>
                <w:szCs w:val="20"/>
              </w:rPr>
              <w:t>支。立杆法兰</w:t>
            </w:r>
            <w:r>
              <w:rPr>
                <w:rFonts w:eastAsia="等线"/>
                <w:color w:val="000000"/>
                <w:kern w:val="0"/>
                <w:sz w:val="20"/>
                <w:szCs w:val="20"/>
              </w:rPr>
              <w:t>350*350-&amp;14mm</w:t>
            </w:r>
            <w:r>
              <w:rPr>
                <w:rFonts w:hint="eastAsia" w:ascii="宋体" w:hAnsi="宋体"/>
                <w:color w:val="000000"/>
                <w:kern w:val="0"/>
                <w:sz w:val="20"/>
                <w:szCs w:val="20"/>
              </w:rPr>
              <w:t>，横杆法兰</w:t>
            </w:r>
            <w:r>
              <w:rPr>
                <w:rFonts w:eastAsia="等线"/>
                <w:color w:val="000000"/>
                <w:kern w:val="0"/>
                <w:sz w:val="20"/>
                <w:szCs w:val="20"/>
              </w:rPr>
              <w:t>220*220-&amp;10mm</w:t>
            </w:r>
            <w:r>
              <w:rPr>
                <w:rFonts w:hint="eastAsia" w:ascii="宋体" w:hAnsi="宋体"/>
                <w:color w:val="000000"/>
                <w:kern w:val="0"/>
                <w:sz w:val="20"/>
                <w:szCs w:val="20"/>
              </w:rPr>
              <w:t>。热镀锌喷塑白色）</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30</w:t>
            </w:r>
          </w:p>
        </w:tc>
      </w:tr>
      <w:tr>
        <w:tblPrEx>
          <w:tblCellMar>
            <w:top w:w="0" w:type="dxa"/>
            <w:left w:w="108" w:type="dxa"/>
            <w:bottom w:w="0" w:type="dxa"/>
            <w:right w:w="108" w:type="dxa"/>
          </w:tblCellMar>
        </w:tblPrEx>
        <w:trPr>
          <w:trHeight w:val="792"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抱杆箱</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箱体尺寸</w:t>
            </w:r>
            <w:r>
              <w:rPr>
                <w:rFonts w:eastAsia="等线"/>
                <w:color w:val="000000"/>
                <w:kern w:val="0"/>
                <w:sz w:val="20"/>
                <w:szCs w:val="20"/>
              </w:rPr>
              <w:t>500mm*450mm*400mm</w:t>
            </w:r>
            <w:r>
              <w:rPr>
                <w:rFonts w:hint="eastAsia" w:ascii="宋体" w:hAnsi="宋体"/>
                <w:color w:val="000000"/>
                <w:kern w:val="0"/>
                <w:sz w:val="20"/>
                <w:szCs w:val="20"/>
              </w:rPr>
              <w:t>，</w:t>
            </w:r>
            <w:r>
              <w:rPr>
                <w:rFonts w:eastAsia="等线"/>
                <w:color w:val="000000"/>
                <w:kern w:val="0"/>
                <w:sz w:val="20"/>
                <w:szCs w:val="20"/>
              </w:rPr>
              <w:t>1.2mm</w:t>
            </w:r>
            <w:r>
              <w:rPr>
                <w:rFonts w:hint="eastAsia" w:ascii="宋体" w:hAnsi="宋体"/>
                <w:color w:val="000000"/>
                <w:kern w:val="0"/>
                <w:sz w:val="20"/>
                <w:szCs w:val="20"/>
              </w:rPr>
              <w:t>厚镀锌板；集成自动重合闸、电源输出、电源防雷、网络防雷、空开、风扇、</w:t>
            </w:r>
            <w:r>
              <w:rPr>
                <w:rFonts w:eastAsia="等线"/>
                <w:color w:val="000000"/>
                <w:kern w:val="0"/>
                <w:sz w:val="20"/>
                <w:szCs w:val="20"/>
              </w:rPr>
              <w:t>LED</w:t>
            </w:r>
            <w:r>
              <w:rPr>
                <w:rFonts w:hint="eastAsia" w:ascii="宋体" w:hAnsi="宋体"/>
                <w:color w:val="000000"/>
                <w:kern w:val="0"/>
                <w:sz w:val="20"/>
                <w:szCs w:val="20"/>
              </w:rPr>
              <w:t>灯等模块于一体；支持</w:t>
            </w:r>
            <w:r>
              <w:rPr>
                <w:rFonts w:eastAsia="等线"/>
                <w:color w:val="000000"/>
                <w:kern w:val="0"/>
                <w:sz w:val="20"/>
                <w:szCs w:val="20"/>
              </w:rPr>
              <w:t>AC220V</w:t>
            </w:r>
            <w:r>
              <w:rPr>
                <w:rFonts w:hint="eastAsia" w:ascii="宋体" w:hAnsi="宋体"/>
                <w:color w:val="000000"/>
                <w:kern w:val="0"/>
                <w:sz w:val="20"/>
                <w:szCs w:val="20"/>
              </w:rPr>
              <w:t>电源插座，</w:t>
            </w:r>
            <w:r>
              <w:rPr>
                <w:rFonts w:eastAsia="等线"/>
                <w:color w:val="000000"/>
                <w:kern w:val="0"/>
                <w:sz w:val="20"/>
                <w:szCs w:val="20"/>
              </w:rPr>
              <w:t>AC24V</w:t>
            </w:r>
            <w:r>
              <w:rPr>
                <w:rFonts w:hint="eastAsia" w:ascii="宋体" w:hAnsi="宋体"/>
                <w:color w:val="000000"/>
                <w:kern w:val="0"/>
                <w:sz w:val="20"/>
                <w:szCs w:val="20"/>
              </w:rPr>
              <w:t>电源输出端子、</w:t>
            </w:r>
            <w:r>
              <w:rPr>
                <w:rFonts w:eastAsia="等线"/>
                <w:color w:val="000000"/>
                <w:kern w:val="0"/>
                <w:sz w:val="20"/>
                <w:szCs w:val="20"/>
              </w:rPr>
              <w:t>DC12V</w:t>
            </w:r>
            <w:r>
              <w:rPr>
                <w:rFonts w:hint="eastAsia" w:ascii="宋体" w:hAnsi="宋体"/>
                <w:color w:val="000000"/>
                <w:kern w:val="0"/>
                <w:sz w:val="20"/>
                <w:szCs w:val="20"/>
              </w:rPr>
              <w:t>电源输出端子；</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台</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30</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检修井</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400*400*450</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个</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30</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网线</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六类网线屏蔽线</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米</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990</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相机电源线</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RVV3*1.0</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米</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990</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主电源线</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RVV3*2.5</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米</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4500</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线管</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φ50PE</w:t>
            </w:r>
            <w:r>
              <w:rPr>
                <w:rFonts w:hint="eastAsia" w:ascii="宋体" w:hAnsi="宋体"/>
                <w:color w:val="000000"/>
                <w:kern w:val="0"/>
                <w:sz w:val="20"/>
                <w:szCs w:val="20"/>
              </w:rPr>
              <w:t>管</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米</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3600</w:t>
            </w:r>
          </w:p>
        </w:tc>
      </w:tr>
      <w:tr>
        <w:tblPrEx>
          <w:tblCellMar>
            <w:top w:w="0" w:type="dxa"/>
            <w:left w:w="108" w:type="dxa"/>
            <w:bottom w:w="0" w:type="dxa"/>
            <w:right w:w="108" w:type="dxa"/>
          </w:tblCellMar>
        </w:tblPrEx>
        <w:trPr>
          <w:trHeight w:val="768"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人工及机械费</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混凝土（</w:t>
            </w:r>
            <w:r>
              <w:rPr>
                <w:rFonts w:eastAsia="等线"/>
                <w:color w:val="000000"/>
                <w:kern w:val="0"/>
                <w:sz w:val="20"/>
                <w:szCs w:val="20"/>
              </w:rPr>
              <w:t>1m×1m×1.2m</w:t>
            </w:r>
            <w:r>
              <w:rPr>
                <w:rFonts w:hint="eastAsia" w:ascii="宋体" w:hAnsi="宋体"/>
                <w:color w:val="000000"/>
                <w:kern w:val="0"/>
                <w:sz w:val="20"/>
                <w:szCs w:val="20"/>
              </w:rPr>
              <w:t>）</w:t>
            </w:r>
            <w:r>
              <w:rPr>
                <w:rFonts w:eastAsia="等线"/>
                <w:color w:val="000000"/>
                <w:kern w:val="0"/>
                <w:sz w:val="20"/>
                <w:szCs w:val="20"/>
              </w:rPr>
              <w:t>36</w:t>
            </w:r>
            <w:r>
              <w:rPr>
                <w:rFonts w:hint="eastAsia" w:ascii="宋体" w:hAnsi="宋体"/>
                <w:color w:val="000000"/>
                <w:kern w:val="0"/>
                <w:sz w:val="20"/>
                <w:szCs w:val="20"/>
              </w:rPr>
              <w:t>立方，点位取电（绿化带、人行道）开挖恢复</w:t>
            </w:r>
            <w:r>
              <w:rPr>
                <w:rFonts w:eastAsia="等线"/>
                <w:color w:val="000000"/>
                <w:kern w:val="0"/>
                <w:sz w:val="20"/>
                <w:szCs w:val="20"/>
              </w:rPr>
              <w:t>3600</w:t>
            </w:r>
            <w:r>
              <w:rPr>
                <w:rFonts w:hint="eastAsia" w:ascii="宋体" w:hAnsi="宋体"/>
                <w:color w:val="000000"/>
                <w:kern w:val="0"/>
                <w:sz w:val="20"/>
                <w:szCs w:val="20"/>
              </w:rPr>
              <w:t>米，渣土清运（</w:t>
            </w:r>
            <w:r>
              <w:rPr>
                <w:rFonts w:eastAsia="等线"/>
                <w:color w:val="000000"/>
                <w:kern w:val="0"/>
                <w:sz w:val="20"/>
                <w:szCs w:val="20"/>
              </w:rPr>
              <w:t>1m×1m×1.2m</w:t>
            </w:r>
            <w:r>
              <w:rPr>
                <w:rFonts w:hint="eastAsia" w:ascii="宋体" w:hAnsi="宋体"/>
                <w:color w:val="000000"/>
                <w:kern w:val="0"/>
                <w:sz w:val="20"/>
                <w:szCs w:val="20"/>
              </w:rPr>
              <w:t>）</w:t>
            </w:r>
            <w:r>
              <w:rPr>
                <w:rFonts w:eastAsia="等线"/>
                <w:color w:val="000000"/>
                <w:kern w:val="0"/>
                <w:sz w:val="20"/>
                <w:szCs w:val="20"/>
              </w:rPr>
              <w:t>36</w:t>
            </w:r>
            <w:r>
              <w:rPr>
                <w:rFonts w:hint="eastAsia" w:ascii="宋体" w:hAnsi="宋体"/>
                <w:color w:val="000000"/>
                <w:kern w:val="0"/>
                <w:sz w:val="20"/>
                <w:szCs w:val="20"/>
              </w:rPr>
              <w:t>立方，机械使用</w:t>
            </w:r>
            <w:r>
              <w:rPr>
                <w:rFonts w:eastAsia="等线"/>
                <w:color w:val="000000"/>
                <w:kern w:val="0"/>
                <w:sz w:val="20"/>
                <w:szCs w:val="20"/>
              </w:rPr>
              <w:t>60</w:t>
            </w:r>
            <w:r>
              <w:rPr>
                <w:rFonts w:hint="eastAsia" w:ascii="宋体" w:hAnsi="宋体"/>
                <w:color w:val="000000"/>
                <w:kern w:val="0"/>
                <w:sz w:val="20"/>
                <w:szCs w:val="20"/>
              </w:rPr>
              <w:t>天（吊车，高车，电镐，切割锯等），人工</w:t>
            </w:r>
            <w:r>
              <w:rPr>
                <w:rFonts w:eastAsia="等线"/>
                <w:color w:val="000000"/>
                <w:kern w:val="0"/>
                <w:sz w:val="20"/>
                <w:szCs w:val="20"/>
              </w:rPr>
              <w:t>180</w:t>
            </w:r>
            <w:r>
              <w:rPr>
                <w:rFonts w:hint="eastAsia" w:ascii="宋体" w:hAnsi="宋体"/>
                <w:color w:val="000000"/>
                <w:kern w:val="0"/>
                <w:sz w:val="20"/>
                <w:szCs w:val="20"/>
              </w:rPr>
              <w:t>工日（立杆施工、布线、安装、调试）</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项</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528" w:hRule="atLeast"/>
        </w:trPr>
        <w:tc>
          <w:tcPr>
            <w:tcW w:w="60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10</w:t>
            </w:r>
          </w:p>
        </w:tc>
        <w:tc>
          <w:tcPr>
            <w:tcW w:w="74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旧治安监控杆件加装横臂</w:t>
            </w: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加装横臂</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借杆</w:t>
            </w:r>
            <w:r>
              <w:rPr>
                <w:rFonts w:eastAsia="等线"/>
                <w:color w:val="000000"/>
                <w:kern w:val="0"/>
                <w:sz w:val="20"/>
                <w:szCs w:val="20"/>
              </w:rPr>
              <w:t>1.5</w:t>
            </w:r>
            <w:r>
              <w:rPr>
                <w:rFonts w:hint="eastAsia" w:ascii="宋体" w:hAnsi="宋体"/>
                <w:color w:val="000000"/>
                <w:kern w:val="0"/>
                <w:sz w:val="20"/>
                <w:szCs w:val="20"/>
              </w:rPr>
              <w:t>米支臂，支臂与主杆连接处均采用热镀锌高强度螺栓连接。采用</w:t>
            </w:r>
            <w:r>
              <w:rPr>
                <w:rFonts w:eastAsia="等线"/>
                <w:color w:val="000000"/>
                <w:kern w:val="0"/>
                <w:sz w:val="20"/>
                <w:szCs w:val="20"/>
              </w:rPr>
              <w:t>Q235B</w:t>
            </w:r>
            <w:r>
              <w:rPr>
                <w:rFonts w:hint="eastAsia" w:ascii="宋体" w:hAnsi="宋体"/>
                <w:color w:val="000000"/>
                <w:kern w:val="0"/>
                <w:sz w:val="20"/>
                <w:szCs w:val="20"/>
              </w:rPr>
              <w:t>，杆体内外热浸锌，符合</w:t>
            </w:r>
            <w:r>
              <w:rPr>
                <w:rFonts w:eastAsia="等线"/>
                <w:color w:val="000000"/>
                <w:kern w:val="0"/>
                <w:sz w:val="20"/>
                <w:szCs w:val="20"/>
              </w:rPr>
              <w:t>GB/T13912</w:t>
            </w:r>
            <w:r>
              <w:rPr>
                <w:rFonts w:hint="eastAsia" w:ascii="宋体" w:hAnsi="宋体"/>
                <w:color w:val="000000"/>
                <w:kern w:val="0"/>
                <w:sz w:val="20"/>
                <w:szCs w:val="20"/>
              </w:rPr>
              <w:t>－</w:t>
            </w:r>
            <w:r>
              <w:rPr>
                <w:rFonts w:eastAsia="等线"/>
                <w:color w:val="000000"/>
                <w:kern w:val="0"/>
                <w:sz w:val="20"/>
                <w:szCs w:val="20"/>
              </w:rPr>
              <w:t>2020</w:t>
            </w:r>
            <w:r>
              <w:rPr>
                <w:rFonts w:hint="eastAsia" w:ascii="宋体" w:hAnsi="宋体"/>
                <w:color w:val="000000"/>
                <w:kern w:val="0"/>
                <w:sz w:val="20"/>
                <w:szCs w:val="20"/>
              </w:rPr>
              <w:t>国家标准。</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根</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202</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网线</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六类网线屏蔽线</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米</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6060</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相机电源线</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RVV3*1.0</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米</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6060</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人工及机械费</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机械使用</w:t>
            </w:r>
            <w:r>
              <w:rPr>
                <w:rFonts w:eastAsia="等线"/>
                <w:color w:val="000000"/>
                <w:kern w:val="0"/>
                <w:sz w:val="20"/>
                <w:szCs w:val="20"/>
              </w:rPr>
              <w:t>404</w:t>
            </w:r>
            <w:r>
              <w:rPr>
                <w:rFonts w:hint="eastAsia" w:ascii="宋体" w:hAnsi="宋体"/>
                <w:color w:val="000000"/>
                <w:kern w:val="0"/>
                <w:sz w:val="20"/>
                <w:szCs w:val="20"/>
              </w:rPr>
              <w:t>天（吊车，高车，电镐，切割锯等），人工</w:t>
            </w:r>
            <w:r>
              <w:rPr>
                <w:rFonts w:eastAsia="等线"/>
                <w:color w:val="000000"/>
                <w:kern w:val="0"/>
                <w:sz w:val="20"/>
                <w:szCs w:val="20"/>
              </w:rPr>
              <w:t>808</w:t>
            </w:r>
            <w:r>
              <w:rPr>
                <w:rFonts w:hint="eastAsia" w:ascii="宋体" w:hAnsi="宋体"/>
                <w:color w:val="000000"/>
                <w:kern w:val="0"/>
                <w:sz w:val="20"/>
                <w:szCs w:val="20"/>
              </w:rPr>
              <w:t>工日（布线、安装、调试）</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项</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528" w:hRule="atLeast"/>
        </w:trPr>
        <w:tc>
          <w:tcPr>
            <w:tcW w:w="60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11</w:t>
            </w:r>
          </w:p>
        </w:tc>
        <w:tc>
          <w:tcPr>
            <w:tcW w:w="74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电警杆件加装横臂</w:t>
            </w: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加装横臂</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借杆</w:t>
            </w:r>
            <w:r>
              <w:rPr>
                <w:rFonts w:eastAsia="等线"/>
                <w:color w:val="000000"/>
                <w:kern w:val="0"/>
                <w:sz w:val="20"/>
                <w:szCs w:val="20"/>
              </w:rPr>
              <w:t>2.5</w:t>
            </w:r>
            <w:r>
              <w:rPr>
                <w:rFonts w:hint="eastAsia" w:ascii="宋体" w:hAnsi="宋体"/>
                <w:color w:val="000000"/>
                <w:kern w:val="0"/>
                <w:sz w:val="20"/>
                <w:szCs w:val="20"/>
              </w:rPr>
              <w:t>米支臂，支臂与主杆连接处均采用热镀锌高强度螺栓连接。采用</w:t>
            </w:r>
            <w:r>
              <w:rPr>
                <w:rFonts w:eastAsia="等线"/>
                <w:color w:val="000000"/>
                <w:kern w:val="0"/>
                <w:sz w:val="20"/>
                <w:szCs w:val="20"/>
              </w:rPr>
              <w:t>Q235B</w:t>
            </w:r>
            <w:r>
              <w:rPr>
                <w:rFonts w:hint="eastAsia" w:ascii="宋体" w:hAnsi="宋体"/>
                <w:color w:val="000000"/>
                <w:kern w:val="0"/>
                <w:sz w:val="20"/>
                <w:szCs w:val="20"/>
              </w:rPr>
              <w:t>，杆体内外热浸锌，符合</w:t>
            </w:r>
            <w:r>
              <w:rPr>
                <w:rFonts w:eastAsia="等线"/>
                <w:color w:val="000000"/>
                <w:kern w:val="0"/>
                <w:sz w:val="20"/>
                <w:szCs w:val="20"/>
              </w:rPr>
              <w:t>GB/T13912</w:t>
            </w:r>
            <w:r>
              <w:rPr>
                <w:rFonts w:hint="eastAsia" w:ascii="宋体" w:hAnsi="宋体"/>
                <w:color w:val="000000"/>
                <w:kern w:val="0"/>
                <w:sz w:val="20"/>
                <w:szCs w:val="20"/>
              </w:rPr>
              <w:t>－</w:t>
            </w:r>
            <w:r>
              <w:rPr>
                <w:rFonts w:eastAsia="等线"/>
                <w:color w:val="000000"/>
                <w:kern w:val="0"/>
                <w:sz w:val="20"/>
                <w:szCs w:val="20"/>
              </w:rPr>
              <w:t>2020</w:t>
            </w:r>
            <w:r>
              <w:rPr>
                <w:rFonts w:hint="eastAsia" w:ascii="宋体" w:hAnsi="宋体"/>
                <w:color w:val="000000"/>
                <w:kern w:val="0"/>
                <w:sz w:val="20"/>
                <w:szCs w:val="20"/>
              </w:rPr>
              <w:t>国家标准。</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根</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100</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网线</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六类网线屏蔽线</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米</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3000</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相机电源线</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RVV3*1.0</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米</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3000</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人工及机械费</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机械使用</w:t>
            </w:r>
            <w:r>
              <w:rPr>
                <w:rFonts w:eastAsia="等线"/>
                <w:color w:val="000000"/>
                <w:kern w:val="0"/>
                <w:sz w:val="20"/>
                <w:szCs w:val="20"/>
              </w:rPr>
              <w:t>200</w:t>
            </w:r>
            <w:r>
              <w:rPr>
                <w:rFonts w:hint="eastAsia" w:ascii="宋体" w:hAnsi="宋体"/>
                <w:color w:val="000000"/>
                <w:kern w:val="0"/>
                <w:sz w:val="20"/>
                <w:szCs w:val="20"/>
              </w:rPr>
              <w:t>天（吊车，高车，电镐，切割锯等），人工</w:t>
            </w:r>
            <w:r>
              <w:rPr>
                <w:rFonts w:eastAsia="等线"/>
                <w:color w:val="000000"/>
                <w:kern w:val="0"/>
                <w:sz w:val="20"/>
                <w:szCs w:val="20"/>
              </w:rPr>
              <w:t>400</w:t>
            </w:r>
            <w:r>
              <w:rPr>
                <w:rFonts w:hint="eastAsia" w:ascii="宋体" w:hAnsi="宋体"/>
                <w:color w:val="000000"/>
                <w:kern w:val="0"/>
                <w:sz w:val="20"/>
                <w:szCs w:val="20"/>
              </w:rPr>
              <w:t>工日（布线、安装、调试）</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项</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528" w:hRule="atLeast"/>
        </w:trPr>
        <w:tc>
          <w:tcPr>
            <w:tcW w:w="60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12</w:t>
            </w:r>
          </w:p>
        </w:tc>
        <w:tc>
          <w:tcPr>
            <w:tcW w:w="74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小区</w:t>
            </w:r>
            <w:r>
              <w:rPr>
                <w:rFonts w:eastAsia="等线"/>
                <w:color w:val="000000"/>
                <w:kern w:val="0"/>
                <w:sz w:val="20"/>
                <w:szCs w:val="20"/>
              </w:rPr>
              <w:t>189</w:t>
            </w:r>
            <w:r>
              <w:rPr>
                <w:rFonts w:hint="eastAsia" w:ascii="宋体" w:hAnsi="宋体"/>
                <w:color w:val="000000"/>
                <w:kern w:val="0"/>
                <w:sz w:val="20"/>
                <w:szCs w:val="20"/>
              </w:rPr>
              <w:t>处治安监控加装横臂</w:t>
            </w: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加装横臂</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臂装</w:t>
            </w:r>
            <w:r>
              <w:rPr>
                <w:rFonts w:eastAsia="等线"/>
                <w:color w:val="000000"/>
                <w:kern w:val="0"/>
                <w:sz w:val="20"/>
                <w:szCs w:val="20"/>
              </w:rPr>
              <w:t>0.8</w:t>
            </w:r>
            <w:r>
              <w:rPr>
                <w:rFonts w:hint="eastAsia" w:ascii="宋体" w:hAnsi="宋体"/>
                <w:color w:val="000000"/>
                <w:kern w:val="0"/>
                <w:sz w:val="20"/>
                <w:szCs w:val="20"/>
              </w:rPr>
              <w:t>米支臂，支臂与主杆连接处均采用热镀锌高强度螺栓连接。采用</w:t>
            </w:r>
            <w:r>
              <w:rPr>
                <w:rFonts w:eastAsia="等线"/>
                <w:color w:val="000000"/>
                <w:kern w:val="0"/>
                <w:sz w:val="20"/>
                <w:szCs w:val="20"/>
              </w:rPr>
              <w:t>Q235B</w:t>
            </w:r>
            <w:r>
              <w:rPr>
                <w:rFonts w:hint="eastAsia" w:ascii="宋体" w:hAnsi="宋体"/>
                <w:color w:val="000000"/>
                <w:kern w:val="0"/>
                <w:sz w:val="20"/>
                <w:szCs w:val="20"/>
              </w:rPr>
              <w:t>，杆体内外热浸锌，符合</w:t>
            </w:r>
            <w:r>
              <w:rPr>
                <w:rFonts w:eastAsia="等线"/>
                <w:color w:val="000000"/>
                <w:kern w:val="0"/>
                <w:sz w:val="20"/>
                <w:szCs w:val="20"/>
              </w:rPr>
              <w:t>GB/T13912</w:t>
            </w:r>
            <w:r>
              <w:rPr>
                <w:rFonts w:hint="eastAsia" w:ascii="宋体" w:hAnsi="宋体"/>
                <w:color w:val="000000"/>
                <w:kern w:val="0"/>
                <w:sz w:val="20"/>
                <w:szCs w:val="20"/>
              </w:rPr>
              <w:t>－</w:t>
            </w:r>
            <w:r>
              <w:rPr>
                <w:rFonts w:eastAsia="等线"/>
                <w:color w:val="000000"/>
                <w:kern w:val="0"/>
                <w:sz w:val="20"/>
                <w:szCs w:val="20"/>
              </w:rPr>
              <w:t>2020</w:t>
            </w:r>
            <w:r>
              <w:rPr>
                <w:rFonts w:hint="eastAsia" w:ascii="宋体" w:hAnsi="宋体"/>
                <w:color w:val="000000"/>
                <w:kern w:val="0"/>
                <w:sz w:val="20"/>
                <w:szCs w:val="20"/>
              </w:rPr>
              <w:t>国家标准。</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根</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378</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监控箱</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400*400*300</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台</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189</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网线</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六类网线屏蔽线</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米</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13230</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相机电源线</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RVV3*1.0</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米</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13230</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主电源线</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RVV3*2.5</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米</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2835</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线管</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2.5PVC</w:t>
            </w:r>
            <w:r>
              <w:rPr>
                <w:rFonts w:hint="eastAsia" w:ascii="宋体" w:hAnsi="宋体"/>
                <w:color w:val="000000"/>
                <w:kern w:val="0"/>
                <w:sz w:val="20"/>
                <w:szCs w:val="20"/>
              </w:rPr>
              <w:t>管</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米</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13230</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人工及机械费</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机械使用</w:t>
            </w:r>
            <w:r>
              <w:rPr>
                <w:rFonts w:eastAsia="等线"/>
                <w:color w:val="000000"/>
                <w:kern w:val="0"/>
                <w:sz w:val="20"/>
                <w:szCs w:val="20"/>
              </w:rPr>
              <w:t>378</w:t>
            </w:r>
            <w:r>
              <w:rPr>
                <w:rFonts w:hint="eastAsia" w:ascii="宋体" w:hAnsi="宋体"/>
                <w:color w:val="000000"/>
                <w:kern w:val="0"/>
                <w:sz w:val="20"/>
                <w:szCs w:val="20"/>
              </w:rPr>
              <w:t>天（吊车，高车，电镐，切割锯等），人工</w:t>
            </w:r>
            <w:r>
              <w:rPr>
                <w:rFonts w:eastAsia="等线"/>
                <w:color w:val="000000"/>
                <w:kern w:val="0"/>
                <w:sz w:val="20"/>
                <w:szCs w:val="20"/>
              </w:rPr>
              <w:t>1134</w:t>
            </w:r>
            <w:r>
              <w:rPr>
                <w:rFonts w:hint="eastAsia" w:ascii="宋体" w:hAnsi="宋体"/>
                <w:color w:val="000000"/>
                <w:kern w:val="0"/>
                <w:sz w:val="20"/>
                <w:szCs w:val="20"/>
              </w:rPr>
              <w:t>工日（布线、安装、调试）</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项</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276" w:hRule="atLeast"/>
        </w:trPr>
        <w:tc>
          <w:tcPr>
            <w:tcW w:w="60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13</w:t>
            </w:r>
          </w:p>
        </w:tc>
        <w:tc>
          <w:tcPr>
            <w:tcW w:w="74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重点单位</w:t>
            </w:r>
            <w:r>
              <w:rPr>
                <w:rFonts w:eastAsia="等线"/>
                <w:color w:val="000000"/>
                <w:kern w:val="0"/>
                <w:sz w:val="20"/>
                <w:szCs w:val="20"/>
              </w:rPr>
              <w:t>262</w:t>
            </w:r>
            <w:r>
              <w:rPr>
                <w:rFonts w:hint="eastAsia" w:ascii="宋体" w:hAnsi="宋体"/>
                <w:color w:val="000000"/>
                <w:kern w:val="0"/>
                <w:sz w:val="20"/>
                <w:szCs w:val="20"/>
              </w:rPr>
              <w:t>处治安监控加装横臂</w:t>
            </w: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相机支架</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吊装支架</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根</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262</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监控箱</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400*400*300</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台</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262</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网线</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六类网线屏蔽线</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米</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18340</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相机电源线</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RVV3*1.0</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米</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18340</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主电源线</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RVV3*2.5</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米</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3930</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线管</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2.5PVC</w:t>
            </w:r>
            <w:r>
              <w:rPr>
                <w:rFonts w:hint="eastAsia" w:ascii="宋体" w:hAnsi="宋体"/>
                <w:color w:val="000000"/>
                <w:kern w:val="0"/>
                <w:sz w:val="20"/>
                <w:szCs w:val="20"/>
              </w:rPr>
              <w:t>管</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米</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18340</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人工及机械费</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机械使用</w:t>
            </w:r>
            <w:r>
              <w:rPr>
                <w:rFonts w:eastAsia="等线"/>
                <w:color w:val="000000"/>
                <w:kern w:val="0"/>
                <w:sz w:val="20"/>
                <w:szCs w:val="20"/>
              </w:rPr>
              <w:t>524</w:t>
            </w:r>
            <w:r>
              <w:rPr>
                <w:rFonts w:hint="eastAsia" w:ascii="宋体" w:hAnsi="宋体"/>
                <w:color w:val="000000"/>
                <w:kern w:val="0"/>
                <w:sz w:val="20"/>
                <w:szCs w:val="20"/>
              </w:rPr>
              <w:t>天（吊车，高车，电镐，切割锯等），人工</w:t>
            </w:r>
            <w:r>
              <w:rPr>
                <w:rFonts w:eastAsia="等线"/>
                <w:color w:val="000000"/>
                <w:kern w:val="0"/>
                <w:sz w:val="20"/>
                <w:szCs w:val="20"/>
              </w:rPr>
              <w:t>2096</w:t>
            </w:r>
            <w:r>
              <w:rPr>
                <w:rFonts w:hint="eastAsia" w:ascii="宋体" w:hAnsi="宋体"/>
                <w:color w:val="000000"/>
                <w:kern w:val="0"/>
                <w:sz w:val="20"/>
                <w:szCs w:val="20"/>
              </w:rPr>
              <w:t>工日（布线、安装、调试）</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项</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528" w:hRule="atLeast"/>
        </w:trPr>
        <w:tc>
          <w:tcPr>
            <w:tcW w:w="60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14</w:t>
            </w:r>
          </w:p>
        </w:tc>
        <w:tc>
          <w:tcPr>
            <w:tcW w:w="74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新建电警</w:t>
            </w:r>
            <w:r>
              <w:rPr>
                <w:rFonts w:eastAsia="等线"/>
                <w:color w:val="000000"/>
                <w:kern w:val="0"/>
                <w:sz w:val="20"/>
                <w:szCs w:val="20"/>
              </w:rPr>
              <w:t>18</w:t>
            </w:r>
            <w:r>
              <w:rPr>
                <w:rFonts w:hint="eastAsia" w:ascii="宋体" w:hAnsi="宋体"/>
                <w:color w:val="000000"/>
                <w:kern w:val="0"/>
                <w:sz w:val="20"/>
                <w:szCs w:val="20"/>
              </w:rPr>
              <w:t>处</w:t>
            </w: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新立电警杆</w:t>
            </w:r>
            <w:r>
              <w:rPr>
                <w:rFonts w:eastAsia="等线"/>
                <w:color w:val="000000"/>
                <w:kern w:val="0"/>
                <w:sz w:val="20"/>
                <w:szCs w:val="20"/>
              </w:rPr>
              <w:t>1</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6.5</w:t>
            </w:r>
            <w:r>
              <w:rPr>
                <w:rFonts w:hint="eastAsia" w:ascii="宋体" w:hAnsi="宋体"/>
                <w:color w:val="000000"/>
                <w:kern w:val="0"/>
                <w:sz w:val="20"/>
                <w:szCs w:val="20"/>
              </w:rPr>
              <w:t>米</w:t>
            </w:r>
            <w:r>
              <w:rPr>
                <w:rFonts w:eastAsia="等线"/>
                <w:color w:val="000000"/>
                <w:kern w:val="0"/>
                <w:sz w:val="20"/>
                <w:szCs w:val="20"/>
              </w:rPr>
              <w:t>*6</w:t>
            </w:r>
            <w:r>
              <w:rPr>
                <w:rFonts w:hint="eastAsia" w:ascii="宋体" w:hAnsi="宋体"/>
                <w:color w:val="000000"/>
                <w:kern w:val="0"/>
                <w:sz w:val="20"/>
                <w:szCs w:val="20"/>
              </w:rPr>
              <w:t>米</w:t>
            </w:r>
            <w:r>
              <w:rPr>
                <w:rFonts w:eastAsia="等线"/>
                <w:color w:val="000000"/>
                <w:kern w:val="0"/>
                <w:sz w:val="20"/>
                <w:szCs w:val="20"/>
              </w:rPr>
              <w:t>L</w:t>
            </w:r>
            <w:r>
              <w:rPr>
                <w:rFonts w:hint="eastAsia" w:ascii="宋体" w:hAnsi="宋体"/>
                <w:color w:val="000000"/>
                <w:kern w:val="0"/>
                <w:sz w:val="20"/>
                <w:szCs w:val="20"/>
              </w:rPr>
              <w:t>型监控杆（立杆八角，对角</w:t>
            </w:r>
            <w:r>
              <w:rPr>
                <w:rFonts w:eastAsia="等线"/>
                <w:color w:val="000000"/>
                <w:kern w:val="0"/>
                <w:sz w:val="20"/>
                <w:szCs w:val="20"/>
              </w:rPr>
              <w:t>220-280-6mm</w:t>
            </w:r>
            <w:r>
              <w:rPr>
                <w:rFonts w:hint="eastAsia" w:ascii="宋体" w:hAnsi="宋体"/>
                <w:color w:val="000000"/>
                <w:kern w:val="0"/>
                <w:sz w:val="20"/>
                <w:szCs w:val="20"/>
              </w:rPr>
              <w:t>厚；横杆八角，对角</w:t>
            </w:r>
            <w:r>
              <w:rPr>
                <w:rFonts w:eastAsia="等线"/>
                <w:color w:val="000000"/>
                <w:kern w:val="0"/>
                <w:sz w:val="20"/>
                <w:szCs w:val="20"/>
              </w:rPr>
              <w:t>100-200-4mm</w:t>
            </w:r>
            <w:r>
              <w:rPr>
                <w:rFonts w:hint="eastAsia" w:ascii="宋体" w:hAnsi="宋体"/>
                <w:color w:val="000000"/>
                <w:kern w:val="0"/>
                <w:sz w:val="20"/>
                <w:szCs w:val="20"/>
              </w:rPr>
              <w:t>厚；立杆法兰</w:t>
            </w:r>
            <w:r>
              <w:rPr>
                <w:rFonts w:eastAsia="等线"/>
                <w:color w:val="000000"/>
                <w:kern w:val="0"/>
                <w:sz w:val="20"/>
                <w:szCs w:val="20"/>
              </w:rPr>
              <w:t>ø500-16mm</w:t>
            </w:r>
            <w:r>
              <w:rPr>
                <w:rFonts w:hint="eastAsia" w:ascii="宋体" w:hAnsi="宋体"/>
                <w:color w:val="000000"/>
                <w:kern w:val="0"/>
                <w:sz w:val="20"/>
                <w:szCs w:val="20"/>
              </w:rPr>
              <w:t>厚；杆件整体热镀锌喷塑白色</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3</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人工费</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混凝土（</w:t>
            </w:r>
            <w:r>
              <w:rPr>
                <w:rFonts w:eastAsia="等线"/>
                <w:color w:val="000000"/>
                <w:kern w:val="0"/>
                <w:sz w:val="20"/>
                <w:szCs w:val="20"/>
              </w:rPr>
              <w:t>1.5m×1.5m×1.6m</w:t>
            </w:r>
            <w:r>
              <w:rPr>
                <w:rFonts w:hint="eastAsia" w:ascii="宋体" w:hAnsi="宋体"/>
                <w:color w:val="000000"/>
                <w:kern w:val="0"/>
                <w:sz w:val="20"/>
                <w:szCs w:val="20"/>
              </w:rPr>
              <w:t>）</w:t>
            </w:r>
            <w:r>
              <w:rPr>
                <w:rFonts w:eastAsia="等线"/>
                <w:color w:val="000000"/>
                <w:kern w:val="0"/>
                <w:sz w:val="20"/>
                <w:szCs w:val="20"/>
              </w:rPr>
              <w:t>10.8</w:t>
            </w:r>
            <w:r>
              <w:rPr>
                <w:rFonts w:hint="eastAsia" w:ascii="宋体" w:hAnsi="宋体"/>
                <w:color w:val="000000"/>
                <w:kern w:val="0"/>
                <w:sz w:val="20"/>
                <w:szCs w:val="20"/>
              </w:rPr>
              <w:t>立方，渣土清运（</w:t>
            </w:r>
            <w:r>
              <w:rPr>
                <w:rFonts w:eastAsia="等线"/>
                <w:color w:val="000000"/>
                <w:kern w:val="0"/>
                <w:sz w:val="20"/>
                <w:szCs w:val="20"/>
              </w:rPr>
              <w:t>1.5m×1.5m×1.6m</w:t>
            </w:r>
            <w:r>
              <w:rPr>
                <w:rFonts w:hint="eastAsia" w:ascii="宋体" w:hAnsi="宋体"/>
                <w:color w:val="000000"/>
                <w:kern w:val="0"/>
                <w:sz w:val="20"/>
                <w:szCs w:val="20"/>
              </w:rPr>
              <w:t>）</w:t>
            </w:r>
            <w:r>
              <w:rPr>
                <w:rFonts w:eastAsia="等线"/>
                <w:color w:val="000000"/>
                <w:kern w:val="0"/>
                <w:sz w:val="20"/>
                <w:szCs w:val="20"/>
              </w:rPr>
              <w:t>10.8</w:t>
            </w:r>
            <w:r>
              <w:rPr>
                <w:rFonts w:hint="eastAsia" w:ascii="宋体" w:hAnsi="宋体"/>
                <w:color w:val="000000"/>
                <w:kern w:val="0"/>
                <w:sz w:val="20"/>
                <w:szCs w:val="20"/>
              </w:rPr>
              <w:t>立方</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项</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528"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新立电警杆</w:t>
            </w:r>
            <w:r>
              <w:rPr>
                <w:rFonts w:eastAsia="等线"/>
                <w:color w:val="000000"/>
                <w:kern w:val="0"/>
                <w:sz w:val="20"/>
                <w:szCs w:val="20"/>
              </w:rPr>
              <w:t>2</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6.5</w:t>
            </w:r>
            <w:r>
              <w:rPr>
                <w:rFonts w:hint="eastAsia" w:ascii="宋体" w:hAnsi="宋体"/>
                <w:color w:val="000000"/>
                <w:kern w:val="0"/>
                <w:sz w:val="20"/>
                <w:szCs w:val="20"/>
              </w:rPr>
              <w:t>米</w:t>
            </w:r>
            <w:r>
              <w:rPr>
                <w:rFonts w:eastAsia="等线"/>
                <w:color w:val="000000"/>
                <w:kern w:val="0"/>
                <w:sz w:val="20"/>
                <w:szCs w:val="20"/>
              </w:rPr>
              <w:t>*7</w:t>
            </w:r>
            <w:r>
              <w:rPr>
                <w:rFonts w:hint="eastAsia" w:ascii="宋体" w:hAnsi="宋体"/>
                <w:color w:val="000000"/>
                <w:kern w:val="0"/>
                <w:sz w:val="20"/>
                <w:szCs w:val="20"/>
              </w:rPr>
              <w:t>米</w:t>
            </w:r>
            <w:r>
              <w:rPr>
                <w:rFonts w:eastAsia="等线"/>
                <w:color w:val="000000"/>
                <w:kern w:val="0"/>
                <w:sz w:val="20"/>
                <w:szCs w:val="20"/>
              </w:rPr>
              <w:t>L</w:t>
            </w:r>
            <w:r>
              <w:rPr>
                <w:rFonts w:hint="eastAsia" w:ascii="宋体" w:hAnsi="宋体"/>
                <w:color w:val="000000"/>
                <w:kern w:val="0"/>
                <w:sz w:val="20"/>
                <w:szCs w:val="20"/>
              </w:rPr>
              <w:t>型监控杆（立杆八角，对角</w:t>
            </w:r>
            <w:r>
              <w:rPr>
                <w:rFonts w:eastAsia="等线"/>
                <w:color w:val="000000"/>
                <w:kern w:val="0"/>
                <w:sz w:val="20"/>
                <w:szCs w:val="20"/>
              </w:rPr>
              <w:t>240-300-6mm</w:t>
            </w:r>
            <w:r>
              <w:rPr>
                <w:rFonts w:hint="eastAsia" w:ascii="宋体" w:hAnsi="宋体"/>
                <w:color w:val="000000"/>
                <w:kern w:val="0"/>
                <w:sz w:val="20"/>
                <w:szCs w:val="20"/>
              </w:rPr>
              <w:t>厚</w:t>
            </w:r>
            <w:r>
              <w:rPr>
                <w:rFonts w:eastAsia="等线"/>
                <w:color w:val="000000"/>
                <w:kern w:val="0"/>
                <w:sz w:val="20"/>
                <w:szCs w:val="20"/>
              </w:rPr>
              <w:t>;</w:t>
            </w:r>
            <w:r>
              <w:rPr>
                <w:rFonts w:hint="eastAsia" w:ascii="宋体" w:hAnsi="宋体"/>
                <w:color w:val="000000"/>
                <w:kern w:val="0"/>
                <w:sz w:val="20"/>
                <w:szCs w:val="20"/>
              </w:rPr>
              <w:t>横杆八角，对角</w:t>
            </w:r>
            <w:r>
              <w:rPr>
                <w:rFonts w:eastAsia="等线"/>
                <w:color w:val="000000"/>
                <w:kern w:val="0"/>
                <w:sz w:val="20"/>
                <w:szCs w:val="20"/>
              </w:rPr>
              <w:t>100-220-4mm</w:t>
            </w:r>
            <w:r>
              <w:rPr>
                <w:rFonts w:hint="eastAsia" w:ascii="宋体" w:hAnsi="宋体"/>
                <w:color w:val="000000"/>
                <w:kern w:val="0"/>
                <w:sz w:val="20"/>
                <w:szCs w:val="20"/>
              </w:rPr>
              <w:t>厚</w:t>
            </w:r>
            <w:r>
              <w:rPr>
                <w:rFonts w:eastAsia="等线"/>
                <w:color w:val="000000"/>
                <w:kern w:val="0"/>
                <w:sz w:val="20"/>
                <w:szCs w:val="20"/>
              </w:rPr>
              <w:t>;</w:t>
            </w:r>
            <w:r>
              <w:rPr>
                <w:rFonts w:hint="eastAsia" w:ascii="宋体" w:hAnsi="宋体"/>
                <w:color w:val="000000"/>
                <w:kern w:val="0"/>
                <w:sz w:val="20"/>
                <w:szCs w:val="20"/>
              </w:rPr>
              <w:t>立杆法兰</w:t>
            </w:r>
            <w:r>
              <w:rPr>
                <w:rFonts w:eastAsia="等线"/>
                <w:color w:val="000000"/>
                <w:kern w:val="0"/>
                <w:sz w:val="20"/>
                <w:szCs w:val="20"/>
              </w:rPr>
              <w:t>ø500-16mm</w:t>
            </w:r>
            <w:r>
              <w:rPr>
                <w:rFonts w:hint="eastAsia" w:ascii="宋体" w:hAnsi="宋体"/>
                <w:color w:val="000000"/>
                <w:kern w:val="0"/>
                <w:sz w:val="20"/>
                <w:szCs w:val="20"/>
              </w:rPr>
              <w:t>厚</w:t>
            </w:r>
            <w:r>
              <w:rPr>
                <w:rFonts w:eastAsia="等线"/>
                <w:color w:val="000000"/>
                <w:kern w:val="0"/>
                <w:sz w:val="20"/>
                <w:szCs w:val="20"/>
              </w:rPr>
              <w:t>;</w:t>
            </w:r>
            <w:r>
              <w:rPr>
                <w:rFonts w:hint="eastAsia" w:ascii="宋体" w:hAnsi="宋体"/>
                <w:color w:val="000000"/>
                <w:kern w:val="0"/>
                <w:sz w:val="20"/>
                <w:szCs w:val="20"/>
              </w:rPr>
              <w:t>杆件整体热镀锌喷塑白色）</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3</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人工费</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混凝土（</w:t>
            </w:r>
            <w:r>
              <w:rPr>
                <w:rFonts w:eastAsia="等线"/>
                <w:color w:val="000000"/>
                <w:kern w:val="0"/>
                <w:sz w:val="20"/>
                <w:szCs w:val="20"/>
              </w:rPr>
              <w:t>1.5m×1.5m×1.6m</w:t>
            </w:r>
            <w:r>
              <w:rPr>
                <w:rFonts w:hint="eastAsia" w:ascii="宋体" w:hAnsi="宋体"/>
                <w:color w:val="000000"/>
                <w:kern w:val="0"/>
                <w:sz w:val="20"/>
                <w:szCs w:val="20"/>
              </w:rPr>
              <w:t>）</w:t>
            </w:r>
            <w:r>
              <w:rPr>
                <w:rFonts w:eastAsia="等线"/>
                <w:color w:val="000000"/>
                <w:kern w:val="0"/>
                <w:sz w:val="20"/>
                <w:szCs w:val="20"/>
              </w:rPr>
              <w:t>10.8</w:t>
            </w:r>
            <w:r>
              <w:rPr>
                <w:rFonts w:hint="eastAsia" w:ascii="宋体" w:hAnsi="宋体"/>
                <w:color w:val="000000"/>
                <w:kern w:val="0"/>
                <w:sz w:val="20"/>
                <w:szCs w:val="20"/>
              </w:rPr>
              <w:t>立方，渣土清运（</w:t>
            </w:r>
            <w:r>
              <w:rPr>
                <w:rFonts w:eastAsia="等线"/>
                <w:color w:val="000000"/>
                <w:kern w:val="0"/>
                <w:sz w:val="20"/>
                <w:szCs w:val="20"/>
              </w:rPr>
              <w:t>1.5m×1.5m×1.6m</w:t>
            </w:r>
            <w:r>
              <w:rPr>
                <w:rFonts w:hint="eastAsia" w:ascii="宋体" w:hAnsi="宋体"/>
                <w:color w:val="000000"/>
                <w:kern w:val="0"/>
                <w:sz w:val="20"/>
                <w:szCs w:val="20"/>
              </w:rPr>
              <w:t>）</w:t>
            </w:r>
            <w:r>
              <w:rPr>
                <w:rFonts w:eastAsia="等线"/>
                <w:color w:val="000000"/>
                <w:kern w:val="0"/>
                <w:sz w:val="20"/>
                <w:szCs w:val="20"/>
              </w:rPr>
              <w:t>10.8</w:t>
            </w:r>
            <w:r>
              <w:rPr>
                <w:rFonts w:hint="eastAsia" w:ascii="宋体" w:hAnsi="宋体"/>
                <w:color w:val="000000"/>
                <w:kern w:val="0"/>
                <w:sz w:val="20"/>
                <w:szCs w:val="20"/>
              </w:rPr>
              <w:t>立方</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项</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528"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新立电警杆</w:t>
            </w:r>
            <w:r>
              <w:rPr>
                <w:rFonts w:eastAsia="等线"/>
                <w:color w:val="000000"/>
                <w:kern w:val="0"/>
                <w:sz w:val="20"/>
                <w:szCs w:val="20"/>
              </w:rPr>
              <w:t>3</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6.5</w:t>
            </w:r>
            <w:r>
              <w:rPr>
                <w:rFonts w:hint="eastAsia" w:ascii="宋体" w:hAnsi="宋体"/>
                <w:color w:val="000000"/>
                <w:kern w:val="0"/>
                <w:sz w:val="20"/>
                <w:szCs w:val="20"/>
              </w:rPr>
              <w:t>米</w:t>
            </w:r>
            <w:r>
              <w:rPr>
                <w:rFonts w:eastAsia="等线"/>
                <w:color w:val="000000"/>
                <w:kern w:val="0"/>
                <w:sz w:val="20"/>
                <w:szCs w:val="20"/>
              </w:rPr>
              <w:t>*8</w:t>
            </w:r>
            <w:r>
              <w:rPr>
                <w:rFonts w:hint="eastAsia" w:ascii="宋体" w:hAnsi="宋体"/>
                <w:color w:val="000000"/>
                <w:kern w:val="0"/>
                <w:sz w:val="20"/>
                <w:szCs w:val="20"/>
              </w:rPr>
              <w:t>米</w:t>
            </w:r>
            <w:r>
              <w:rPr>
                <w:rFonts w:eastAsia="等线"/>
                <w:color w:val="000000"/>
                <w:kern w:val="0"/>
                <w:sz w:val="20"/>
                <w:szCs w:val="20"/>
              </w:rPr>
              <w:t>L</w:t>
            </w:r>
            <w:r>
              <w:rPr>
                <w:rFonts w:hint="eastAsia" w:ascii="宋体" w:hAnsi="宋体"/>
                <w:color w:val="000000"/>
                <w:kern w:val="0"/>
                <w:sz w:val="20"/>
                <w:szCs w:val="20"/>
              </w:rPr>
              <w:t>型监控杆（立杆八角，对角</w:t>
            </w:r>
            <w:r>
              <w:rPr>
                <w:rFonts w:eastAsia="等线"/>
                <w:color w:val="000000"/>
                <w:kern w:val="0"/>
                <w:sz w:val="20"/>
                <w:szCs w:val="20"/>
              </w:rPr>
              <w:t>240-300-6mm</w:t>
            </w:r>
            <w:r>
              <w:rPr>
                <w:rFonts w:hint="eastAsia" w:ascii="宋体" w:hAnsi="宋体"/>
                <w:color w:val="000000"/>
                <w:kern w:val="0"/>
                <w:sz w:val="20"/>
                <w:szCs w:val="20"/>
              </w:rPr>
              <w:t>厚；横杆八角，对角</w:t>
            </w:r>
            <w:r>
              <w:rPr>
                <w:rFonts w:eastAsia="等线"/>
                <w:color w:val="000000"/>
                <w:kern w:val="0"/>
                <w:sz w:val="20"/>
                <w:szCs w:val="20"/>
              </w:rPr>
              <w:t>100-220-4mm</w:t>
            </w:r>
            <w:r>
              <w:rPr>
                <w:rFonts w:hint="eastAsia" w:ascii="宋体" w:hAnsi="宋体"/>
                <w:color w:val="000000"/>
                <w:kern w:val="0"/>
                <w:sz w:val="20"/>
                <w:szCs w:val="20"/>
              </w:rPr>
              <w:t>厚；立杆法兰</w:t>
            </w:r>
            <w:r>
              <w:rPr>
                <w:rFonts w:eastAsia="等线"/>
                <w:color w:val="000000"/>
                <w:kern w:val="0"/>
                <w:sz w:val="20"/>
                <w:szCs w:val="20"/>
              </w:rPr>
              <w:t>ø500-16mm</w:t>
            </w:r>
            <w:r>
              <w:rPr>
                <w:rFonts w:hint="eastAsia" w:ascii="宋体" w:hAnsi="宋体"/>
                <w:color w:val="000000"/>
                <w:kern w:val="0"/>
                <w:sz w:val="20"/>
                <w:szCs w:val="20"/>
              </w:rPr>
              <w:t>厚；杆件整体热镀锌喷塑白色）</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3</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人工费</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混凝土（</w:t>
            </w:r>
            <w:r>
              <w:rPr>
                <w:rFonts w:eastAsia="等线"/>
                <w:color w:val="000000"/>
                <w:kern w:val="0"/>
                <w:sz w:val="20"/>
                <w:szCs w:val="20"/>
              </w:rPr>
              <w:t>1.5m×1.5m×1.8m</w:t>
            </w:r>
            <w:r>
              <w:rPr>
                <w:rFonts w:hint="eastAsia" w:ascii="宋体" w:hAnsi="宋体"/>
                <w:color w:val="000000"/>
                <w:kern w:val="0"/>
                <w:sz w:val="20"/>
                <w:szCs w:val="20"/>
              </w:rPr>
              <w:t>）</w:t>
            </w:r>
            <w:r>
              <w:rPr>
                <w:rFonts w:eastAsia="等线"/>
                <w:color w:val="000000"/>
                <w:kern w:val="0"/>
                <w:sz w:val="20"/>
                <w:szCs w:val="20"/>
              </w:rPr>
              <w:t>12.15</w:t>
            </w:r>
            <w:r>
              <w:rPr>
                <w:rFonts w:hint="eastAsia" w:ascii="宋体" w:hAnsi="宋体"/>
                <w:color w:val="000000"/>
                <w:kern w:val="0"/>
                <w:sz w:val="20"/>
                <w:szCs w:val="20"/>
              </w:rPr>
              <w:t>立方，渣土清运（</w:t>
            </w:r>
            <w:r>
              <w:rPr>
                <w:rFonts w:eastAsia="等线"/>
                <w:color w:val="000000"/>
                <w:kern w:val="0"/>
                <w:sz w:val="20"/>
                <w:szCs w:val="20"/>
              </w:rPr>
              <w:t>1.5m×1.5m×1.8m</w:t>
            </w:r>
            <w:r>
              <w:rPr>
                <w:rFonts w:hint="eastAsia" w:ascii="宋体" w:hAnsi="宋体"/>
                <w:color w:val="000000"/>
                <w:kern w:val="0"/>
                <w:sz w:val="20"/>
                <w:szCs w:val="20"/>
              </w:rPr>
              <w:t>）</w:t>
            </w:r>
            <w:r>
              <w:rPr>
                <w:rFonts w:eastAsia="等线"/>
                <w:color w:val="000000"/>
                <w:kern w:val="0"/>
                <w:sz w:val="20"/>
                <w:szCs w:val="20"/>
              </w:rPr>
              <w:t>12.15</w:t>
            </w:r>
            <w:r>
              <w:rPr>
                <w:rFonts w:hint="eastAsia" w:ascii="宋体" w:hAnsi="宋体"/>
                <w:color w:val="000000"/>
                <w:kern w:val="0"/>
                <w:sz w:val="20"/>
                <w:szCs w:val="20"/>
              </w:rPr>
              <w:t>立方</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项</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528"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新立电警杆</w:t>
            </w:r>
            <w:r>
              <w:rPr>
                <w:rFonts w:eastAsia="等线"/>
                <w:color w:val="000000"/>
                <w:kern w:val="0"/>
                <w:sz w:val="20"/>
                <w:szCs w:val="20"/>
              </w:rPr>
              <w:t>4</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6.5</w:t>
            </w:r>
            <w:r>
              <w:rPr>
                <w:rFonts w:hint="eastAsia" w:ascii="宋体" w:hAnsi="宋体"/>
                <w:color w:val="000000"/>
                <w:kern w:val="0"/>
                <w:sz w:val="20"/>
                <w:szCs w:val="20"/>
              </w:rPr>
              <w:t>米</w:t>
            </w:r>
            <w:r>
              <w:rPr>
                <w:rFonts w:eastAsia="等线"/>
                <w:color w:val="000000"/>
                <w:kern w:val="0"/>
                <w:sz w:val="20"/>
                <w:szCs w:val="20"/>
              </w:rPr>
              <w:t>*9</w:t>
            </w:r>
            <w:r>
              <w:rPr>
                <w:rFonts w:hint="eastAsia" w:ascii="宋体" w:hAnsi="宋体"/>
                <w:color w:val="000000"/>
                <w:kern w:val="0"/>
                <w:sz w:val="20"/>
                <w:szCs w:val="20"/>
              </w:rPr>
              <w:t>米</w:t>
            </w:r>
            <w:r>
              <w:rPr>
                <w:rFonts w:eastAsia="等线"/>
                <w:color w:val="000000"/>
                <w:kern w:val="0"/>
                <w:sz w:val="20"/>
                <w:szCs w:val="20"/>
              </w:rPr>
              <w:t>L</w:t>
            </w:r>
            <w:r>
              <w:rPr>
                <w:rFonts w:hint="eastAsia" w:ascii="宋体" w:hAnsi="宋体"/>
                <w:color w:val="000000"/>
                <w:kern w:val="0"/>
                <w:sz w:val="20"/>
                <w:szCs w:val="20"/>
              </w:rPr>
              <w:t>型监控杆（立杆八角，对角</w:t>
            </w:r>
            <w:r>
              <w:rPr>
                <w:rFonts w:eastAsia="等线"/>
                <w:color w:val="000000"/>
                <w:kern w:val="0"/>
                <w:sz w:val="20"/>
                <w:szCs w:val="20"/>
              </w:rPr>
              <w:t>280-330-8mm</w:t>
            </w:r>
            <w:r>
              <w:rPr>
                <w:rFonts w:hint="eastAsia" w:ascii="宋体" w:hAnsi="宋体"/>
                <w:color w:val="000000"/>
                <w:kern w:val="0"/>
                <w:sz w:val="20"/>
                <w:szCs w:val="20"/>
              </w:rPr>
              <w:t>厚；横杆八角，对角</w:t>
            </w:r>
            <w:r>
              <w:rPr>
                <w:rFonts w:eastAsia="等线"/>
                <w:color w:val="000000"/>
                <w:kern w:val="0"/>
                <w:sz w:val="20"/>
                <w:szCs w:val="20"/>
              </w:rPr>
              <w:t>100-260-5mm</w:t>
            </w:r>
            <w:r>
              <w:rPr>
                <w:rFonts w:hint="eastAsia" w:ascii="宋体" w:hAnsi="宋体"/>
                <w:color w:val="000000"/>
                <w:kern w:val="0"/>
                <w:sz w:val="20"/>
                <w:szCs w:val="20"/>
              </w:rPr>
              <w:t>厚；立杆法兰</w:t>
            </w:r>
            <w:r>
              <w:rPr>
                <w:rFonts w:eastAsia="等线"/>
                <w:color w:val="000000"/>
                <w:kern w:val="0"/>
                <w:sz w:val="20"/>
                <w:szCs w:val="20"/>
              </w:rPr>
              <w:t>ø550-18mm</w:t>
            </w:r>
            <w:r>
              <w:rPr>
                <w:rFonts w:hint="eastAsia" w:ascii="宋体" w:hAnsi="宋体"/>
                <w:color w:val="000000"/>
                <w:kern w:val="0"/>
                <w:sz w:val="20"/>
                <w:szCs w:val="20"/>
              </w:rPr>
              <w:t>厚；杆件整体热镀锌喷塑白色）</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人工费</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混凝土（</w:t>
            </w:r>
            <w:r>
              <w:rPr>
                <w:rFonts w:eastAsia="等线"/>
                <w:color w:val="000000"/>
                <w:kern w:val="0"/>
                <w:sz w:val="20"/>
                <w:szCs w:val="20"/>
              </w:rPr>
              <w:t>1.5m×1.5m×1.8m</w:t>
            </w:r>
            <w:r>
              <w:rPr>
                <w:rFonts w:hint="eastAsia" w:ascii="宋体" w:hAnsi="宋体"/>
                <w:color w:val="000000"/>
                <w:kern w:val="0"/>
                <w:sz w:val="20"/>
                <w:szCs w:val="20"/>
              </w:rPr>
              <w:t>）</w:t>
            </w:r>
            <w:r>
              <w:rPr>
                <w:rFonts w:eastAsia="等线"/>
                <w:color w:val="000000"/>
                <w:kern w:val="0"/>
                <w:sz w:val="20"/>
                <w:szCs w:val="20"/>
              </w:rPr>
              <w:t>4.05</w:t>
            </w:r>
            <w:r>
              <w:rPr>
                <w:rFonts w:hint="eastAsia" w:ascii="宋体" w:hAnsi="宋体"/>
                <w:color w:val="000000"/>
                <w:kern w:val="0"/>
                <w:sz w:val="20"/>
                <w:szCs w:val="20"/>
              </w:rPr>
              <w:t>立方，渣土清运（</w:t>
            </w:r>
            <w:r>
              <w:rPr>
                <w:rFonts w:eastAsia="等线"/>
                <w:color w:val="000000"/>
                <w:kern w:val="0"/>
                <w:sz w:val="20"/>
                <w:szCs w:val="20"/>
              </w:rPr>
              <w:t>1.5m×1.5m×1.8m</w:t>
            </w:r>
            <w:r>
              <w:rPr>
                <w:rFonts w:hint="eastAsia" w:ascii="宋体" w:hAnsi="宋体"/>
                <w:color w:val="000000"/>
                <w:kern w:val="0"/>
                <w:sz w:val="20"/>
                <w:szCs w:val="20"/>
              </w:rPr>
              <w:t>）</w:t>
            </w:r>
            <w:r>
              <w:rPr>
                <w:rFonts w:eastAsia="等线"/>
                <w:color w:val="000000"/>
                <w:kern w:val="0"/>
                <w:sz w:val="20"/>
                <w:szCs w:val="20"/>
              </w:rPr>
              <w:t>4.05</w:t>
            </w:r>
            <w:r>
              <w:rPr>
                <w:rFonts w:hint="eastAsia" w:ascii="宋体" w:hAnsi="宋体"/>
                <w:color w:val="000000"/>
                <w:kern w:val="0"/>
                <w:sz w:val="20"/>
                <w:szCs w:val="20"/>
              </w:rPr>
              <w:t>立方</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项</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528"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新立电警杆</w:t>
            </w:r>
            <w:r>
              <w:rPr>
                <w:rFonts w:eastAsia="等线"/>
                <w:color w:val="000000"/>
                <w:kern w:val="0"/>
                <w:sz w:val="20"/>
                <w:szCs w:val="20"/>
              </w:rPr>
              <w:t>5</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6.5</w:t>
            </w:r>
            <w:r>
              <w:rPr>
                <w:rFonts w:hint="eastAsia" w:ascii="宋体" w:hAnsi="宋体"/>
                <w:color w:val="000000"/>
                <w:kern w:val="0"/>
                <w:sz w:val="20"/>
                <w:szCs w:val="20"/>
              </w:rPr>
              <w:t>米</w:t>
            </w:r>
            <w:r>
              <w:rPr>
                <w:rFonts w:eastAsia="等线"/>
                <w:color w:val="000000"/>
                <w:kern w:val="0"/>
                <w:sz w:val="20"/>
                <w:szCs w:val="20"/>
              </w:rPr>
              <w:t>*10</w:t>
            </w:r>
            <w:r>
              <w:rPr>
                <w:rFonts w:hint="eastAsia" w:ascii="宋体" w:hAnsi="宋体"/>
                <w:color w:val="000000"/>
                <w:kern w:val="0"/>
                <w:sz w:val="20"/>
                <w:szCs w:val="20"/>
              </w:rPr>
              <w:t>米</w:t>
            </w:r>
            <w:r>
              <w:rPr>
                <w:rFonts w:eastAsia="等线"/>
                <w:color w:val="000000"/>
                <w:kern w:val="0"/>
                <w:sz w:val="20"/>
                <w:szCs w:val="20"/>
              </w:rPr>
              <w:t>L</w:t>
            </w:r>
            <w:r>
              <w:rPr>
                <w:rFonts w:hint="eastAsia" w:ascii="宋体" w:hAnsi="宋体"/>
                <w:color w:val="000000"/>
                <w:kern w:val="0"/>
                <w:sz w:val="20"/>
                <w:szCs w:val="20"/>
              </w:rPr>
              <w:t>型监控杆（立杆八角，对角</w:t>
            </w:r>
            <w:r>
              <w:rPr>
                <w:rFonts w:eastAsia="等线"/>
                <w:color w:val="000000"/>
                <w:kern w:val="0"/>
                <w:sz w:val="20"/>
                <w:szCs w:val="20"/>
              </w:rPr>
              <w:t>280-330-8mm</w:t>
            </w:r>
            <w:r>
              <w:rPr>
                <w:rFonts w:hint="eastAsia" w:ascii="宋体" w:hAnsi="宋体"/>
                <w:color w:val="000000"/>
                <w:kern w:val="0"/>
                <w:sz w:val="20"/>
                <w:szCs w:val="20"/>
              </w:rPr>
              <w:t>厚；横杆八角，对角</w:t>
            </w:r>
            <w:r>
              <w:rPr>
                <w:rFonts w:eastAsia="等线"/>
                <w:color w:val="000000"/>
                <w:kern w:val="0"/>
                <w:sz w:val="20"/>
                <w:szCs w:val="20"/>
              </w:rPr>
              <w:t>100-260-5mm</w:t>
            </w:r>
            <w:r>
              <w:rPr>
                <w:rFonts w:hint="eastAsia" w:ascii="宋体" w:hAnsi="宋体"/>
                <w:color w:val="000000"/>
                <w:kern w:val="0"/>
                <w:sz w:val="20"/>
                <w:szCs w:val="20"/>
              </w:rPr>
              <w:t>厚；立杆法兰</w:t>
            </w:r>
            <w:r>
              <w:rPr>
                <w:rFonts w:eastAsia="等线"/>
                <w:color w:val="000000"/>
                <w:kern w:val="0"/>
                <w:sz w:val="20"/>
                <w:szCs w:val="20"/>
              </w:rPr>
              <w:t>ø550-18mm</w:t>
            </w:r>
            <w:r>
              <w:rPr>
                <w:rFonts w:hint="eastAsia" w:ascii="宋体" w:hAnsi="宋体"/>
                <w:color w:val="000000"/>
                <w:kern w:val="0"/>
                <w:sz w:val="20"/>
                <w:szCs w:val="20"/>
              </w:rPr>
              <w:t>厚；杆件整体热镀锌喷塑白色）</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15</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人工费</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混凝土（</w:t>
            </w:r>
            <w:r>
              <w:rPr>
                <w:rFonts w:eastAsia="等线"/>
                <w:color w:val="000000"/>
                <w:kern w:val="0"/>
                <w:sz w:val="20"/>
                <w:szCs w:val="20"/>
              </w:rPr>
              <w:t>1.8m×1.8m×2m</w:t>
            </w:r>
            <w:r>
              <w:rPr>
                <w:rFonts w:hint="eastAsia" w:ascii="宋体" w:hAnsi="宋体"/>
                <w:color w:val="000000"/>
                <w:kern w:val="0"/>
                <w:sz w:val="20"/>
                <w:szCs w:val="20"/>
              </w:rPr>
              <w:t>）</w:t>
            </w:r>
            <w:r>
              <w:rPr>
                <w:rFonts w:eastAsia="等线"/>
                <w:color w:val="000000"/>
                <w:kern w:val="0"/>
                <w:sz w:val="20"/>
                <w:szCs w:val="20"/>
              </w:rPr>
              <w:t>97.2</w:t>
            </w:r>
            <w:r>
              <w:rPr>
                <w:rFonts w:hint="eastAsia" w:ascii="宋体" w:hAnsi="宋体"/>
                <w:color w:val="000000"/>
                <w:kern w:val="0"/>
                <w:sz w:val="20"/>
                <w:szCs w:val="20"/>
              </w:rPr>
              <w:t>立方，渣土清运（</w:t>
            </w:r>
            <w:r>
              <w:rPr>
                <w:rFonts w:eastAsia="等线"/>
                <w:color w:val="000000"/>
                <w:kern w:val="0"/>
                <w:sz w:val="20"/>
                <w:szCs w:val="20"/>
              </w:rPr>
              <w:t>1.8m×1.8m×2m</w:t>
            </w:r>
            <w:r>
              <w:rPr>
                <w:rFonts w:hint="eastAsia" w:ascii="宋体" w:hAnsi="宋体"/>
                <w:color w:val="000000"/>
                <w:kern w:val="0"/>
                <w:sz w:val="20"/>
                <w:szCs w:val="20"/>
              </w:rPr>
              <w:t>）</w:t>
            </w:r>
            <w:r>
              <w:rPr>
                <w:rFonts w:eastAsia="等线"/>
                <w:color w:val="000000"/>
                <w:kern w:val="0"/>
                <w:sz w:val="20"/>
                <w:szCs w:val="20"/>
              </w:rPr>
              <w:t>97.2</w:t>
            </w:r>
            <w:r>
              <w:rPr>
                <w:rFonts w:hint="eastAsia" w:ascii="宋体" w:hAnsi="宋体"/>
                <w:color w:val="000000"/>
                <w:kern w:val="0"/>
                <w:sz w:val="20"/>
                <w:szCs w:val="20"/>
              </w:rPr>
              <w:t>立方</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项</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768"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新立电警杆</w:t>
            </w:r>
            <w:r>
              <w:rPr>
                <w:rFonts w:eastAsia="等线"/>
                <w:color w:val="000000"/>
                <w:kern w:val="0"/>
                <w:sz w:val="20"/>
                <w:szCs w:val="20"/>
              </w:rPr>
              <w:t>6</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6.5</w:t>
            </w:r>
            <w:r>
              <w:rPr>
                <w:rFonts w:hint="eastAsia" w:ascii="宋体" w:hAnsi="宋体"/>
                <w:color w:val="000000"/>
                <w:kern w:val="0"/>
                <w:sz w:val="20"/>
                <w:szCs w:val="20"/>
              </w:rPr>
              <w:t>米</w:t>
            </w:r>
            <w:r>
              <w:rPr>
                <w:rFonts w:eastAsia="等线"/>
                <w:color w:val="000000"/>
                <w:kern w:val="0"/>
                <w:sz w:val="20"/>
                <w:szCs w:val="20"/>
              </w:rPr>
              <w:t>*10</w:t>
            </w:r>
            <w:r>
              <w:rPr>
                <w:rFonts w:hint="eastAsia" w:ascii="宋体" w:hAnsi="宋体"/>
                <w:color w:val="000000"/>
                <w:kern w:val="0"/>
                <w:sz w:val="20"/>
                <w:szCs w:val="20"/>
              </w:rPr>
              <w:t>米＋</w:t>
            </w:r>
            <w:r>
              <w:rPr>
                <w:rFonts w:eastAsia="等线"/>
                <w:color w:val="000000"/>
                <w:kern w:val="0"/>
                <w:sz w:val="20"/>
                <w:szCs w:val="20"/>
              </w:rPr>
              <w:t>3</w:t>
            </w:r>
            <w:r>
              <w:rPr>
                <w:rFonts w:hint="eastAsia" w:ascii="宋体" w:hAnsi="宋体"/>
                <w:color w:val="000000"/>
                <w:kern w:val="0"/>
                <w:sz w:val="20"/>
                <w:szCs w:val="20"/>
              </w:rPr>
              <w:t>米</w:t>
            </w:r>
            <w:r>
              <w:rPr>
                <w:rFonts w:eastAsia="等线"/>
                <w:color w:val="000000"/>
                <w:kern w:val="0"/>
                <w:sz w:val="20"/>
                <w:szCs w:val="20"/>
              </w:rPr>
              <w:t>T</w:t>
            </w:r>
            <w:r>
              <w:rPr>
                <w:rFonts w:hint="eastAsia" w:ascii="宋体" w:hAnsi="宋体"/>
                <w:color w:val="000000"/>
                <w:kern w:val="0"/>
                <w:sz w:val="20"/>
                <w:szCs w:val="20"/>
              </w:rPr>
              <w:t>型高低监控杆（立杆八角，对角</w:t>
            </w:r>
            <w:r>
              <w:rPr>
                <w:rFonts w:eastAsia="等线"/>
                <w:color w:val="000000"/>
                <w:kern w:val="0"/>
                <w:sz w:val="20"/>
                <w:szCs w:val="20"/>
              </w:rPr>
              <w:t>280-330-8mm</w:t>
            </w:r>
            <w:r>
              <w:rPr>
                <w:rFonts w:hint="eastAsia" w:ascii="宋体" w:hAnsi="宋体"/>
                <w:color w:val="000000"/>
                <w:kern w:val="0"/>
                <w:sz w:val="20"/>
                <w:szCs w:val="20"/>
              </w:rPr>
              <w:t>厚；横杆</w:t>
            </w:r>
            <w:r>
              <w:rPr>
                <w:rFonts w:eastAsia="等线"/>
                <w:color w:val="000000"/>
                <w:kern w:val="0"/>
                <w:sz w:val="20"/>
                <w:szCs w:val="20"/>
              </w:rPr>
              <w:t>1</w:t>
            </w:r>
            <w:r>
              <w:rPr>
                <w:rFonts w:hint="eastAsia" w:ascii="宋体" w:hAnsi="宋体"/>
                <w:color w:val="000000"/>
                <w:kern w:val="0"/>
                <w:sz w:val="20"/>
                <w:szCs w:val="20"/>
              </w:rPr>
              <w:t>八角，对角</w:t>
            </w:r>
            <w:r>
              <w:rPr>
                <w:rFonts w:eastAsia="等线"/>
                <w:color w:val="000000"/>
                <w:kern w:val="0"/>
                <w:sz w:val="20"/>
                <w:szCs w:val="20"/>
              </w:rPr>
              <w:t>100-260-5mm</w:t>
            </w:r>
            <w:r>
              <w:rPr>
                <w:rFonts w:hint="eastAsia" w:ascii="宋体" w:hAnsi="宋体"/>
                <w:color w:val="000000"/>
                <w:kern w:val="0"/>
                <w:sz w:val="20"/>
                <w:szCs w:val="20"/>
              </w:rPr>
              <w:t>厚；横杆</w:t>
            </w:r>
            <w:r>
              <w:rPr>
                <w:rFonts w:eastAsia="等线"/>
                <w:color w:val="000000"/>
                <w:kern w:val="0"/>
                <w:sz w:val="20"/>
                <w:szCs w:val="20"/>
              </w:rPr>
              <w:t>2</w:t>
            </w:r>
            <w:r>
              <w:rPr>
                <w:rFonts w:hint="eastAsia" w:ascii="宋体" w:hAnsi="宋体"/>
                <w:color w:val="000000"/>
                <w:kern w:val="0"/>
                <w:sz w:val="20"/>
                <w:szCs w:val="20"/>
              </w:rPr>
              <w:t>八角，对角</w:t>
            </w:r>
            <w:r>
              <w:rPr>
                <w:rFonts w:eastAsia="等线"/>
                <w:color w:val="000000"/>
                <w:kern w:val="0"/>
                <w:sz w:val="20"/>
                <w:szCs w:val="20"/>
              </w:rPr>
              <w:t>100-160-4mm</w:t>
            </w:r>
            <w:r>
              <w:rPr>
                <w:rFonts w:hint="eastAsia" w:ascii="宋体" w:hAnsi="宋体"/>
                <w:color w:val="000000"/>
                <w:kern w:val="0"/>
                <w:sz w:val="20"/>
                <w:szCs w:val="20"/>
              </w:rPr>
              <w:t>厚；立杆法兰</w:t>
            </w:r>
            <w:r>
              <w:rPr>
                <w:rFonts w:eastAsia="等线"/>
                <w:color w:val="000000"/>
                <w:kern w:val="0"/>
                <w:sz w:val="20"/>
                <w:szCs w:val="20"/>
              </w:rPr>
              <w:t>ø550-18mm</w:t>
            </w:r>
            <w:r>
              <w:rPr>
                <w:rFonts w:hint="eastAsia" w:ascii="宋体" w:hAnsi="宋体"/>
                <w:color w:val="000000"/>
                <w:kern w:val="0"/>
                <w:sz w:val="20"/>
                <w:szCs w:val="20"/>
              </w:rPr>
              <w:t>厚；杆件整体热镀锌喷塑白色）</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2</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人工费</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混凝土（</w:t>
            </w:r>
            <w:r>
              <w:rPr>
                <w:rFonts w:eastAsia="等线"/>
                <w:color w:val="000000"/>
                <w:kern w:val="0"/>
                <w:sz w:val="20"/>
                <w:szCs w:val="20"/>
              </w:rPr>
              <w:t>1.8m×1.8m×2m</w:t>
            </w:r>
            <w:r>
              <w:rPr>
                <w:rFonts w:hint="eastAsia" w:ascii="宋体" w:hAnsi="宋体"/>
                <w:color w:val="000000"/>
                <w:kern w:val="0"/>
                <w:sz w:val="20"/>
                <w:szCs w:val="20"/>
              </w:rPr>
              <w:t>）</w:t>
            </w:r>
            <w:r>
              <w:rPr>
                <w:rFonts w:eastAsia="等线"/>
                <w:color w:val="000000"/>
                <w:kern w:val="0"/>
                <w:sz w:val="20"/>
                <w:szCs w:val="20"/>
              </w:rPr>
              <w:t>12.96</w:t>
            </w:r>
            <w:r>
              <w:rPr>
                <w:rFonts w:hint="eastAsia" w:ascii="宋体" w:hAnsi="宋体"/>
                <w:color w:val="000000"/>
                <w:kern w:val="0"/>
                <w:sz w:val="20"/>
                <w:szCs w:val="20"/>
              </w:rPr>
              <w:t>立方，渣土清运（</w:t>
            </w:r>
            <w:r>
              <w:rPr>
                <w:rFonts w:eastAsia="等线"/>
                <w:color w:val="000000"/>
                <w:kern w:val="0"/>
                <w:sz w:val="20"/>
                <w:szCs w:val="20"/>
              </w:rPr>
              <w:t>1.8m×1.8m×2m</w:t>
            </w:r>
            <w:r>
              <w:rPr>
                <w:rFonts w:hint="eastAsia" w:ascii="宋体" w:hAnsi="宋体"/>
                <w:color w:val="000000"/>
                <w:kern w:val="0"/>
                <w:sz w:val="20"/>
                <w:szCs w:val="20"/>
              </w:rPr>
              <w:t>）</w:t>
            </w:r>
            <w:r>
              <w:rPr>
                <w:rFonts w:eastAsia="等线"/>
                <w:color w:val="000000"/>
                <w:kern w:val="0"/>
                <w:sz w:val="20"/>
                <w:szCs w:val="20"/>
              </w:rPr>
              <w:t>12.96</w:t>
            </w:r>
            <w:r>
              <w:rPr>
                <w:rFonts w:hint="eastAsia" w:ascii="宋体" w:hAnsi="宋体"/>
                <w:color w:val="000000"/>
                <w:kern w:val="0"/>
                <w:sz w:val="20"/>
                <w:szCs w:val="20"/>
              </w:rPr>
              <w:t>立方</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项</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768"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新立电警杆</w:t>
            </w:r>
            <w:r>
              <w:rPr>
                <w:rFonts w:eastAsia="等线"/>
                <w:color w:val="000000"/>
                <w:kern w:val="0"/>
                <w:sz w:val="20"/>
                <w:szCs w:val="20"/>
              </w:rPr>
              <w:t>7</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6.5</w:t>
            </w:r>
            <w:r>
              <w:rPr>
                <w:rFonts w:hint="eastAsia" w:ascii="宋体" w:hAnsi="宋体"/>
                <w:color w:val="000000"/>
                <w:kern w:val="0"/>
                <w:sz w:val="20"/>
                <w:szCs w:val="20"/>
              </w:rPr>
              <w:t>米</w:t>
            </w:r>
            <w:r>
              <w:rPr>
                <w:rFonts w:eastAsia="等线"/>
                <w:color w:val="000000"/>
                <w:kern w:val="0"/>
                <w:sz w:val="20"/>
                <w:szCs w:val="20"/>
              </w:rPr>
              <w:t>*10</w:t>
            </w:r>
            <w:r>
              <w:rPr>
                <w:rFonts w:hint="eastAsia" w:ascii="宋体" w:hAnsi="宋体"/>
                <w:color w:val="000000"/>
                <w:kern w:val="0"/>
                <w:sz w:val="20"/>
                <w:szCs w:val="20"/>
              </w:rPr>
              <w:t>米＋</w:t>
            </w:r>
            <w:r>
              <w:rPr>
                <w:rFonts w:eastAsia="等线"/>
                <w:color w:val="000000"/>
                <w:kern w:val="0"/>
                <w:sz w:val="20"/>
                <w:szCs w:val="20"/>
              </w:rPr>
              <w:t>4</w:t>
            </w:r>
            <w:r>
              <w:rPr>
                <w:rFonts w:hint="eastAsia" w:ascii="宋体" w:hAnsi="宋体"/>
                <w:color w:val="000000"/>
                <w:kern w:val="0"/>
                <w:sz w:val="20"/>
                <w:szCs w:val="20"/>
              </w:rPr>
              <w:t>米</w:t>
            </w:r>
            <w:r>
              <w:rPr>
                <w:rFonts w:eastAsia="等线"/>
                <w:color w:val="000000"/>
                <w:kern w:val="0"/>
                <w:sz w:val="20"/>
                <w:szCs w:val="20"/>
              </w:rPr>
              <w:t>T</w:t>
            </w:r>
            <w:r>
              <w:rPr>
                <w:rFonts w:hint="eastAsia" w:ascii="宋体" w:hAnsi="宋体"/>
                <w:color w:val="000000"/>
                <w:kern w:val="0"/>
                <w:sz w:val="20"/>
                <w:szCs w:val="20"/>
              </w:rPr>
              <w:t>型高低监控杆（立杆八角，对角</w:t>
            </w:r>
            <w:r>
              <w:rPr>
                <w:rFonts w:eastAsia="等线"/>
                <w:color w:val="000000"/>
                <w:kern w:val="0"/>
                <w:sz w:val="20"/>
                <w:szCs w:val="20"/>
              </w:rPr>
              <w:t>280-330-8mm</w:t>
            </w:r>
            <w:r>
              <w:rPr>
                <w:rFonts w:hint="eastAsia" w:ascii="宋体" w:hAnsi="宋体"/>
                <w:color w:val="000000"/>
                <w:kern w:val="0"/>
                <w:sz w:val="20"/>
                <w:szCs w:val="20"/>
              </w:rPr>
              <w:t>厚；横杆</w:t>
            </w:r>
            <w:r>
              <w:rPr>
                <w:rFonts w:eastAsia="等线"/>
                <w:color w:val="000000"/>
                <w:kern w:val="0"/>
                <w:sz w:val="20"/>
                <w:szCs w:val="20"/>
              </w:rPr>
              <w:t>1</w:t>
            </w:r>
            <w:r>
              <w:rPr>
                <w:rFonts w:hint="eastAsia" w:ascii="宋体" w:hAnsi="宋体"/>
                <w:color w:val="000000"/>
                <w:kern w:val="0"/>
                <w:sz w:val="20"/>
                <w:szCs w:val="20"/>
              </w:rPr>
              <w:t>八角，对角</w:t>
            </w:r>
            <w:r>
              <w:rPr>
                <w:rFonts w:eastAsia="等线"/>
                <w:color w:val="000000"/>
                <w:kern w:val="0"/>
                <w:sz w:val="20"/>
                <w:szCs w:val="20"/>
              </w:rPr>
              <w:t>100-260-5mm</w:t>
            </w:r>
            <w:r>
              <w:rPr>
                <w:rFonts w:hint="eastAsia" w:ascii="宋体" w:hAnsi="宋体"/>
                <w:color w:val="000000"/>
                <w:kern w:val="0"/>
                <w:sz w:val="20"/>
                <w:szCs w:val="20"/>
              </w:rPr>
              <w:t>厚；横杆</w:t>
            </w:r>
            <w:r>
              <w:rPr>
                <w:rFonts w:eastAsia="等线"/>
                <w:color w:val="000000"/>
                <w:kern w:val="0"/>
                <w:sz w:val="20"/>
                <w:szCs w:val="20"/>
              </w:rPr>
              <w:t>2</w:t>
            </w:r>
            <w:r>
              <w:rPr>
                <w:rFonts w:hint="eastAsia" w:ascii="宋体" w:hAnsi="宋体"/>
                <w:color w:val="000000"/>
                <w:kern w:val="0"/>
                <w:sz w:val="20"/>
                <w:szCs w:val="20"/>
              </w:rPr>
              <w:t>八角，对角</w:t>
            </w:r>
            <w:r>
              <w:rPr>
                <w:rFonts w:eastAsia="等线"/>
                <w:color w:val="000000"/>
                <w:kern w:val="0"/>
                <w:sz w:val="20"/>
                <w:szCs w:val="20"/>
              </w:rPr>
              <w:t>100-160-4mm</w:t>
            </w:r>
            <w:r>
              <w:rPr>
                <w:rFonts w:hint="eastAsia" w:ascii="宋体" w:hAnsi="宋体"/>
                <w:color w:val="000000"/>
                <w:kern w:val="0"/>
                <w:sz w:val="20"/>
                <w:szCs w:val="20"/>
              </w:rPr>
              <w:t>厚；立杆法兰</w:t>
            </w:r>
            <w:r>
              <w:rPr>
                <w:rFonts w:eastAsia="等线"/>
                <w:color w:val="000000"/>
                <w:kern w:val="0"/>
                <w:sz w:val="20"/>
                <w:szCs w:val="20"/>
              </w:rPr>
              <w:t>ø550-18mm</w:t>
            </w:r>
            <w:r>
              <w:rPr>
                <w:rFonts w:hint="eastAsia" w:ascii="宋体" w:hAnsi="宋体"/>
                <w:color w:val="000000"/>
                <w:kern w:val="0"/>
                <w:sz w:val="20"/>
                <w:szCs w:val="20"/>
              </w:rPr>
              <w:t>厚；杆件整体热镀锌喷塑白色）</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2</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人工费</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混凝土（</w:t>
            </w:r>
            <w:r>
              <w:rPr>
                <w:rFonts w:eastAsia="等线"/>
                <w:color w:val="000000"/>
                <w:kern w:val="0"/>
                <w:sz w:val="20"/>
                <w:szCs w:val="20"/>
              </w:rPr>
              <w:t>1.8m×1.8m×2m</w:t>
            </w:r>
            <w:r>
              <w:rPr>
                <w:rFonts w:hint="eastAsia" w:ascii="宋体" w:hAnsi="宋体"/>
                <w:color w:val="000000"/>
                <w:kern w:val="0"/>
                <w:sz w:val="20"/>
                <w:szCs w:val="20"/>
              </w:rPr>
              <w:t>）</w:t>
            </w:r>
            <w:r>
              <w:rPr>
                <w:rFonts w:eastAsia="等线"/>
                <w:color w:val="000000"/>
                <w:kern w:val="0"/>
                <w:sz w:val="20"/>
                <w:szCs w:val="20"/>
              </w:rPr>
              <w:t>12.96</w:t>
            </w:r>
            <w:r>
              <w:rPr>
                <w:rFonts w:hint="eastAsia" w:ascii="宋体" w:hAnsi="宋体"/>
                <w:color w:val="000000"/>
                <w:kern w:val="0"/>
                <w:sz w:val="20"/>
                <w:szCs w:val="20"/>
              </w:rPr>
              <w:t>立方，渣土清运（</w:t>
            </w:r>
            <w:r>
              <w:rPr>
                <w:rFonts w:eastAsia="等线"/>
                <w:color w:val="000000"/>
                <w:kern w:val="0"/>
                <w:sz w:val="20"/>
                <w:szCs w:val="20"/>
              </w:rPr>
              <w:t>1.8m×1.8m×2m</w:t>
            </w:r>
            <w:r>
              <w:rPr>
                <w:rFonts w:hint="eastAsia" w:ascii="宋体" w:hAnsi="宋体"/>
                <w:color w:val="000000"/>
                <w:kern w:val="0"/>
                <w:sz w:val="20"/>
                <w:szCs w:val="20"/>
              </w:rPr>
              <w:t>）</w:t>
            </w:r>
            <w:r>
              <w:rPr>
                <w:rFonts w:eastAsia="等线"/>
                <w:color w:val="000000"/>
                <w:kern w:val="0"/>
                <w:sz w:val="20"/>
                <w:szCs w:val="20"/>
              </w:rPr>
              <w:t>12.96</w:t>
            </w:r>
            <w:r>
              <w:rPr>
                <w:rFonts w:hint="eastAsia" w:ascii="宋体" w:hAnsi="宋体"/>
                <w:color w:val="000000"/>
                <w:kern w:val="0"/>
                <w:sz w:val="20"/>
                <w:szCs w:val="20"/>
              </w:rPr>
              <w:t>立方</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项</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528"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新立电警杆</w:t>
            </w:r>
            <w:r>
              <w:rPr>
                <w:rFonts w:eastAsia="等线"/>
                <w:color w:val="000000"/>
                <w:kern w:val="0"/>
                <w:sz w:val="20"/>
                <w:szCs w:val="20"/>
              </w:rPr>
              <w:t>8</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6.5</w:t>
            </w:r>
            <w:r>
              <w:rPr>
                <w:rFonts w:hint="eastAsia" w:ascii="宋体" w:hAnsi="宋体"/>
                <w:color w:val="000000"/>
                <w:kern w:val="0"/>
                <w:sz w:val="20"/>
                <w:szCs w:val="20"/>
              </w:rPr>
              <w:t>米</w:t>
            </w:r>
            <w:r>
              <w:rPr>
                <w:rFonts w:eastAsia="等线"/>
                <w:color w:val="000000"/>
                <w:kern w:val="0"/>
                <w:sz w:val="20"/>
                <w:szCs w:val="20"/>
              </w:rPr>
              <w:t>*11</w:t>
            </w:r>
            <w:r>
              <w:rPr>
                <w:rFonts w:hint="eastAsia" w:ascii="宋体" w:hAnsi="宋体"/>
                <w:color w:val="000000"/>
                <w:kern w:val="0"/>
                <w:sz w:val="20"/>
                <w:szCs w:val="20"/>
              </w:rPr>
              <w:t>米</w:t>
            </w:r>
            <w:r>
              <w:rPr>
                <w:rFonts w:eastAsia="等线"/>
                <w:color w:val="000000"/>
                <w:kern w:val="0"/>
                <w:sz w:val="20"/>
                <w:szCs w:val="20"/>
              </w:rPr>
              <w:t>L</w:t>
            </w:r>
            <w:r>
              <w:rPr>
                <w:rFonts w:hint="eastAsia" w:ascii="宋体" w:hAnsi="宋体"/>
                <w:color w:val="000000"/>
                <w:kern w:val="0"/>
                <w:sz w:val="20"/>
                <w:szCs w:val="20"/>
              </w:rPr>
              <w:t>型监控杆（立杆八角，对角</w:t>
            </w:r>
            <w:r>
              <w:rPr>
                <w:rFonts w:eastAsia="等线"/>
                <w:color w:val="000000"/>
                <w:kern w:val="0"/>
                <w:sz w:val="20"/>
                <w:szCs w:val="20"/>
              </w:rPr>
              <w:t>280-330-8mm</w:t>
            </w:r>
            <w:r>
              <w:rPr>
                <w:rFonts w:hint="eastAsia" w:ascii="宋体" w:hAnsi="宋体"/>
                <w:color w:val="000000"/>
                <w:kern w:val="0"/>
                <w:sz w:val="20"/>
                <w:szCs w:val="20"/>
              </w:rPr>
              <w:t>厚；横杆八角，对角</w:t>
            </w:r>
            <w:r>
              <w:rPr>
                <w:rFonts w:eastAsia="等线"/>
                <w:color w:val="000000"/>
                <w:kern w:val="0"/>
                <w:sz w:val="20"/>
                <w:szCs w:val="20"/>
              </w:rPr>
              <w:t>110-280-5mm</w:t>
            </w:r>
            <w:r>
              <w:rPr>
                <w:rFonts w:hint="eastAsia" w:ascii="宋体" w:hAnsi="宋体"/>
                <w:color w:val="000000"/>
                <w:kern w:val="0"/>
                <w:sz w:val="20"/>
                <w:szCs w:val="20"/>
              </w:rPr>
              <w:t>厚；立杆法兰</w:t>
            </w:r>
            <w:r>
              <w:rPr>
                <w:rFonts w:eastAsia="等线"/>
                <w:color w:val="000000"/>
                <w:kern w:val="0"/>
                <w:sz w:val="20"/>
                <w:szCs w:val="20"/>
              </w:rPr>
              <w:t>ø550-18mm</w:t>
            </w:r>
            <w:r>
              <w:rPr>
                <w:rFonts w:hint="eastAsia" w:ascii="宋体" w:hAnsi="宋体"/>
                <w:color w:val="000000"/>
                <w:kern w:val="0"/>
                <w:sz w:val="20"/>
                <w:szCs w:val="20"/>
              </w:rPr>
              <w:t>厚；杆件整体热镀锌喷塑白色）</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3</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人工费</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混凝土（</w:t>
            </w:r>
            <w:r>
              <w:rPr>
                <w:rFonts w:eastAsia="等线"/>
                <w:color w:val="000000"/>
                <w:kern w:val="0"/>
                <w:sz w:val="20"/>
                <w:szCs w:val="20"/>
              </w:rPr>
              <w:t>1.8m×1.8m×2m</w:t>
            </w:r>
            <w:r>
              <w:rPr>
                <w:rFonts w:hint="eastAsia" w:ascii="宋体" w:hAnsi="宋体"/>
                <w:color w:val="000000"/>
                <w:kern w:val="0"/>
                <w:sz w:val="20"/>
                <w:szCs w:val="20"/>
              </w:rPr>
              <w:t>）</w:t>
            </w:r>
            <w:r>
              <w:rPr>
                <w:rFonts w:eastAsia="等线"/>
                <w:color w:val="000000"/>
                <w:kern w:val="0"/>
                <w:sz w:val="20"/>
                <w:szCs w:val="20"/>
              </w:rPr>
              <w:t>19.44</w:t>
            </w:r>
            <w:r>
              <w:rPr>
                <w:rFonts w:hint="eastAsia" w:ascii="宋体" w:hAnsi="宋体"/>
                <w:color w:val="000000"/>
                <w:kern w:val="0"/>
                <w:sz w:val="20"/>
                <w:szCs w:val="20"/>
              </w:rPr>
              <w:t>立方，渣土清运（</w:t>
            </w:r>
            <w:r>
              <w:rPr>
                <w:rFonts w:eastAsia="等线"/>
                <w:color w:val="000000"/>
                <w:kern w:val="0"/>
                <w:sz w:val="20"/>
                <w:szCs w:val="20"/>
              </w:rPr>
              <w:t>1.8m×1.8m×2m</w:t>
            </w:r>
            <w:r>
              <w:rPr>
                <w:rFonts w:hint="eastAsia" w:ascii="宋体" w:hAnsi="宋体"/>
                <w:color w:val="000000"/>
                <w:kern w:val="0"/>
                <w:sz w:val="20"/>
                <w:szCs w:val="20"/>
              </w:rPr>
              <w:t>）</w:t>
            </w:r>
            <w:r>
              <w:rPr>
                <w:rFonts w:eastAsia="等线"/>
                <w:color w:val="000000"/>
                <w:kern w:val="0"/>
                <w:sz w:val="20"/>
                <w:szCs w:val="20"/>
              </w:rPr>
              <w:t>19.44</w:t>
            </w:r>
            <w:r>
              <w:rPr>
                <w:rFonts w:hint="eastAsia" w:ascii="宋体" w:hAnsi="宋体"/>
                <w:color w:val="000000"/>
                <w:kern w:val="0"/>
                <w:sz w:val="20"/>
                <w:szCs w:val="20"/>
              </w:rPr>
              <w:t>立方</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项</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528"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新立电警杆</w:t>
            </w:r>
            <w:r>
              <w:rPr>
                <w:rFonts w:eastAsia="等线"/>
                <w:color w:val="000000"/>
                <w:kern w:val="0"/>
                <w:sz w:val="20"/>
                <w:szCs w:val="20"/>
              </w:rPr>
              <w:t>9</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6.5</w:t>
            </w:r>
            <w:r>
              <w:rPr>
                <w:rFonts w:hint="eastAsia" w:ascii="宋体" w:hAnsi="宋体"/>
                <w:color w:val="000000"/>
                <w:kern w:val="0"/>
                <w:sz w:val="20"/>
                <w:szCs w:val="20"/>
              </w:rPr>
              <w:t>米</w:t>
            </w:r>
            <w:r>
              <w:rPr>
                <w:rFonts w:eastAsia="等线"/>
                <w:color w:val="000000"/>
                <w:kern w:val="0"/>
                <w:sz w:val="20"/>
                <w:szCs w:val="20"/>
              </w:rPr>
              <w:t>*12</w:t>
            </w:r>
            <w:r>
              <w:rPr>
                <w:rFonts w:hint="eastAsia" w:ascii="宋体" w:hAnsi="宋体"/>
                <w:color w:val="000000"/>
                <w:kern w:val="0"/>
                <w:sz w:val="20"/>
                <w:szCs w:val="20"/>
              </w:rPr>
              <w:t>米</w:t>
            </w:r>
            <w:r>
              <w:rPr>
                <w:rFonts w:eastAsia="等线"/>
                <w:color w:val="000000"/>
                <w:kern w:val="0"/>
                <w:sz w:val="20"/>
                <w:szCs w:val="20"/>
              </w:rPr>
              <w:t>L</w:t>
            </w:r>
            <w:r>
              <w:rPr>
                <w:rFonts w:hint="eastAsia" w:ascii="宋体" w:hAnsi="宋体"/>
                <w:color w:val="000000"/>
                <w:kern w:val="0"/>
                <w:sz w:val="20"/>
                <w:szCs w:val="20"/>
              </w:rPr>
              <w:t>型监控杆（立杆八角，对角</w:t>
            </w:r>
            <w:r>
              <w:rPr>
                <w:rFonts w:eastAsia="等线"/>
                <w:color w:val="000000"/>
                <w:kern w:val="0"/>
                <w:sz w:val="20"/>
                <w:szCs w:val="20"/>
              </w:rPr>
              <w:t>280-330-8mm</w:t>
            </w:r>
            <w:r>
              <w:rPr>
                <w:rFonts w:hint="eastAsia" w:ascii="宋体" w:hAnsi="宋体"/>
                <w:color w:val="000000"/>
                <w:kern w:val="0"/>
                <w:sz w:val="20"/>
                <w:szCs w:val="20"/>
              </w:rPr>
              <w:t>厚；横杆八角，对角</w:t>
            </w:r>
            <w:r>
              <w:rPr>
                <w:rFonts w:eastAsia="等线"/>
                <w:color w:val="000000"/>
                <w:kern w:val="0"/>
                <w:sz w:val="20"/>
                <w:szCs w:val="20"/>
              </w:rPr>
              <w:t>110-280-5mm</w:t>
            </w:r>
            <w:r>
              <w:rPr>
                <w:rFonts w:hint="eastAsia" w:ascii="宋体" w:hAnsi="宋体"/>
                <w:color w:val="000000"/>
                <w:kern w:val="0"/>
                <w:sz w:val="20"/>
                <w:szCs w:val="20"/>
              </w:rPr>
              <w:t>厚；立杆法兰</w:t>
            </w:r>
            <w:r>
              <w:rPr>
                <w:rFonts w:eastAsia="等线"/>
                <w:color w:val="000000"/>
                <w:kern w:val="0"/>
                <w:sz w:val="20"/>
                <w:szCs w:val="20"/>
              </w:rPr>
              <w:t>ø550-18mm</w:t>
            </w:r>
            <w:r>
              <w:rPr>
                <w:rFonts w:hint="eastAsia" w:ascii="宋体" w:hAnsi="宋体"/>
                <w:color w:val="000000"/>
                <w:kern w:val="0"/>
                <w:sz w:val="20"/>
                <w:szCs w:val="20"/>
              </w:rPr>
              <w:t>厚；杆件整体热镀锌喷塑白色）</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9</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人工费</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混凝土（</w:t>
            </w:r>
            <w:r>
              <w:rPr>
                <w:rFonts w:eastAsia="等线"/>
                <w:color w:val="000000"/>
                <w:kern w:val="0"/>
                <w:sz w:val="20"/>
                <w:szCs w:val="20"/>
              </w:rPr>
              <w:t>1.9m×1.9m×2.1m</w:t>
            </w:r>
            <w:r>
              <w:rPr>
                <w:rFonts w:hint="eastAsia" w:ascii="宋体" w:hAnsi="宋体"/>
                <w:color w:val="000000"/>
                <w:kern w:val="0"/>
                <w:sz w:val="20"/>
                <w:szCs w:val="20"/>
              </w:rPr>
              <w:t>）</w:t>
            </w:r>
            <w:r>
              <w:rPr>
                <w:rFonts w:eastAsia="等线"/>
                <w:color w:val="000000"/>
                <w:kern w:val="0"/>
                <w:sz w:val="20"/>
                <w:szCs w:val="20"/>
              </w:rPr>
              <w:t>68.23</w:t>
            </w:r>
            <w:r>
              <w:rPr>
                <w:rFonts w:hint="eastAsia" w:ascii="宋体" w:hAnsi="宋体"/>
                <w:color w:val="000000"/>
                <w:kern w:val="0"/>
                <w:sz w:val="20"/>
                <w:szCs w:val="20"/>
              </w:rPr>
              <w:t>立方，渣土清运（</w:t>
            </w:r>
            <w:r>
              <w:rPr>
                <w:rFonts w:eastAsia="等线"/>
                <w:color w:val="000000"/>
                <w:kern w:val="0"/>
                <w:sz w:val="20"/>
                <w:szCs w:val="20"/>
              </w:rPr>
              <w:t>1.9m×1.9m×2.1m</w:t>
            </w:r>
            <w:r>
              <w:rPr>
                <w:rFonts w:hint="eastAsia" w:ascii="宋体" w:hAnsi="宋体"/>
                <w:color w:val="000000"/>
                <w:kern w:val="0"/>
                <w:sz w:val="20"/>
                <w:szCs w:val="20"/>
              </w:rPr>
              <w:t>）</w:t>
            </w:r>
            <w:r>
              <w:rPr>
                <w:rFonts w:eastAsia="等线"/>
                <w:color w:val="000000"/>
                <w:kern w:val="0"/>
                <w:sz w:val="20"/>
                <w:szCs w:val="20"/>
              </w:rPr>
              <w:t>68.23</w:t>
            </w:r>
            <w:r>
              <w:rPr>
                <w:rFonts w:hint="eastAsia" w:ascii="宋体" w:hAnsi="宋体"/>
                <w:color w:val="000000"/>
                <w:kern w:val="0"/>
                <w:sz w:val="20"/>
                <w:szCs w:val="20"/>
              </w:rPr>
              <w:t>立方</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项</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528"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新立电警杆</w:t>
            </w:r>
            <w:r>
              <w:rPr>
                <w:rFonts w:eastAsia="等线"/>
                <w:color w:val="000000"/>
                <w:kern w:val="0"/>
                <w:sz w:val="20"/>
                <w:szCs w:val="20"/>
              </w:rPr>
              <w:t>10</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6.5</w:t>
            </w:r>
            <w:r>
              <w:rPr>
                <w:rFonts w:hint="eastAsia" w:ascii="宋体" w:hAnsi="宋体"/>
                <w:color w:val="000000"/>
                <w:kern w:val="0"/>
                <w:sz w:val="20"/>
                <w:szCs w:val="20"/>
              </w:rPr>
              <w:t>米</w:t>
            </w:r>
            <w:r>
              <w:rPr>
                <w:rFonts w:eastAsia="等线"/>
                <w:color w:val="000000"/>
                <w:kern w:val="0"/>
                <w:sz w:val="20"/>
                <w:szCs w:val="20"/>
              </w:rPr>
              <w:t>*13</w:t>
            </w:r>
            <w:r>
              <w:rPr>
                <w:rFonts w:hint="eastAsia" w:ascii="宋体" w:hAnsi="宋体"/>
                <w:color w:val="000000"/>
                <w:kern w:val="0"/>
                <w:sz w:val="20"/>
                <w:szCs w:val="20"/>
              </w:rPr>
              <w:t>米</w:t>
            </w:r>
            <w:r>
              <w:rPr>
                <w:rFonts w:eastAsia="等线"/>
                <w:color w:val="000000"/>
                <w:kern w:val="0"/>
                <w:sz w:val="20"/>
                <w:szCs w:val="20"/>
              </w:rPr>
              <w:t>L</w:t>
            </w:r>
            <w:r>
              <w:rPr>
                <w:rFonts w:hint="eastAsia" w:ascii="宋体" w:hAnsi="宋体"/>
                <w:color w:val="000000"/>
                <w:kern w:val="0"/>
                <w:sz w:val="20"/>
                <w:szCs w:val="20"/>
              </w:rPr>
              <w:t>型监控杆（立杆八角，对角</w:t>
            </w:r>
            <w:r>
              <w:rPr>
                <w:rFonts w:eastAsia="等线"/>
                <w:color w:val="000000"/>
                <w:kern w:val="0"/>
                <w:sz w:val="20"/>
                <w:szCs w:val="20"/>
              </w:rPr>
              <w:t>300-360-10mm</w:t>
            </w:r>
            <w:r>
              <w:rPr>
                <w:rFonts w:hint="eastAsia" w:ascii="宋体" w:hAnsi="宋体"/>
                <w:color w:val="000000"/>
                <w:kern w:val="0"/>
                <w:sz w:val="20"/>
                <w:szCs w:val="20"/>
              </w:rPr>
              <w:t>厚；横杆</w:t>
            </w:r>
            <w:r>
              <w:rPr>
                <w:rFonts w:eastAsia="等线"/>
                <w:color w:val="000000"/>
                <w:kern w:val="0"/>
                <w:sz w:val="20"/>
                <w:szCs w:val="20"/>
              </w:rPr>
              <w:t>1</w:t>
            </w:r>
            <w:r>
              <w:rPr>
                <w:rFonts w:hint="eastAsia" w:ascii="宋体" w:hAnsi="宋体"/>
                <w:color w:val="000000"/>
                <w:kern w:val="0"/>
                <w:sz w:val="20"/>
                <w:szCs w:val="20"/>
              </w:rPr>
              <w:t>八角，对角</w:t>
            </w:r>
            <w:r>
              <w:rPr>
                <w:rFonts w:eastAsia="等线"/>
                <w:color w:val="000000"/>
                <w:kern w:val="0"/>
                <w:sz w:val="20"/>
                <w:szCs w:val="20"/>
              </w:rPr>
              <w:t>120-200-4mm</w:t>
            </w:r>
            <w:r>
              <w:rPr>
                <w:rFonts w:hint="eastAsia" w:ascii="宋体" w:hAnsi="宋体"/>
                <w:color w:val="000000"/>
                <w:kern w:val="0"/>
                <w:sz w:val="20"/>
                <w:szCs w:val="20"/>
              </w:rPr>
              <w:t>厚；横杆</w:t>
            </w:r>
            <w:r>
              <w:rPr>
                <w:rFonts w:eastAsia="等线"/>
                <w:color w:val="000000"/>
                <w:kern w:val="0"/>
                <w:sz w:val="20"/>
                <w:szCs w:val="20"/>
              </w:rPr>
              <w:t>2</w:t>
            </w:r>
            <w:r>
              <w:rPr>
                <w:rFonts w:hint="eastAsia" w:ascii="宋体" w:hAnsi="宋体"/>
                <w:color w:val="000000"/>
                <w:kern w:val="0"/>
                <w:sz w:val="20"/>
                <w:szCs w:val="20"/>
              </w:rPr>
              <w:t>八角，对角</w:t>
            </w:r>
            <w:r>
              <w:rPr>
                <w:rFonts w:eastAsia="等线"/>
                <w:color w:val="000000"/>
                <w:kern w:val="0"/>
                <w:sz w:val="20"/>
                <w:szCs w:val="20"/>
              </w:rPr>
              <w:t>200-280-6mm</w:t>
            </w:r>
            <w:r>
              <w:rPr>
                <w:rFonts w:hint="eastAsia" w:ascii="宋体" w:hAnsi="宋体"/>
                <w:color w:val="000000"/>
                <w:kern w:val="0"/>
                <w:sz w:val="20"/>
                <w:szCs w:val="20"/>
              </w:rPr>
              <w:t>厚；立杆法兰</w:t>
            </w:r>
            <w:r>
              <w:rPr>
                <w:rFonts w:eastAsia="等线"/>
                <w:color w:val="000000"/>
                <w:kern w:val="0"/>
                <w:sz w:val="20"/>
                <w:szCs w:val="20"/>
              </w:rPr>
              <w:t>ø600-20mm</w:t>
            </w:r>
            <w:r>
              <w:rPr>
                <w:rFonts w:hint="eastAsia" w:ascii="宋体" w:hAnsi="宋体"/>
                <w:color w:val="000000"/>
                <w:kern w:val="0"/>
                <w:sz w:val="20"/>
                <w:szCs w:val="20"/>
              </w:rPr>
              <w:t>厚；杆件整体热镀锌喷塑白色）</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2</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人工费</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混凝土（</w:t>
            </w:r>
            <w:r>
              <w:rPr>
                <w:rFonts w:eastAsia="等线"/>
                <w:color w:val="000000"/>
                <w:kern w:val="0"/>
                <w:sz w:val="20"/>
                <w:szCs w:val="20"/>
              </w:rPr>
              <w:t>2.1m×2.1m×2.3m</w:t>
            </w:r>
            <w:r>
              <w:rPr>
                <w:rFonts w:hint="eastAsia" w:ascii="宋体" w:hAnsi="宋体"/>
                <w:color w:val="000000"/>
                <w:kern w:val="0"/>
                <w:sz w:val="20"/>
                <w:szCs w:val="20"/>
              </w:rPr>
              <w:t>）</w:t>
            </w:r>
            <w:r>
              <w:rPr>
                <w:rFonts w:eastAsia="等线"/>
                <w:color w:val="000000"/>
                <w:kern w:val="0"/>
                <w:sz w:val="20"/>
                <w:szCs w:val="20"/>
              </w:rPr>
              <w:t>20.29</w:t>
            </w:r>
            <w:r>
              <w:rPr>
                <w:rFonts w:hint="eastAsia" w:ascii="宋体" w:hAnsi="宋体"/>
                <w:color w:val="000000"/>
                <w:kern w:val="0"/>
                <w:sz w:val="20"/>
                <w:szCs w:val="20"/>
              </w:rPr>
              <w:t>立方，渣土清运（</w:t>
            </w:r>
            <w:r>
              <w:rPr>
                <w:rFonts w:eastAsia="等线"/>
                <w:color w:val="000000"/>
                <w:kern w:val="0"/>
                <w:sz w:val="20"/>
                <w:szCs w:val="20"/>
              </w:rPr>
              <w:t>2.1m×2.1m×2.3m</w:t>
            </w:r>
            <w:r>
              <w:rPr>
                <w:rFonts w:hint="eastAsia" w:ascii="宋体" w:hAnsi="宋体"/>
                <w:color w:val="000000"/>
                <w:kern w:val="0"/>
                <w:sz w:val="20"/>
                <w:szCs w:val="20"/>
              </w:rPr>
              <w:t>）</w:t>
            </w:r>
            <w:r>
              <w:rPr>
                <w:rFonts w:eastAsia="等线"/>
                <w:color w:val="000000"/>
                <w:kern w:val="0"/>
                <w:sz w:val="20"/>
                <w:szCs w:val="20"/>
              </w:rPr>
              <w:t>20.29</w:t>
            </w:r>
            <w:r>
              <w:rPr>
                <w:rFonts w:hint="eastAsia" w:ascii="宋体" w:hAnsi="宋体"/>
                <w:color w:val="000000"/>
                <w:kern w:val="0"/>
                <w:sz w:val="20"/>
                <w:szCs w:val="20"/>
              </w:rPr>
              <w:t>立方</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项</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528"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新立电警杆</w:t>
            </w:r>
            <w:r>
              <w:rPr>
                <w:rFonts w:eastAsia="等线"/>
                <w:color w:val="000000"/>
                <w:kern w:val="0"/>
                <w:sz w:val="20"/>
                <w:szCs w:val="20"/>
              </w:rPr>
              <w:t>11</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6.5</w:t>
            </w:r>
            <w:r>
              <w:rPr>
                <w:rFonts w:hint="eastAsia" w:ascii="宋体" w:hAnsi="宋体"/>
                <w:color w:val="000000"/>
                <w:kern w:val="0"/>
                <w:sz w:val="20"/>
                <w:szCs w:val="20"/>
              </w:rPr>
              <w:t>米</w:t>
            </w:r>
            <w:r>
              <w:rPr>
                <w:rFonts w:eastAsia="等线"/>
                <w:color w:val="000000"/>
                <w:kern w:val="0"/>
                <w:sz w:val="20"/>
                <w:szCs w:val="20"/>
              </w:rPr>
              <w:t>*14</w:t>
            </w:r>
            <w:r>
              <w:rPr>
                <w:rFonts w:hint="eastAsia" w:ascii="宋体" w:hAnsi="宋体"/>
                <w:color w:val="000000"/>
                <w:kern w:val="0"/>
                <w:sz w:val="20"/>
                <w:szCs w:val="20"/>
              </w:rPr>
              <w:t>米</w:t>
            </w:r>
            <w:r>
              <w:rPr>
                <w:rFonts w:eastAsia="等线"/>
                <w:color w:val="000000"/>
                <w:kern w:val="0"/>
                <w:sz w:val="20"/>
                <w:szCs w:val="20"/>
              </w:rPr>
              <w:t>L</w:t>
            </w:r>
            <w:r>
              <w:rPr>
                <w:rFonts w:hint="eastAsia" w:ascii="宋体" w:hAnsi="宋体"/>
                <w:color w:val="000000"/>
                <w:kern w:val="0"/>
                <w:sz w:val="20"/>
                <w:szCs w:val="20"/>
              </w:rPr>
              <w:t>型监控杆（立杆八角，对角</w:t>
            </w:r>
            <w:r>
              <w:rPr>
                <w:rFonts w:eastAsia="等线"/>
                <w:color w:val="000000"/>
                <w:kern w:val="0"/>
                <w:sz w:val="20"/>
                <w:szCs w:val="20"/>
              </w:rPr>
              <w:t>300-360-10mm</w:t>
            </w:r>
            <w:r>
              <w:rPr>
                <w:rFonts w:hint="eastAsia" w:ascii="宋体" w:hAnsi="宋体"/>
                <w:color w:val="000000"/>
                <w:kern w:val="0"/>
                <w:sz w:val="20"/>
                <w:szCs w:val="20"/>
              </w:rPr>
              <w:t>厚；横杆</w:t>
            </w:r>
            <w:r>
              <w:rPr>
                <w:rFonts w:eastAsia="等线"/>
                <w:color w:val="000000"/>
                <w:kern w:val="0"/>
                <w:sz w:val="20"/>
                <w:szCs w:val="20"/>
              </w:rPr>
              <w:t>1</w:t>
            </w:r>
            <w:r>
              <w:rPr>
                <w:rFonts w:hint="eastAsia" w:ascii="宋体" w:hAnsi="宋体"/>
                <w:color w:val="000000"/>
                <w:kern w:val="0"/>
                <w:sz w:val="20"/>
                <w:szCs w:val="20"/>
              </w:rPr>
              <w:t>八角，对角</w:t>
            </w:r>
            <w:r>
              <w:rPr>
                <w:rFonts w:eastAsia="等线"/>
                <w:color w:val="000000"/>
                <w:kern w:val="0"/>
                <w:sz w:val="20"/>
                <w:szCs w:val="20"/>
              </w:rPr>
              <w:t>120-200-4mm</w:t>
            </w:r>
            <w:r>
              <w:rPr>
                <w:rFonts w:hint="eastAsia" w:ascii="宋体" w:hAnsi="宋体"/>
                <w:color w:val="000000"/>
                <w:kern w:val="0"/>
                <w:sz w:val="20"/>
                <w:szCs w:val="20"/>
              </w:rPr>
              <w:t>厚；横杆</w:t>
            </w:r>
            <w:r>
              <w:rPr>
                <w:rFonts w:eastAsia="等线"/>
                <w:color w:val="000000"/>
                <w:kern w:val="0"/>
                <w:sz w:val="20"/>
                <w:szCs w:val="20"/>
              </w:rPr>
              <w:t>2</w:t>
            </w:r>
            <w:r>
              <w:rPr>
                <w:rFonts w:hint="eastAsia" w:ascii="宋体" w:hAnsi="宋体"/>
                <w:color w:val="000000"/>
                <w:kern w:val="0"/>
                <w:sz w:val="20"/>
                <w:szCs w:val="20"/>
              </w:rPr>
              <w:t>八角，对角</w:t>
            </w:r>
            <w:r>
              <w:rPr>
                <w:rFonts w:eastAsia="等线"/>
                <w:color w:val="000000"/>
                <w:kern w:val="0"/>
                <w:sz w:val="20"/>
                <w:szCs w:val="20"/>
              </w:rPr>
              <w:t>200-280-6mm</w:t>
            </w:r>
            <w:r>
              <w:rPr>
                <w:rFonts w:hint="eastAsia" w:ascii="宋体" w:hAnsi="宋体"/>
                <w:color w:val="000000"/>
                <w:kern w:val="0"/>
                <w:sz w:val="20"/>
                <w:szCs w:val="20"/>
              </w:rPr>
              <w:t>厚；立杆法兰</w:t>
            </w:r>
            <w:r>
              <w:rPr>
                <w:rFonts w:eastAsia="等线"/>
                <w:color w:val="000000"/>
                <w:kern w:val="0"/>
                <w:sz w:val="20"/>
                <w:szCs w:val="20"/>
              </w:rPr>
              <w:t>ø600-20mm</w:t>
            </w:r>
            <w:r>
              <w:rPr>
                <w:rFonts w:hint="eastAsia" w:ascii="宋体" w:hAnsi="宋体"/>
                <w:color w:val="000000"/>
                <w:kern w:val="0"/>
                <w:sz w:val="20"/>
                <w:szCs w:val="20"/>
              </w:rPr>
              <w:t>厚；杆件整体热镀锌喷塑白色）</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10</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人工费</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混凝土（</w:t>
            </w:r>
            <w:r>
              <w:rPr>
                <w:rFonts w:eastAsia="等线"/>
                <w:color w:val="000000"/>
                <w:kern w:val="0"/>
                <w:sz w:val="20"/>
                <w:szCs w:val="20"/>
              </w:rPr>
              <w:t>2.1m×2.1m×2.3m</w:t>
            </w:r>
            <w:r>
              <w:rPr>
                <w:rFonts w:hint="eastAsia" w:ascii="宋体" w:hAnsi="宋体"/>
                <w:color w:val="000000"/>
                <w:kern w:val="0"/>
                <w:sz w:val="20"/>
                <w:szCs w:val="20"/>
              </w:rPr>
              <w:t>）</w:t>
            </w:r>
            <w:r>
              <w:rPr>
                <w:rFonts w:eastAsia="等线"/>
                <w:color w:val="000000"/>
                <w:kern w:val="0"/>
                <w:sz w:val="20"/>
                <w:szCs w:val="20"/>
              </w:rPr>
              <w:t>101.43</w:t>
            </w:r>
            <w:r>
              <w:rPr>
                <w:rFonts w:hint="eastAsia" w:ascii="宋体" w:hAnsi="宋体"/>
                <w:color w:val="000000"/>
                <w:kern w:val="0"/>
                <w:sz w:val="20"/>
                <w:szCs w:val="20"/>
              </w:rPr>
              <w:t>立方，渣土清运（</w:t>
            </w:r>
            <w:r>
              <w:rPr>
                <w:rFonts w:eastAsia="等线"/>
                <w:color w:val="000000"/>
                <w:kern w:val="0"/>
                <w:sz w:val="20"/>
                <w:szCs w:val="20"/>
              </w:rPr>
              <w:t>2.1m×2.1m×2.3m</w:t>
            </w:r>
            <w:r>
              <w:rPr>
                <w:rFonts w:hint="eastAsia" w:ascii="宋体" w:hAnsi="宋体"/>
                <w:color w:val="000000"/>
                <w:kern w:val="0"/>
                <w:sz w:val="20"/>
                <w:szCs w:val="20"/>
              </w:rPr>
              <w:t>）</w:t>
            </w:r>
            <w:r>
              <w:rPr>
                <w:rFonts w:eastAsia="等线"/>
                <w:color w:val="000000"/>
                <w:kern w:val="0"/>
                <w:sz w:val="20"/>
                <w:szCs w:val="20"/>
              </w:rPr>
              <w:t>101.43</w:t>
            </w:r>
            <w:r>
              <w:rPr>
                <w:rFonts w:hint="eastAsia" w:ascii="宋体" w:hAnsi="宋体"/>
                <w:color w:val="000000"/>
                <w:kern w:val="0"/>
                <w:sz w:val="20"/>
                <w:szCs w:val="20"/>
              </w:rPr>
              <w:t>立方</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项</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528"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新立电警杆</w:t>
            </w:r>
            <w:r>
              <w:rPr>
                <w:rFonts w:eastAsia="等线"/>
                <w:color w:val="000000"/>
                <w:kern w:val="0"/>
                <w:sz w:val="20"/>
                <w:szCs w:val="20"/>
              </w:rPr>
              <w:t>12</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6.5</w:t>
            </w:r>
            <w:r>
              <w:rPr>
                <w:rFonts w:hint="eastAsia" w:ascii="宋体" w:hAnsi="宋体"/>
                <w:color w:val="000000"/>
                <w:kern w:val="0"/>
                <w:sz w:val="20"/>
                <w:szCs w:val="20"/>
              </w:rPr>
              <w:t>米</w:t>
            </w:r>
            <w:r>
              <w:rPr>
                <w:rFonts w:eastAsia="等线"/>
                <w:color w:val="000000"/>
                <w:kern w:val="0"/>
                <w:sz w:val="20"/>
                <w:szCs w:val="20"/>
              </w:rPr>
              <w:t>*15</w:t>
            </w:r>
            <w:r>
              <w:rPr>
                <w:rFonts w:hint="eastAsia" w:ascii="宋体" w:hAnsi="宋体"/>
                <w:color w:val="000000"/>
                <w:kern w:val="0"/>
                <w:sz w:val="20"/>
                <w:szCs w:val="20"/>
              </w:rPr>
              <w:t>米</w:t>
            </w:r>
            <w:r>
              <w:rPr>
                <w:rFonts w:eastAsia="等线"/>
                <w:color w:val="000000"/>
                <w:kern w:val="0"/>
                <w:sz w:val="20"/>
                <w:szCs w:val="20"/>
              </w:rPr>
              <w:t>L</w:t>
            </w:r>
            <w:r>
              <w:rPr>
                <w:rFonts w:hint="eastAsia" w:ascii="宋体" w:hAnsi="宋体"/>
                <w:color w:val="000000"/>
                <w:kern w:val="0"/>
                <w:sz w:val="20"/>
                <w:szCs w:val="20"/>
              </w:rPr>
              <w:t>型监控杆（立杆八角，对角</w:t>
            </w:r>
            <w:r>
              <w:rPr>
                <w:rFonts w:eastAsia="等线"/>
                <w:color w:val="000000"/>
                <w:kern w:val="0"/>
                <w:sz w:val="20"/>
                <w:szCs w:val="20"/>
              </w:rPr>
              <w:t>340-400-10mm</w:t>
            </w:r>
            <w:r>
              <w:rPr>
                <w:rFonts w:hint="eastAsia" w:ascii="宋体" w:hAnsi="宋体"/>
                <w:color w:val="000000"/>
                <w:kern w:val="0"/>
                <w:sz w:val="20"/>
                <w:szCs w:val="20"/>
              </w:rPr>
              <w:t>厚；横杆</w:t>
            </w:r>
            <w:r>
              <w:rPr>
                <w:rFonts w:eastAsia="等线"/>
                <w:color w:val="000000"/>
                <w:kern w:val="0"/>
                <w:sz w:val="20"/>
                <w:szCs w:val="20"/>
              </w:rPr>
              <w:t>1</w:t>
            </w:r>
            <w:r>
              <w:rPr>
                <w:rFonts w:hint="eastAsia" w:ascii="宋体" w:hAnsi="宋体"/>
                <w:color w:val="000000"/>
                <w:kern w:val="0"/>
                <w:sz w:val="20"/>
                <w:szCs w:val="20"/>
              </w:rPr>
              <w:t>八角，对角</w:t>
            </w:r>
            <w:r>
              <w:rPr>
                <w:rFonts w:eastAsia="等线"/>
                <w:color w:val="000000"/>
                <w:kern w:val="0"/>
                <w:sz w:val="20"/>
                <w:szCs w:val="20"/>
              </w:rPr>
              <w:t>120-220-4mm</w:t>
            </w:r>
            <w:r>
              <w:rPr>
                <w:rFonts w:hint="eastAsia" w:ascii="宋体" w:hAnsi="宋体"/>
                <w:color w:val="000000"/>
                <w:kern w:val="0"/>
                <w:sz w:val="20"/>
                <w:szCs w:val="20"/>
              </w:rPr>
              <w:t>厚；横杆</w:t>
            </w:r>
            <w:r>
              <w:rPr>
                <w:rFonts w:eastAsia="等线"/>
                <w:color w:val="000000"/>
                <w:kern w:val="0"/>
                <w:sz w:val="20"/>
                <w:szCs w:val="20"/>
              </w:rPr>
              <w:t>2</w:t>
            </w:r>
            <w:r>
              <w:rPr>
                <w:rFonts w:hint="eastAsia" w:ascii="宋体" w:hAnsi="宋体"/>
                <w:color w:val="000000"/>
                <w:kern w:val="0"/>
                <w:sz w:val="20"/>
                <w:szCs w:val="20"/>
              </w:rPr>
              <w:t>八角，对角</w:t>
            </w:r>
            <w:r>
              <w:rPr>
                <w:rFonts w:eastAsia="等线"/>
                <w:color w:val="000000"/>
                <w:kern w:val="0"/>
                <w:sz w:val="20"/>
                <w:szCs w:val="20"/>
              </w:rPr>
              <w:t>220-320-6mm</w:t>
            </w:r>
            <w:r>
              <w:rPr>
                <w:rFonts w:hint="eastAsia" w:ascii="宋体" w:hAnsi="宋体"/>
                <w:color w:val="000000"/>
                <w:kern w:val="0"/>
                <w:sz w:val="20"/>
                <w:szCs w:val="20"/>
              </w:rPr>
              <w:t>厚；立杆法兰</w:t>
            </w:r>
            <w:r>
              <w:rPr>
                <w:rFonts w:eastAsia="等线"/>
                <w:color w:val="000000"/>
                <w:kern w:val="0"/>
                <w:sz w:val="20"/>
                <w:szCs w:val="20"/>
              </w:rPr>
              <w:t>ø700-20mm</w:t>
            </w:r>
            <w:r>
              <w:rPr>
                <w:rFonts w:hint="eastAsia" w:ascii="宋体" w:hAnsi="宋体"/>
                <w:color w:val="000000"/>
                <w:kern w:val="0"/>
                <w:sz w:val="20"/>
                <w:szCs w:val="20"/>
              </w:rPr>
              <w:t>厚；杆件整体热镀锌喷塑白色）</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5</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人工费</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混凝土（</w:t>
            </w:r>
            <w:r>
              <w:rPr>
                <w:rFonts w:eastAsia="等线"/>
                <w:color w:val="000000"/>
                <w:kern w:val="0"/>
                <w:sz w:val="20"/>
                <w:szCs w:val="20"/>
              </w:rPr>
              <w:t>2.1m×2.1m×2.3m</w:t>
            </w:r>
            <w:r>
              <w:rPr>
                <w:rFonts w:hint="eastAsia" w:ascii="宋体" w:hAnsi="宋体"/>
                <w:color w:val="000000"/>
                <w:kern w:val="0"/>
                <w:sz w:val="20"/>
                <w:szCs w:val="20"/>
              </w:rPr>
              <w:t>）</w:t>
            </w:r>
            <w:r>
              <w:rPr>
                <w:rFonts w:eastAsia="等线"/>
                <w:color w:val="000000"/>
                <w:kern w:val="0"/>
                <w:sz w:val="20"/>
                <w:szCs w:val="20"/>
              </w:rPr>
              <w:t>50.72</w:t>
            </w:r>
            <w:r>
              <w:rPr>
                <w:rFonts w:hint="eastAsia" w:ascii="宋体" w:hAnsi="宋体"/>
                <w:color w:val="000000"/>
                <w:kern w:val="0"/>
                <w:sz w:val="20"/>
                <w:szCs w:val="20"/>
              </w:rPr>
              <w:t>立方，渣土清运（</w:t>
            </w:r>
            <w:r>
              <w:rPr>
                <w:rFonts w:eastAsia="等线"/>
                <w:color w:val="000000"/>
                <w:kern w:val="0"/>
                <w:sz w:val="20"/>
                <w:szCs w:val="20"/>
              </w:rPr>
              <w:t>2.1m×2.1m×2.3m</w:t>
            </w:r>
            <w:r>
              <w:rPr>
                <w:rFonts w:hint="eastAsia" w:ascii="宋体" w:hAnsi="宋体"/>
                <w:color w:val="000000"/>
                <w:kern w:val="0"/>
                <w:sz w:val="20"/>
                <w:szCs w:val="20"/>
              </w:rPr>
              <w:t>）</w:t>
            </w:r>
            <w:r>
              <w:rPr>
                <w:rFonts w:eastAsia="等线"/>
                <w:color w:val="000000"/>
                <w:kern w:val="0"/>
                <w:sz w:val="20"/>
                <w:szCs w:val="20"/>
              </w:rPr>
              <w:t>50.72</w:t>
            </w:r>
            <w:r>
              <w:rPr>
                <w:rFonts w:hint="eastAsia" w:ascii="宋体" w:hAnsi="宋体"/>
                <w:color w:val="000000"/>
                <w:kern w:val="0"/>
                <w:sz w:val="20"/>
                <w:szCs w:val="20"/>
              </w:rPr>
              <w:t>立方</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项</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792"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新立电警杆</w:t>
            </w:r>
            <w:r>
              <w:rPr>
                <w:rFonts w:eastAsia="等线"/>
                <w:color w:val="000000"/>
                <w:kern w:val="0"/>
                <w:sz w:val="20"/>
                <w:szCs w:val="20"/>
              </w:rPr>
              <w:t>13</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6.5</w:t>
            </w:r>
            <w:r>
              <w:rPr>
                <w:rFonts w:hint="eastAsia" w:ascii="宋体" w:hAnsi="宋体"/>
                <w:color w:val="000000"/>
                <w:kern w:val="0"/>
                <w:sz w:val="20"/>
                <w:szCs w:val="20"/>
              </w:rPr>
              <w:t>米</w:t>
            </w:r>
            <w:r>
              <w:rPr>
                <w:rFonts w:eastAsia="等线"/>
                <w:color w:val="000000"/>
                <w:kern w:val="0"/>
                <w:sz w:val="20"/>
                <w:szCs w:val="20"/>
              </w:rPr>
              <w:t>*15</w:t>
            </w:r>
            <w:r>
              <w:rPr>
                <w:rFonts w:hint="eastAsia" w:ascii="宋体" w:hAnsi="宋体"/>
                <w:color w:val="000000"/>
                <w:kern w:val="0"/>
                <w:sz w:val="20"/>
                <w:szCs w:val="20"/>
              </w:rPr>
              <w:t>米＋</w:t>
            </w:r>
            <w:r>
              <w:rPr>
                <w:rFonts w:eastAsia="等线"/>
                <w:color w:val="000000"/>
                <w:kern w:val="0"/>
                <w:sz w:val="20"/>
                <w:szCs w:val="20"/>
              </w:rPr>
              <w:t>5</w:t>
            </w:r>
            <w:r>
              <w:rPr>
                <w:rFonts w:hint="eastAsia" w:ascii="宋体" w:hAnsi="宋体"/>
                <w:color w:val="000000"/>
                <w:kern w:val="0"/>
                <w:sz w:val="20"/>
                <w:szCs w:val="20"/>
              </w:rPr>
              <w:t>米</w:t>
            </w:r>
            <w:r>
              <w:rPr>
                <w:rFonts w:eastAsia="等线"/>
                <w:color w:val="000000"/>
                <w:kern w:val="0"/>
                <w:sz w:val="20"/>
                <w:szCs w:val="20"/>
              </w:rPr>
              <w:t>T</w:t>
            </w:r>
            <w:r>
              <w:rPr>
                <w:rFonts w:hint="eastAsia" w:ascii="宋体" w:hAnsi="宋体"/>
                <w:color w:val="000000"/>
                <w:kern w:val="0"/>
                <w:sz w:val="20"/>
                <w:szCs w:val="20"/>
              </w:rPr>
              <w:t>型高低监控杆（立杆八角，对角</w:t>
            </w:r>
            <w:r>
              <w:rPr>
                <w:rFonts w:eastAsia="等线"/>
                <w:color w:val="000000"/>
                <w:kern w:val="0"/>
                <w:sz w:val="20"/>
                <w:szCs w:val="20"/>
              </w:rPr>
              <w:t>340-400-10mm</w:t>
            </w:r>
            <w:r>
              <w:rPr>
                <w:rFonts w:hint="eastAsia" w:ascii="宋体" w:hAnsi="宋体"/>
                <w:color w:val="000000"/>
                <w:kern w:val="0"/>
                <w:sz w:val="20"/>
                <w:szCs w:val="20"/>
              </w:rPr>
              <w:t>厚；横杆</w:t>
            </w:r>
            <w:r>
              <w:rPr>
                <w:rFonts w:eastAsia="等线"/>
                <w:color w:val="000000"/>
                <w:kern w:val="0"/>
                <w:sz w:val="20"/>
                <w:szCs w:val="20"/>
              </w:rPr>
              <w:t>1</w:t>
            </w:r>
            <w:r>
              <w:rPr>
                <w:rFonts w:hint="eastAsia" w:ascii="宋体" w:hAnsi="宋体"/>
                <w:color w:val="000000"/>
                <w:kern w:val="0"/>
                <w:sz w:val="20"/>
                <w:szCs w:val="20"/>
              </w:rPr>
              <w:t>八角，对角</w:t>
            </w:r>
            <w:r>
              <w:rPr>
                <w:rFonts w:eastAsia="等线"/>
                <w:color w:val="000000"/>
                <w:kern w:val="0"/>
                <w:sz w:val="20"/>
                <w:szCs w:val="20"/>
              </w:rPr>
              <w:t>120-220-4mm</w:t>
            </w:r>
            <w:r>
              <w:rPr>
                <w:rFonts w:hint="eastAsia" w:ascii="宋体" w:hAnsi="宋体"/>
                <w:color w:val="000000"/>
                <w:kern w:val="0"/>
                <w:sz w:val="20"/>
                <w:szCs w:val="20"/>
              </w:rPr>
              <w:t>厚；横杆</w:t>
            </w:r>
            <w:r>
              <w:rPr>
                <w:rFonts w:eastAsia="等线"/>
                <w:color w:val="000000"/>
                <w:kern w:val="0"/>
                <w:sz w:val="20"/>
                <w:szCs w:val="20"/>
              </w:rPr>
              <w:t>2</w:t>
            </w:r>
            <w:r>
              <w:rPr>
                <w:rFonts w:hint="eastAsia" w:ascii="宋体" w:hAnsi="宋体"/>
                <w:color w:val="000000"/>
                <w:kern w:val="0"/>
                <w:sz w:val="20"/>
                <w:szCs w:val="20"/>
              </w:rPr>
              <w:t>八角，对角</w:t>
            </w:r>
            <w:r>
              <w:rPr>
                <w:rFonts w:eastAsia="等线"/>
                <w:color w:val="000000"/>
                <w:kern w:val="0"/>
                <w:sz w:val="20"/>
                <w:szCs w:val="20"/>
              </w:rPr>
              <w:t>220-320-6mm</w:t>
            </w:r>
            <w:r>
              <w:rPr>
                <w:rFonts w:hint="eastAsia" w:ascii="宋体" w:hAnsi="宋体"/>
                <w:color w:val="000000"/>
                <w:kern w:val="0"/>
                <w:sz w:val="20"/>
                <w:szCs w:val="20"/>
              </w:rPr>
              <w:t>厚；横杆</w:t>
            </w:r>
            <w:r>
              <w:rPr>
                <w:rFonts w:eastAsia="等线"/>
                <w:color w:val="000000"/>
                <w:kern w:val="0"/>
                <w:sz w:val="20"/>
                <w:szCs w:val="20"/>
              </w:rPr>
              <w:t>3</w:t>
            </w:r>
            <w:r>
              <w:rPr>
                <w:rFonts w:hint="eastAsia" w:ascii="宋体" w:hAnsi="宋体"/>
                <w:color w:val="000000"/>
                <w:kern w:val="0"/>
                <w:sz w:val="20"/>
                <w:szCs w:val="20"/>
              </w:rPr>
              <w:t>八角，对角</w:t>
            </w:r>
            <w:r>
              <w:rPr>
                <w:rFonts w:eastAsia="等线"/>
                <w:color w:val="000000"/>
                <w:kern w:val="0"/>
                <w:sz w:val="20"/>
                <w:szCs w:val="20"/>
              </w:rPr>
              <w:t>100-200-4mm</w:t>
            </w:r>
            <w:r>
              <w:rPr>
                <w:rFonts w:hint="eastAsia" w:ascii="宋体" w:hAnsi="宋体"/>
                <w:color w:val="000000"/>
                <w:kern w:val="0"/>
                <w:sz w:val="20"/>
                <w:szCs w:val="20"/>
              </w:rPr>
              <w:t>厚；立杆法兰</w:t>
            </w:r>
            <w:r>
              <w:rPr>
                <w:rFonts w:eastAsia="等线"/>
                <w:color w:val="000000"/>
                <w:kern w:val="0"/>
                <w:sz w:val="20"/>
                <w:szCs w:val="20"/>
              </w:rPr>
              <w:t>ø700-20mm</w:t>
            </w:r>
            <w:r>
              <w:rPr>
                <w:rFonts w:hint="eastAsia" w:ascii="宋体" w:hAnsi="宋体"/>
                <w:color w:val="000000"/>
                <w:kern w:val="0"/>
                <w:sz w:val="20"/>
                <w:szCs w:val="20"/>
              </w:rPr>
              <w:t>厚；杆件整体热镀锌喷塑白色）</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4</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人工费</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混凝土（</w:t>
            </w:r>
            <w:r>
              <w:rPr>
                <w:rFonts w:eastAsia="等线"/>
                <w:color w:val="000000"/>
                <w:kern w:val="0"/>
                <w:sz w:val="20"/>
                <w:szCs w:val="20"/>
              </w:rPr>
              <w:t>2.1m×2.1m×2.3m</w:t>
            </w:r>
            <w:r>
              <w:rPr>
                <w:rFonts w:hint="eastAsia" w:ascii="宋体" w:hAnsi="宋体"/>
                <w:color w:val="000000"/>
                <w:kern w:val="0"/>
                <w:sz w:val="20"/>
                <w:szCs w:val="20"/>
              </w:rPr>
              <w:t>）</w:t>
            </w:r>
            <w:r>
              <w:rPr>
                <w:rFonts w:eastAsia="等线"/>
                <w:color w:val="000000"/>
                <w:kern w:val="0"/>
                <w:sz w:val="20"/>
                <w:szCs w:val="20"/>
              </w:rPr>
              <w:t>40.57</w:t>
            </w:r>
            <w:r>
              <w:rPr>
                <w:rFonts w:hint="eastAsia" w:ascii="宋体" w:hAnsi="宋体"/>
                <w:color w:val="000000"/>
                <w:kern w:val="0"/>
                <w:sz w:val="20"/>
                <w:szCs w:val="20"/>
              </w:rPr>
              <w:t>立方，渣土清运（</w:t>
            </w:r>
            <w:r>
              <w:rPr>
                <w:rFonts w:eastAsia="等线"/>
                <w:color w:val="000000"/>
                <w:kern w:val="0"/>
                <w:sz w:val="20"/>
                <w:szCs w:val="20"/>
              </w:rPr>
              <w:t>2.1m×2.1m×2.3m</w:t>
            </w:r>
            <w:r>
              <w:rPr>
                <w:rFonts w:hint="eastAsia" w:ascii="宋体" w:hAnsi="宋体"/>
                <w:color w:val="000000"/>
                <w:kern w:val="0"/>
                <w:sz w:val="20"/>
                <w:szCs w:val="20"/>
              </w:rPr>
              <w:t>）</w:t>
            </w:r>
            <w:r>
              <w:rPr>
                <w:rFonts w:eastAsia="等线"/>
                <w:color w:val="000000"/>
                <w:kern w:val="0"/>
                <w:sz w:val="20"/>
                <w:szCs w:val="20"/>
              </w:rPr>
              <w:t>40.57</w:t>
            </w:r>
            <w:r>
              <w:rPr>
                <w:rFonts w:hint="eastAsia" w:ascii="宋体" w:hAnsi="宋体"/>
                <w:color w:val="000000"/>
                <w:kern w:val="0"/>
                <w:sz w:val="20"/>
                <w:szCs w:val="20"/>
              </w:rPr>
              <w:t>立方</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项</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528"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新立电警杆</w:t>
            </w:r>
            <w:r>
              <w:rPr>
                <w:rFonts w:eastAsia="等线"/>
                <w:color w:val="000000"/>
                <w:kern w:val="0"/>
                <w:sz w:val="20"/>
                <w:szCs w:val="20"/>
              </w:rPr>
              <w:t>14</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6.5</w:t>
            </w:r>
            <w:r>
              <w:rPr>
                <w:rFonts w:hint="eastAsia" w:ascii="宋体" w:hAnsi="宋体"/>
                <w:color w:val="000000"/>
                <w:kern w:val="0"/>
                <w:sz w:val="20"/>
                <w:szCs w:val="20"/>
              </w:rPr>
              <w:t>米</w:t>
            </w:r>
            <w:r>
              <w:rPr>
                <w:rFonts w:eastAsia="等线"/>
                <w:color w:val="000000"/>
                <w:kern w:val="0"/>
                <w:sz w:val="20"/>
                <w:szCs w:val="20"/>
              </w:rPr>
              <w:t>*16</w:t>
            </w:r>
            <w:r>
              <w:rPr>
                <w:rFonts w:hint="eastAsia" w:ascii="宋体" w:hAnsi="宋体"/>
                <w:color w:val="000000"/>
                <w:kern w:val="0"/>
                <w:sz w:val="20"/>
                <w:szCs w:val="20"/>
              </w:rPr>
              <w:t>米</w:t>
            </w:r>
            <w:r>
              <w:rPr>
                <w:rFonts w:eastAsia="等线"/>
                <w:color w:val="000000"/>
                <w:kern w:val="0"/>
                <w:sz w:val="20"/>
                <w:szCs w:val="20"/>
              </w:rPr>
              <w:t>L</w:t>
            </w:r>
            <w:r>
              <w:rPr>
                <w:rFonts w:hint="eastAsia" w:ascii="宋体" w:hAnsi="宋体"/>
                <w:color w:val="000000"/>
                <w:kern w:val="0"/>
                <w:sz w:val="20"/>
                <w:szCs w:val="20"/>
              </w:rPr>
              <w:t>型监控杆（立杆八角，对角</w:t>
            </w:r>
            <w:r>
              <w:rPr>
                <w:rFonts w:eastAsia="等线"/>
                <w:color w:val="000000"/>
                <w:kern w:val="0"/>
                <w:sz w:val="20"/>
                <w:szCs w:val="20"/>
              </w:rPr>
              <w:t>340-400-10mm</w:t>
            </w:r>
            <w:r>
              <w:rPr>
                <w:rFonts w:hint="eastAsia" w:ascii="宋体" w:hAnsi="宋体"/>
                <w:color w:val="000000"/>
                <w:kern w:val="0"/>
                <w:sz w:val="20"/>
                <w:szCs w:val="20"/>
              </w:rPr>
              <w:t>厚；横杆</w:t>
            </w:r>
            <w:r>
              <w:rPr>
                <w:rFonts w:eastAsia="等线"/>
                <w:color w:val="000000"/>
                <w:kern w:val="0"/>
                <w:sz w:val="20"/>
                <w:szCs w:val="20"/>
              </w:rPr>
              <w:t>1</w:t>
            </w:r>
            <w:r>
              <w:rPr>
                <w:rFonts w:hint="eastAsia" w:ascii="宋体" w:hAnsi="宋体"/>
                <w:color w:val="000000"/>
                <w:kern w:val="0"/>
                <w:sz w:val="20"/>
                <w:szCs w:val="20"/>
              </w:rPr>
              <w:t>八角，对角</w:t>
            </w:r>
            <w:r>
              <w:rPr>
                <w:rFonts w:eastAsia="等线"/>
                <w:color w:val="000000"/>
                <w:kern w:val="0"/>
                <w:sz w:val="20"/>
                <w:szCs w:val="20"/>
              </w:rPr>
              <w:t>120-220-4mm</w:t>
            </w:r>
            <w:r>
              <w:rPr>
                <w:rFonts w:hint="eastAsia" w:ascii="宋体" w:hAnsi="宋体"/>
                <w:color w:val="000000"/>
                <w:kern w:val="0"/>
                <w:sz w:val="20"/>
                <w:szCs w:val="20"/>
              </w:rPr>
              <w:t>厚；横杆</w:t>
            </w:r>
            <w:r>
              <w:rPr>
                <w:rFonts w:eastAsia="等线"/>
                <w:color w:val="000000"/>
                <w:kern w:val="0"/>
                <w:sz w:val="20"/>
                <w:szCs w:val="20"/>
              </w:rPr>
              <w:t>2</w:t>
            </w:r>
            <w:r>
              <w:rPr>
                <w:rFonts w:hint="eastAsia" w:ascii="宋体" w:hAnsi="宋体"/>
                <w:color w:val="000000"/>
                <w:kern w:val="0"/>
                <w:sz w:val="20"/>
                <w:szCs w:val="20"/>
              </w:rPr>
              <w:t>八角，对角</w:t>
            </w:r>
            <w:r>
              <w:rPr>
                <w:rFonts w:eastAsia="等线"/>
                <w:color w:val="000000"/>
                <w:kern w:val="0"/>
                <w:sz w:val="20"/>
                <w:szCs w:val="20"/>
              </w:rPr>
              <w:t>220-320-6mm</w:t>
            </w:r>
            <w:r>
              <w:rPr>
                <w:rFonts w:hint="eastAsia" w:ascii="宋体" w:hAnsi="宋体"/>
                <w:color w:val="000000"/>
                <w:kern w:val="0"/>
                <w:sz w:val="20"/>
                <w:szCs w:val="20"/>
              </w:rPr>
              <w:t>厚；立杆法兰</w:t>
            </w:r>
            <w:r>
              <w:rPr>
                <w:rFonts w:eastAsia="等线"/>
                <w:color w:val="000000"/>
                <w:kern w:val="0"/>
                <w:sz w:val="20"/>
                <w:szCs w:val="20"/>
              </w:rPr>
              <w:t>ø700-20mm</w:t>
            </w:r>
            <w:r>
              <w:rPr>
                <w:rFonts w:hint="eastAsia" w:ascii="宋体" w:hAnsi="宋体"/>
                <w:color w:val="000000"/>
                <w:kern w:val="0"/>
                <w:sz w:val="20"/>
                <w:szCs w:val="20"/>
              </w:rPr>
              <w:t>厚；杆件整体热镀锌喷塑白色）</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人工费</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混凝土（</w:t>
            </w:r>
            <w:r>
              <w:rPr>
                <w:rFonts w:eastAsia="等线"/>
                <w:color w:val="000000"/>
                <w:kern w:val="0"/>
                <w:sz w:val="20"/>
                <w:szCs w:val="20"/>
              </w:rPr>
              <w:t>2.1m×2.1m×2.3m</w:t>
            </w:r>
            <w:r>
              <w:rPr>
                <w:rFonts w:hint="eastAsia" w:ascii="宋体" w:hAnsi="宋体"/>
                <w:color w:val="000000"/>
                <w:kern w:val="0"/>
                <w:sz w:val="20"/>
                <w:szCs w:val="20"/>
              </w:rPr>
              <w:t>）</w:t>
            </w:r>
            <w:r>
              <w:rPr>
                <w:rFonts w:eastAsia="等线"/>
                <w:color w:val="000000"/>
                <w:kern w:val="0"/>
                <w:sz w:val="20"/>
                <w:szCs w:val="20"/>
              </w:rPr>
              <w:t>10.14</w:t>
            </w:r>
            <w:r>
              <w:rPr>
                <w:rFonts w:hint="eastAsia" w:ascii="宋体" w:hAnsi="宋体"/>
                <w:color w:val="000000"/>
                <w:kern w:val="0"/>
                <w:sz w:val="20"/>
                <w:szCs w:val="20"/>
              </w:rPr>
              <w:t>立方，渣土清运（</w:t>
            </w:r>
            <w:r>
              <w:rPr>
                <w:rFonts w:eastAsia="等线"/>
                <w:color w:val="000000"/>
                <w:kern w:val="0"/>
                <w:sz w:val="20"/>
                <w:szCs w:val="20"/>
              </w:rPr>
              <w:t>2.1m×2.1m×2.3m</w:t>
            </w:r>
            <w:r>
              <w:rPr>
                <w:rFonts w:hint="eastAsia" w:ascii="宋体" w:hAnsi="宋体"/>
                <w:color w:val="000000"/>
                <w:kern w:val="0"/>
                <w:sz w:val="20"/>
                <w:szCs w:val="20"/>
              </w:rPr>
              <w:t>）</w:t>
            </w:r>
            <w:r>
              <w:rPr>
                <w:rFonts w:eastAsia="等线"/>
                <w:color w:val="000000"/>
                <w:kern w:val="0"/>
                <w:sz w:val="20"/>
                <w:szCs w:val="20"/>
              </w:rPr>
              <w:t>10.14</w:t>
            </w:r>
            <w:r>
              <w:rPr>
                <w:rFonts w:hint="eastAsia" w:ascii="宋体" w:hAnsi="宋体"/>
                <w:color w:val="000000"/>
                <w:kern w:val="0"/>
                <w:sz w:val="20"/>
                <w:szCs w:val="20"/>
              </w:rPr>
              <w:t>立方</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项</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792"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抱杆箱</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箱体尺寸</w:t>
            </w:r>
            <w:r>
              <w:rPr>
                <w:rFonts w:eastAsia="等线"/>
                <w:color w:val="000000"/>
                <w:kern w:val="0"/>
                <w:sz w:val="20"/>
                <w:szCs w:val="20"/>
              </w:rPr>
              <w:t>500mm*450mm*400mm</w:t>
            </w:r>
            <w:r>
              <w:rPr>
                <w:rFonts w:hint="eastAsia" w:ascii="宋体" w:hAnsi="宋体"/>
                <w:color w:val="000000"/>
                <w:kern w:val="0"/>
                <w:sz w:val="20"/>
                <w:szCs w:val="20"/>
              </w:rPr>
              <w:t>，</w:t>
            </w:r>
            <w:r>
              <w:rPr>
                <w:rFonts w:eastAsia="等线"/>
                <w:color w:val="000000"/>
                <w:kern w:val="0"/>
                <w:sz w:val="20"/>
                <w:szCs w:val="20"/>
              </w:rPr>
              <w:t>1.2mm</w:t>
            </w:r>
            <w:r>
              <w:rPr>
                <w:rFonts w:hint="eastAsia" w:ascii="宋体" w:hAnsi="宋体"/>
                <w:color w:val="000000"/>
                <w:kern w:val="0"/>
                <w:sz w:val="20"/>
                <w:szCs w:val="20"/>
              </w:rPr>
              <w:t>厚镀锌板；集成自动重合闸、电源输出、电源防雷、网络防雷、空开、风扇、</w:t>
            </w:r>
            <w:r>
              <w:rPr>
                <w:rFonts w:eastAsia="等线"/>
                <w:color w:val="000000"/>
                <w:kern w:val="0"/>
                <w:sz w:val="20"/>
                <w:szCs w:val="20"/>
              </w:rPr>
              <w:t>LED</w:t>
            </w:r>
            <w:r>
              <w:rPr>
                <w:rFonts w:hint="eastAsia" w:ascii="宋体" w:hAnsi="宋体"/>
                <w:color w:val="000000"/>
                <w:kern w:val="0"/>
                <w:sz w:val="20"/>
                <w:szCs w:val="20"/>
              </w:rPr>
              <w:t>灯等模块于一体；支持</w:t>
            </w:r>
            <w:r>
              <w:rPr>
                <w:rFonts w:eastAsia="等线"/>
                <w:color w:val="000000"/>
                <w:kern w:val="0"/>
                <w:sz w:val="20"/>
                <w:szCs w:val="20"/>
              </w:rPr>
              <w:t>AC220V</w:t>
            </w:r>
            <w:r>
              <w:rPr>
                <w:rFonts w:hint="eastAsia" w:ascii="宋体" w:hAnsi="宋体"/>
                <w:color w:val="000000"/>
                <w:kern w:val="0"/>
                <w:sz w:val="20"/>
                <w:szCs w:val="20"/>
              </w:rPr>
              <w:t>电源插座，</w:t>
            </w:r>
            <w:r>
              <w:rPr>
                <w:rFonts w:eastAsia="等线"/>
                <w:color w:val="000000"/>
                <w:kern w:val="0"/>
                <w:sz w:val="20"/>
                <w:szCs w:val="20"/>
              </w:rPr>
              <w:t>AC24V</w:t>
            </w:r>
            <w:r>
              <w:rPr>
                <w:rFonts w:hint="eastAsia" w:ascii="宋体" w:hAnsi="宋体"/>
                <w:color w:val="000000"/>
                <w:kern w:val="0"/>
                <w:sz w:val="20"/>
                <w:szCs w:val="20"/>
              </w:rPr>
              <w:t>电源输出端子、</w:t>
            </w:r>
            <w:r>
              <w:rPr>
                <w:rFonts w:eastAsia="等线"/>
                <w:color w:val="000000"/>
                <w:kern w:val="0"/>
                <w:sz w:val="20"/>
                <w:szCs w:val="20"/>
              </w:rPr>
              <w:t>DC12V</w:t>
            </w:r>
            <w:r>
              <w:rPr>
                <w:rFonts w:hint="eastAsia" w:ascii="宋体" w:hAnsi="宋体"/>
                <w:color w:val="000000"/>
                <w:kern w:val="0"/>
                <w:sz w:val="20"/>
                <w:szCs w:val="20"/>
              </w:rPr>
              <w:t>电源输出端子；</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台</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63</w:t>
            </w:r>
          </w:p>
        </w:tc>
      </w:tr>
      <w:tr>
        <w:tblPrEx>
          <w:tblCellMar>
            <w:top w:w="0" w:type="dxa"/>
            <w:left w:w="108" w:type="dxa"/>
            <w:bottom w:w="0" w:type="dxa"/>
            <w:right w:w="108" w:type="dxa"/>
          </w:tblCellMar>
        </w:tblPrEx>
        <w:trPr>
          <w:trHeight w:val="528"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落地箱</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箱体尺寸</w:t>
            </w:r>
            <w:r>
              <w:rPr>
                <w:rFonts w:eastAsia="等线"/>
                <w:color w:val="000000"/>
                <w:kern w:val="0"/>
                <w:sz w:val="20"/>
                <w:szCs w:val="20"/>
              </w:rPr>
              <w:t>600mm*650mm*1200mm</w:t>
            </w:r>
            <w:r>
              <w:rPr>
                <w:rFonts w:hint="eastAsia" w:ascii="宋体" w:hAnsi="宋体"/>
                <w:color w:val="000000"/>
                <w:kern w:val="0"/>
                <w:sz w:val="20"/>
                <w:szCs w:val="20"/>
              </w:rPr>
              <w:t>，</w:t>
            </w:r>
            <w:r>
              <w:rPr>
                <w:rFonts w:eastAsia="等线"/>
                <w:color w:val="000000"/>
                <w:kern w:val="0"/>
                <w:sz w:val="20"/>
                <w:szCs w:val="20"/>
              </w:rPr>
              <w:t>1.2mm</w:t>
            </w:r>
            <w:r>
              <w:rPr>
                <w:rFonts w:hint="eastAsia" w:ascii="宋体" w:hAnsi="宋体"/>
                <w:color w:val="000000"/>
                <w:kern w:val="0"/>
                <w:sz w:val="20"/>
                <w:szCs w:val="20"/>
              </w:rPr>
              <w:t>厚镀锌板，集成自动重合闸、电源输出、电源防雷、网络防雷、空开、风扇、</w:t>
            </w:r>
            <w:r>
              <w:rPr>
                <w:rFonts w:eastAsia="等线"/>
                <w:color w:val="000000"/>
                <w:kern w:val="0"/>
                <w:sz w:val="20"/>
                <w:szCs w:val="20"/>
              </w:rPr>
              <w:t>LED</w:t>
            </w:r>
            <w:r>
              <w:rPr>
                <w:rFonts w:hint="eastAsia" w:ascii="宋体" w:hAnsi="宋体"/>
                <w:color w:val="000000"/>
                <w:kern w:val="0"/>
                <w:sz w:val="20"/>
                <w:szCs w:val="20"/>
              </w:rPr>
              <w:t>灯等模块于一体；支持</w:t>
            </w:r>
            <w:r>
              <w:rPr>
                <w:rFonts w:eastAsia="等线"/>
                <w:color w:val="000000"/>
                <w:kern w:val="0"/>
                <w:sz w:val="20"/>
                <w:szCs w:val="20"/>
              </w:rPr>
              <w:t>AC220V</w:t>
            </w:r>
            <w:r>
              <w:rPr>
                <w:rFonts w:hint="eastAsia" w:ascii="宋体" w:hAnsi="宋体"/>
                <w:color w:val="000000"/>
                <w:kern w:val="0"/>
                <w:sz w:val="20"/>
                <w:szCs w:val="20"/>
              </w:rPr>
              <w:t>电源插座</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台</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18</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检修井</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400*400*450</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个</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167</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网线</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六类网线屏蔽线</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米</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3600</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光纤</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12</w:t>
            </w:r>
            <w:r>
              <w:rPr>
                <w:rFonts w:hint="eastAsia" w:ascii="宋体" w:hAnsi="宋体"/>
                <w:color w:val="000000"/>
                <w:kern w:val="0"/>
                <w:sz w:val="20"/>
                <w:szCs w:val="20"/>
              </w:rPr>
              <w:t>芯</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米</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5400</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485</w:t>
            </w:r>
            <w:r>
              <w:rPr>
                <w:rFonts w:hint="eastAsia" w:ascii="宋体" w:hAnsi="宋体"/>
                <w:color w:val="000000"/>
                <w:kern w:val="0"/>
                <w:sz w:val="20"/>
                <w:szCs w:val="20"/>
              </w:rPr>
              <w:t>控制线</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RVVP2*1.0</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米</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9000</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相机电源线</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RVV3*1.0</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米</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3600</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灯电源线</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RVV3*1.0</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米</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7200</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主电源线</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RVV3*2.5</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米</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1800</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线管</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φ50PE</w:t>
            </w:r>
            <w:r>
              <w:rPr>
                <w:rFonts w:hint="eastAsia" w:ascii="宋体" w:hAnsi="宋体"/>
                <w:color w:val="000000"/>
                <w:kern w:val="0"/>
                <w:sz w:val="20"/>
                <w:szCs w:val="20"/>
              </w:rPr>
              <w:t>管</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米</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1800</w:t>
            </w:r>
          </w:p>
        </w:tc>
      </w:tr>
      <w:tr>
        <w:tblPrEx>
          <w:tblCellMar>
            <w:top w:w="0" w:type="dxa"/>
            <w:left w:w="108" w:type="dxa"/>
            <w:bottom w:w="0" w:type="dxa"/>
            <w:right w:w="108" w:type="dxa"/>
          </w:tblCellMar>
        </w:tblPrEx>
        <w:trPr>
          <w:trHeight w:val="768"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人工及机械费</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点位取电（绿化带、人行道）开挖恢复</w:t>
            </w:r>
            <w:r>
              <w:rPr>
                <w:rFonts w:eastAsia="等线"/>
                <w:color w:val="000000"/>
                <w:kern w:val="0"/>
                <w:sz w:val="20"/>
                <w:szCs w:val="20"/>
              </w:rPr>
              <w:t>1800</w:t>
            </w:r>
            <w:r>
              <w:rPr>
                <w:rFonts w:hint="eastAsia" w:ascii="宋体" w:hAnsi="宋体"/>
                <w:color w:val="000000"/>
                <w:kern w:val="0"/>
                <w:sz w:val="20"/>
                <w:szCs w:val="20"/>
              </w:rPr>
              <w:t>米，顶管</w:t>
            </w:r>
            <w:r>
              <w:rPr>
                <w:rFonts w:eastAsia="等线"/>
                <w:color w:val="000000"/>
                <w:kern w:val="0"/>
                <w:sz w:val="20"/>
                <w:szCs w:val="20"/>
              </w:rPr>
              <w:t>φ110PE</w:t>
            </w:r>
            <w:r>
              <w:rPr>
                <w:rFonts w:hint="eastAsia" w:ascii="宋体" w:hAnsi="宋体"/>
                <w:color w:val="000000"/>
                <w:kern w:val="0"/>
                <w:sz w:val="20"/>
                <w:szCs w:val="20"/>
              </w:rPr>
              <w:t>管</w:t>
            </w:r>
            <w:r>
              <w:rPr>
                <w:rFonts w:eastAsia="等线"/>
                <w:color w:val="000000"/>
                <w:kern w:val="0"/>
                <w:sz w:val="20"/>
                <w:szCs w:val="20"/>
              </w:rPr>
              <w:t>2340</w:t>
            </w:r>
            <w:r>
              <w:rPr>
                <w:rFonts w:hint="eastAsia" w:ascii="宋体" w:hAnsi="宋体"/>
                <w:color w:val="000000"/>
                <w:kern w:val="0"/>
                <w:sz w:val="20"/>
                <w:szCs w:val="20"/>
              </w:rPr>
              <w:t>米，机械使用</w:t>
            </w:r>
            <w:r>
              <w:rPr>
                <w:rFonts w:eastAsia="等线"/>
                <w:color w:val="000000"/>
                <w:kern w:val="0"/>
                <w:sz w:val="20"/>
                <w:szCs w:val="20"/>
              </w:rPr>
              <w:t>180</w:t>
            </w:r>
            <w:r>
              <w:rPr>
                <w:rFonts w:hint="eastAsia" w:ascii="宋体" w:hAnsi="宋体"/>
                <w:color w:val="000000"/>
                <w:kern w:val="0"/>
                <w:sz w:val="20"/>
                <w:szCs w:val="20"/>
              </w:rPr>
              <w:t>天（吊车，高车，电镐，切割锯等），人工</w:t>
            </w:r>
            <w:r>
              <w:rPr>
                <w:rFonts w:eastAsia="等线"/>
                <w:color w:val="000000"/>
                <w:kern w:val="0"/>
                <w:sz w:val="20"/>
                <w:szCs w:val="20"/>
              </w:rPr>
              <w:t>900</w:t>
            </w:r>
            <w:r>
              <w:rPr>
                <w:rFonts w:hint="eastAsia" w:ascii="宋体" w:hAnsi="宋体"/>
                <w:color w:val="000000"/>
                <w:kern w:val="0"/>
                <w:sz w:val="20"/>
                <w:szCs w:val="20"/>
              </w:rPr>
              <w:t>工日（立杆施工、开挖、恢复、布线、安装、调试等）</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项</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528" w:hRule="atLeast"/>
        </w:trPr>
        <w:tc>
          <w:tcPr>
            <w:tcW w:w="60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15</w:t>
            </w:r>
          </w:p>
        </w:tc>
        <w:tc>
          <w:tcPr>
            <w:tcW w:w="74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新建卡口</w:t>
            </w:r>
            <w:r>
              <w:rPr>
                <w:rFonts w:eastAsia="等线"/>
                <w:color w:val="000000"/>
                <w:kern w:val="0"/>
                <w:sz w:val="20"/>
                <w:szCs w:val="20"/>
              </w:rPr>
              <w:t>7</w:t>
            </w:r>
            <w:r>
              <w:rPr>
                <w:rFonts w:hint="eastAsia" w:ascii="宋体" w:hAnsi="宋体"/>
                <w:color w:val="000000"/>
                <w:kern w:val="0"/>
                <w:sz w:val="20"/>
                <w:szCs w:val="20"/>
              </w:rPr>
              <w:t>处</w:t>
            </w: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新立卡口杆</w:t>
            </w:r>
            <w:r>
              <w:rPr>
                <w:rFonts w:eastAsia="等线"/>
                <w:color w:val="000000"/>
                <w:kern w:val="0"/>
                <w:sz w:val="20"/>
                <w:szCs w:val="20"/>
              </w:rPr>
              <w:t>1</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6.5</w:t>
            </w:r>
            <w:r>
              <w:rPr>
                <w:rFonts w:hint="eastAsia" w:ascii="宋体" w:hAnsi="宋体"/>
                <w:color w:val="000000"/>
                <w:kern w:val="0"/>
                <w:sz w:val="20"/>
                <w:szCs w:val="20"/>
              </w:rPr>
              <w:t>米</w:t>
            </w:r>
            <w:r>
              <w:rPr>
                <w:rFonts w:eastAsia="等线"/>
                <w:color w:val="000000"/>
                <w:kern w:val="0"/>
                <w:sz w:val="20"/>
                <w:szCs w:val="20"/>
              </w:rPr>
              <w:t>*8</w:t>
            </w:r>
            <w:r>
              <w:rPr>
                <w:rFonts w:hint="eastAsia" w:ascii="宋体" w:hAnsi="宋体"/>
                <w:color w:val="000000"/>
                <w:kern w:val="0"/>
                <w:sz w:val="20"/>
                <w:szCs w:val="20"/>
              </w:rPr>
              <w:t>米</w:t>
            </w:r>
            <w:r>
              <w:rPr>
                <w:rFonts w:eastAsia="等线"/>
                <w:color w:val="000000"/>
                <w:kern w:val="0"/>
                <w:sz w:val="20"/>
                <w:szCs w:val="20"/>
              </w:rPr>
              <w:t>L</w:t>
            </w:r>
            <w:r>
              <w:rPr>
                <w:rFonts w:hint="eastAsia" w:ascii="宋体" w:hAnsi="宋体"/>
                <w:color w:val="000000"/>
                <w:kern w:val="0"/>
                <w:sz w:val="20"/>
                <w:szCs w:val="20"/>
              </w:rPr>
              <w:t>型监控杆（立杆八角，对角</w:t>
            </w:r>
            <w:r>
              <w:rPr>
                <w:rFonts w:eastAsia="等线"/>
                <w:color w:val="000000"/>
                <w:kern w:val="0"/>
                <w:sz w:val="20"/>
                <w:szCs w:val="20"/>
              </w:rPr>
              <w:t>240-300-6mm</w:t>
            </w:r>
            <w:r>
              <w:rPr>
                <w:rFonts w:hint="eastAsia" w:ascii="宋体" w:hAnsi="宋体"/>
                <w:color w:val="000000"/>
                <w:kern w:val="0"/>
                <w:sz w:val="20"/>
                <w:szCs w:val="20"/>
              </w:rPr>
              <w:t>厚；横杆八角，对角</w:t>
            </w:r>
            <w:r>
              <w:rPr>
                <w:rFonts w:eastAsia="等线"/>
                <w:color w:val="000000"/>
                <w:kern w:val="0"/>
                <w:sz w:val="20"/>
                <w:szCs w:val="20"/>
              </w:rPr>
              <w:t>100-220-4mm</w:t>
            </w:r>
            <w:r>
              <w:rPr>
                <w:rFonts w:hint="eastAsia" w:ascii="宋体" w:hAnsi="宋体"/>
                <w:color w:val="000000"/>
                <w:kern w:val="0"/>
                <w:sz w:val="20"/>
                <w:szCs w:val="20"/>
              </w:rPr>
              <w:t>厚；立杆法兰</w:t>
            </w:r>
            <w:r>
              <w:rPr>
                <w:rFonts w:eastAsia="等线"/>
                <w:color w:val="000000"/>
                <w:kern w:val="0"/>
                <w:sz w:val="20"/>
                <w:szCs w:val="20"/>
              </w:rPr>
              <w:t>ø500-16mm</w:t>
            </w:r>
            <w:r>
              <w:rPr>
                <w:rFonts w:hint="eastAsia" w:ascii="宋体" w:hAnsi="宋体"/>
                <w:color w:val="000000"/>
                <w:kern w:val="0"/>
                <w:sz w:val="20"/>
                <w:szCs w:val="20"/>
              </w:rPr>
              <w:t>厚；杆件整体热镀锌喷塑白色）</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4</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人工及机械费</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混凝土（</w:t>
            </w:r>
            <w:r>
              <w:rPr>
                <w:rFonts w:eastAsia="等线"/>
                <w:color w:val="000000"/>
                <w:kern w:val="0"/>
                <w:sz w:val="20"/>
                <w:szCs w:val="20"/>
              </w:rPr>
              <w:t>1.5m×1.5m×1.8m</w:t>
            </w:r>
            <w:r>
              <w:rPr>
                <w:rFonts w:hint="eastAsia" w:ascii="宋体" w:hAnsi="宋体"/>
                <w:color w:val="000000"/>
                <w:kern w:val="0"/>
                <w:sz w:val="20"/>
                <w:szCs w:val="20"/>
              </w:rPr>
              <w:t>）</w:t>
            </w:r>
            <w:r>
              <w:rPr>
                <w:rFonts w:eastAsia="等线"/>
                <w:color w:val="000000"/>
                <w:kern w:val="0"/>
                <w:sz w:val="20"/>
                <w:szCs w:val="20"/>
              </w:rPr>
              <w:t>16.2</w:t>
            </w:r>
            <w:r>
              <w:rPr>
                <w:rFonts w:hint="eastAsia" w:ascii="宋体" w:hAnsi="宋体"/>
                <w:color w:val="000000"/>
                <w:kern w:val="0"/>
                <w:sz w:val="20"/>
                <w:szCs w:val="20"/>
              </w:rPr>
              <w:t>立方，渣土清运（</w:t>
            </w:r>
            <w:r>
              <w:rPr>
                <w:rFonts w:eastAsia="等线"/>
                <w:color w:val="000000"/>
                <w:kern w:val="0"/>
                <w:sz w:val="20"/>
                <w:szCs w:val="20"/>
              </w:rPr>
              <w:t>1.5m×1.5m×1.8m</w:t>
            </w:r>
            <w:r>
              <w:rPr>
                <w:rFonts w:hint="eastAsia" w:ascii="宋体" w:hAnsi="宋体"/>
                <w:color w:val="000000"/>
                <w:kern w:val="0"/>
                <w:sz w:val="20"/>
                <w:szCs w:val="20"/>
              </w:rPr>
              <w:t>）</w:t>
            </w:r>
            <w:r>
              <w:rPr>
                <w:rFonts w:eastAsia="等线"/>
                <w:color w:val="000000"/>
                <w:kern w:val="0"/>
                <w:sz w:val="20"/>
                <w:szCs w:val="20"/>
              </w:rPr>
              <w:t>16.2</w:t>
            </w:r>
            <w:r>
              <w:rPr>
                <w:rFonts w:hint="eastAsia" w:ascii="宋体" w:hAnsi="宋体"/>
                <w:color w:val="000000"/>
                <w:kern w:val="0"/>
                <w:sz w:val="20"/>
                <w:szCs w:val="20"/>
              </w:rPr>
              <w:t>立方</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项</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528"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新立卡口杆</w:t>
            </w:r>
            <w:r>
              <w:rPr>
                <w:rFonts w:eastAsia="等线"/>
                <w:color w:val="000000"/>
                <w:kern w:val="0"/>
                <w:sz w:val="20"/>
                <w:szCs w:val="20"/>
              </w:rPr>
              <w:t>2</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6.5</w:t>
            </w:r>
            <w:r>
              <w:rPr>
                <w:rFonts w:hint="eastAsia" w:ascii="宋体" w:hAnsi="宋体"/>
                <w:color w:val="000000"/>
                <w:kern w:val="0"/>
                <w:sz w:val="20"/>
                <w:szCs w:val="20"/>
              </w:rPr>
              <w:t>米</w:t>
            </w:r>
            <w:r>
              <w:rPr>
                <w:rFonts w:eastAsia="等线"/>
                <w:color w:val="000000"/>
                <w:kern w:val="0"/>
                <w:sz w:val="20"/>
                <w:szCs w:val="20"/>
              </w:rPr>
              <w:t>*10</w:t>
            </w:r>
            <w:r>
              <w:rPr>
                <w:rFonts w:hint="eastAsia" w:ascii="宋体" w:hAnsi="宋体"/>
                <w:color w:val="000000"/>
                <w:kern w:val="0"/>
                <w:sz w:val="20"/>
                <w:szCs w:val="20"/>
              </w:rPr>
              <w:t>米</w:t>
            </w:r>
            <w:r>
              <w:rPr>
                <w:rFonts w:eastAsia="等线"/>
                <w:color w:val="000000"/>
                <w:kern w:val="0"/>
                <w:sz w:val="20"/>
                <w:szCs w:val="20"/>
              </w:rPr>
              <w:t>L</w:t>
            </w:r>
            <w:r>
              <w:rPr>
                <w:rFonts w:hint="eastAsia" w:ascii="宋体" w:hAnsi="宋体"/>
                <w:color w:val="000000"/>
                <w:kern w:val="0"/>
                <w:sz w:val="20"/>
                <w:szCs w:val="20"/>
              </w:rPr>
              <w:t>型监控杆（立杆八角，对角</w:t>
            </w:r>
            <w:r>
              <w:rPr>
                <w:rFonts w:eastAsia="等线"/>
                <w:color w:val="000000"/>
                <w:kern w:val="0"/>
                <w:sz w:val="20"/>
                <w:szCs w:val="20"/>
              </w:rPr>
              <w:t>280-330-8mm</w:t>
            </w:r>
            <w:r>
              <w:rPr>
                <w:rFonts w:hint="eastAsia" w:ascii="宋体" w:hAnsi="宋体"/>
                <w:color w:val="000000"/>
                <w:kern w:val="0"/>
                <w:sz w:val="20"/>
                <w:szCs w:val="20"/>
              </w:rPr>
              <w:t>厚；横杆八角，对角</w:t>
            </w:r>
            <w:r>
              <w:rPr>
                <w:rFonts w:eastAsia="等线"/>
                <w:color w:val="000000"/>
                <w:kern w:val="0"/>
                <w:sz w:val="20"/>
                <w:szCs w:val="20"/>
              </w:rPr>
              <w:t>100-260-5mm</w:t>
            </w:r>
            <w:r>
              <w:rPr>
                <w:rFonts w:hint="eastAsia" w:ascii="宋体" w:hAnsi="宋体"/>
                <w:color w:val="000000"/>
                <w:kern w:val="0"/>
                <w:sz w:val="20"/>
                <w:szCs w:val="20"/>
              </w:rPr>
              <w:t>厚；立杆法兰</w:t>
            </w:r>
            <w:r>
              <w:rPr>
                <w:rFonts w:eastAsia="等线"/>
                <w:color w:val="000000"/>
                <w:kern w:val="0"/>
                <w:sz w:val="20"/>
                <w:szCs w:val="20"/>
              </w:rPr>
              <w:t>ø550-18mm</w:t>
            </w:r>
            <w:r>
              <w:rPr>
                <w:rFonts w:hint="eastAsia" w:ascii="宋体" w:hAnsi="宋体"/>
                <w:color w:val="000000"/>
                <w:kern w:val="0"/>
                <w:sz w:val="20"/>
                <w:szCs w:val="20"/>
              </w:rPr>
              <w:t>厚；杆件整体热镀锌喷塑白色）</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3</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人工及机械费</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混凝土（</w:t>
            </w:r>
            <w:r>
              <w:rPr>
                <w:rFonts w:eastAsia="等线"/>
                <w:color w:val="000000"/>
                <w:kern w:val="0"/>
                <w:sz w:val="20"/>
                <w:szCs w:val="20"/>
              </w:rPr>
              <w:t>1.8m×1.8m×2m</w:t>
            </w:r>
            <w:r>
              <w:rPr>
                <w:rFonts w:hint="eastAsia" w:ascii="宋体" w:hAnsi="宋体"/>
                <w:color w:val="000000"/>
                <w:kern w:val="0"/>
                <w:sz w:val="20"/>
                <w:szCs w:val="20"/>
              </w:rPr>
              <w:t>）</w:t>
            </w:r>
            <w:r>
              <w:rPr>
                <w:rFonts w:eastAsia="等线"/>
                <w:color w:val="000000"/>
                <w:kern w:val="0"/>
                <w:sz w:val="20"/>
                <w:szCs w:val="20"/>
              </w:rPr>
              <w:t>19.44</w:t>
            </w:r>
            <w:r>
              <w:rPr>
                <w:rFonts w:hint="eastAsia" w:ascii="宋体" w:hAnsi="宋体"/>
                <w:color w:val="000000"/>
                <w:kern w:val="0"/>
                <w:sz w:val="20"/>
                <w:szCs w:val="20"/>
              </w:rPr>
              <w:t>立方，渣土清运（</w:t>
            </w:r>
            <w:r>
              <w:rPr>
                <w:rFonts w:eastAsia="等线"/>
                <w:color w:val="000000"/>
                <w:kern w:val="0"/>
                <w:sz w:val="20"/>
                <w:szCs w:val="20"/>
              </w:rPr>
              <w:t>1.8m×1.8m×2m</w:t>
            </w:r>
            <w:r>
              <w:rPr>
                <w:rFonts w:hint="eastAsia" w:ascii="宋体" w:hAnsi="宋体"/>
                <w:color w:val="000000"/>
                <w:kern w:val="0"/>
                <w:sz w:val="20"/>
                <w:szCs w:val="20"/>
              </w:rPr>
              <w:t>）</w:t>
            </w:r>
            <w:r>
              <w:rPr>
                <w:rFonts w:eastAsia="等线"/>
                <w:color w:val="000000"/>
                <w:kern w:val="0"/>
                <w:sz w:val="20"/>
                <w:szCs w:val="20"/>
              </w:rPr>
              <w:t>19.44</w:t>
            </w:r>
            <w:r>
              <w:rPr>
                <w:rFonts w:hint="eastAsia" w:ascii="宋体" w:hAnsi="宋体"/>
                <w:color w:val="000000"/>
                <w:kern w:val="0"/>
                <w:sz w:val="20"/>
                <w:szCs w:val="20"/>
              </w:rPr>
              <w:t>立方</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项</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528"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新立卡口杆</w:t>
            </w:r>
            <w:r>
              <w:rPr>
                <w:rFonts w:eastAsia="等线"/>
                <w:color w:val="000000"/>
                <w:kern w:val="0"/>
                <w:sz w:val="20"/>
                <w:szCs w:val="20"/>
              </w:rPr>
              <w:t>3</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6.5</w:t>
            </w:r>
            <w:r>
              <w:rPr>
                <w:rFonts w:hint="eastAsia" w:ascii="宋体" w:hAnsi="宋体"/>
                <w:color w:val="000000"/>
                <w:kern w:val="0"/>
                <w:sz w:val="20"/>
                <w:szCs w:val="20"/>
              </w:rPr>
              <w:t>米</w:t>
            </w:r>
            <w:r>
              <w:rPr>
                <w:rFonts w:eastAsia="等线"/>
                <w:color w:val="000000"/>
                <w:kern w:val="0"/>
                <w:sz w:val="20"/>
                <w:szCs w:val="20"/>
              </w:rPr>
              <w:t>*12</w:t>
            </w:r>
            <w:r>
              <w:rPr>
                <w:rFonts w:hint="eastAsia" w:ascii="宋体" w:hAnsi="宋体"/>
                <w:color w:val="000000"/>
                <w:kern w:val="0"/>
                <w:sz w:val="20"/>
                <w:szCs w:val="20"/>
              </w:rPr>
              <w:t>米</w:t>
            </w:r>
            <w:r>
              <w:rPr>
                <w:rFonts w:eastAsia="等线"/>
                <w:color w:val="000000"/>
                <w:kern w:val="0"/>
                <w:sz w:val="20"/>
                <w:szCs w:val="20"/>
              </w:rPr>
              <w:t>L</w:t>
            </w:r>
            <w:r>
              <w:rPr>
                <w:rFonts w:hint="eastAsia" w:ascii="宋体" w:hAnsi="宋体"/>
                <w:color w:val="000000"/>
                <w:kern w:val="0"/>
                <w:sz w:val="20"/>
                <w:szCs w:val="20"/>
              </w:rPr>
              <w:t>型监控杆（立杆八角，对角</w:t>
            </w:r>
            <w:r>
              <w:rPr>
                <w:rFonts w:eastAsia="等线"/>
                <w:color w:val="000000"/>
                <w:kern w:val="0"/>
                <w:sz w:val="20"/>
                <w:szCs w:val="20"/>
              </w:rPr>
              <w:t>280-330-8mm</w:t>
            </w:r>
            <w:r>
              <w:rPr>
                <w:rFonts w:hint="eastAsia" w:ascii="宋体" w:hAnsi="宋体"/>
                <w:color w:val="000000"/>
                <w:kern w:val="0"/>
                <w:sz w:val="20"/>
                <w:szCs w:val="20"/>
              </w:rPr>
              <w:t>厚；横杆八角，对角</w:t>
            </w:r>
            <w:r>
              <w:rPr>
                <w:rFonts w:eastAsia="等线"/>
                <w:color w:val="000000"/>
                <w:kern w:val="0"/>
                <w:sz w:val="20"/>
                <w:szCs w:val="20"/>
              </w:rPr>
              <w:t>110-280-5mm</w:t>
            </w:r>
            <w:r>
              <w:rPr>
                <w:rFonts w:hint="eastAsia" w:ascii="宋体" w:hAnsi="宋体"/>
                <w:color w:val="000000"/>
                <w:kern w:val="0"/>
                <w:sz w:val="20"/>
                <w:szCs w:val="20"/>
              </w:rPr>
              <w:t>厚；立杆法兰</w:t>
            </w:r>
            <w:r>
              <w:rPr>
                <w:rFonts w:eastAsia="等线"/>
                <w:color w:val="000000"/>
                <w:kern w:val="0"/>
                <w:sz w:val="20"/>
                <w:szCs w:val="20"/>
              </w:rPr>
              <w:t>ø550-18mm</w:t>
            </w:r>
            <w:r>
              <w:rPr>
                <w:rFonts w:hint="eastAsia" w:ascii="宋体" w:hAnsi="宋体"/>
                <w:color w:val="000000"/>
                <w:kern w:val="0"/>
                <w:sz w:val="20"/>
                <w:szCs w:val="20"/>
              </w:rPr>
              <w:t>厚；杆件整体热镀锌喷塑白色）</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2</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人工及机械费</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混凝土（</w:t>
            </w:r>
            <w:r>
              <w:rPr>
                <w:rFonts w:eastAsia="等线"/>
                <w:color w:val="000000"/>
                <w:kern w:val="0"/>
                <w:sz w:val="20"/>
                <w:szCs w:val="20"/>
              </w:rPr>
              <w:t>1.9m×1.9m×2.1m</w:t>
            </w:r>
            <w:r>
              <w:rPr>
                <w:rFonts w:hint="eastAsia" w:ascii="宋体" w:hAnsi="宋体"/>
                <w:color w:val="000000"/>
                <w:kern w:val="0"/>
                <w:sz w:val="20"/>
                <w:szCs w:val="20"/>
              </w:rPr>
              <w:t>）</w:t>
            </w:r>
            <w:r>
              <w:rPr>
                <w:rFonts w:eastAsia="等线"/>
                <w:color w:val="000000"/>
                <w:kern w:val="0"/>
                <w:sz w:val="20"/>
                <w:szCs w:val="20"/>
              </w:rPr>
              <w:t>15.16</w:t>
            </w:r>
            <w:r>
              <w:rPr>
                <w:rFonts w:hint="eastAsia" w:ascii="宋体" w:hAnsi="宋体"/>
                <w:color w:val="000000"/>
                <w:kern w:val="0"/>
                <w:sz w:val="20"/>
                <w:szCs w:val="20"/>
              </w:rPr>
              <w:t>立方，渣土清运（</w:t>
            </w:r>
            <w:r>
              <w:rPr>
                <w:rFonts w:eastAsia="等线"/>
                <w:color w:val="000000"/>
                <w:kern w:val="0"/>
                <w:sz w:val="20"/>
                <w:szCs w:val="20"/>
              </w:rPr>
              <w:t>1.9m×1.9m×2.1m</w:t>
            </w:r>
            <w:r>
              <w:rPr>
                <w:rFonts w:hint="eastAsia" w:ascii="宋体" w:hAnsi="宋体"/>
                <w:color w:val="000000"/>
                <w:kern w:val="0"/>
                <w:sz w:val="20"/>
                <w:szCs w:val="20"/>
              </w:rPr>
              <w:t>）</w:t>
            </w:r>
            <w:r>
              <w:rPr>
                <w:rFonts w:eastAsia="等线"/>
                <w:color w:val="000000"/>
                <w:kern w:val="0"/>
                <w:sz w:val="20"/>
                <w:szCs w:val="20"/>
              </w:rPr>
              <w:t>15.16</w:t>
            </w:r>
            <w:r>
              <w:rPr>
                <w:rFonts w:hint="eastAsia" w:ascii="宋体" w:hAnsi="宋体"/>
                <w:color w:val="000000"/>
                <w:kern w:val="0"/>
                <w:sz w:val="20"/>
                <w:szCs w:val="20"/>
              </w:rPr>
              <w:t>立方</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项</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792"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抱杆箱</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箱体尺寸</w:t>
            </w:r>
            <w:r>
              <w:rPr>
                <w:rFonts w:eastAsia="等线"/>
                <w:color w:val="000000"/>
                <w:kern w:val="0"/>
                <w:sz w:val="20"/>
                <w:szCs w:val="20"/>
              </w:rPr>
              <w:t>500mm*450mm*400mm</w:t>
            </w:r>
            <w:r>
              <w:rPr>
                <w:rFonts w:hint="eastAsia" w:ascii="宋体" w:hAnsi="宋体"/>
                <w:color w:val="000000"/>
                <w:kern w:val="0"/>
                <w:sz w:val="20"/>
                <w:szCs w:val="20"/>
              </w:rPr>
              <w:t>，</w:t>
            </w:r>
            <w:r>
              <w:rPr>
                <w:rFonts w:eastAsia="等线"/>
                <w:color w:val="000000"/>
                <w:kern w:val="0"/>
                <w:sz w:val="20"/>
                <w:szCs w:val="20"/>
              </w:rPr>
              <w:t>1.2mm</w:t>
            </w:r>
            <w:r>
              <w:rPr>
                <w:rFonts w:hint="eastAsia" w:ascii="宋体" w:hAnsi="宋体"/>
                <w:color w:val="000000"/>
                <w:kern w:val="0"/>
                <w:sz w:val="20"/>
                <w:szCs w:val="20"/>
              </w:rPr>
              <w:t>厚镀锌板，集成自动重合闸、电源输出、电源防雷、网络防雷、空开、风扇、</w:t>
            </w:r>
            <w:r>
              <w:rPr>
                <w:rFonts w:eastAsia="等线"/>
                <w:color w:val="000000"/>
                <w:kern w:val="0"/>
                <w:sz w:val="20"/>
                <w:szCs w:val="20"/>
              </w:rPr>
              <w:t>LED</w:t>
            </w:r>
            <w:r>
              <w:rPr>
                <w:rFonts w:hint="eastAsia" w:ascii="宋体" w:hAnsi="宋体"/>
                <w:color w:val="000000"/>
                <w:kern w:val="0"/>
                <w:sz w:val="20"/>
                <w:szCs w:val="20"/>
              </w:rPr>
              <w:t>灯等模块于一体；支持</w:t>
            </w:r>
            <w:r>
              <w:rPr>
                <w:rFonts w:eastAsia="等线"/>
                <w:color w:val="000000"/>
                <w:kern w:val="0"/>
                <w:sz w:val="20"/>
                <w:szCs w:val="20"/>
              </w:rPr>
              <w:t>AC220V</w:t>
            </w:r>
            <w:r>
              <w:rPr>
                <w:rFonts w:hint="eastAsia" w:ascii="宋体" w:hAnsi="宋体"/>
                <w:color w:val="000000"/>
                <w:kern w:val="0"/>
                <w:sz w:val="20"/>
                <w:szCs w:val="20"/>
              </w:rPr>
              <w:t>电源插座，</w:t>
            </w:r>
            <w:r>
              <w:rPr>
                <w:rFonts w:eastAsia="等线"/>
                <w:color w:val="000000"/>
                <w:kern w:val="0"/>
                <w:sz w:val="20"/>
                <w:szCs w:val="20"/>
              </w:rPr>
              <w:t>AC24V</w:t>
            </w:r>
            <w:r>
              <w:rPr>
                <w:rFonts w:hint="eastAsia" w:ascii="宋体" w:hAnsi="宋体"/>
                <w:color w:val="000000"/>
                <w:kern w:val="0"/>
                <w:sz w:val="20"/>
                <w:szCs w:val="20"/>
              </w:rPr>
              <w:t>电源输出端子、</w:t>
            </w:r>
            <w:r>
              <w:rPr>
                <w:rFonts w:eastAsia="等线"/>
                <w:color w:val="000000"/>
                <w:kern w:val="0"/>
                <w:sz w:val="20"/>
                <w:szCs w:val="20"/>
              </w:rPr>
              <w:t>DC12V</w:t>
            </w:r>
            <w:r>
              <w:rPr>
                <w:rFonts w:hint="eastAsia" w:ascii="宋体" w:hAnsi="宋体"/>
                <w:color w:val="000000"/>
                <w:kern w:val="0"/>
                <w:sz w:val="20"/>
                <w:szCs w:val="20"/>
              </w:rPr>
              <w:t>电源输出端子；</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台</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9</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检修井</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400*400*450</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个</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9</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网线</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六类网线屏蔽线</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米</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315</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485</w:t>
            </w:r>
            <w:r>
              <w:rPr>
                <w:rFonts w:hint="eastAsia" w:ascii="宋体" w:hAnsi="宋体"/>
                <w:color w:val="000000"/>
                <w:kern w:val="0"/>
                <w:sz w:val="20"/>
                <w:szCs w:val="20"/>
              </w:rPr>
              <w:t>控制线</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RVVP2*1.0</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米</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225</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相机电源线</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RVV3*1.0</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米</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315</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灯电源线</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RVV3*1.0</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米</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585</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主电源线</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RVV3*2.5</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米</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1170</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线管</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φ50PE</w:t>
            </w:r>
            <w:r>
              <w:rPr>
                <w:rFonts w:hint="eastAsia" w:ascii="宋体" w:hAnsi="宋体"/>
                <w:color w:val="000000"/>
                <w:kern w:val="0"/>
                <w:sz w:val="20"/>
                <w:szCs w:val="20"/>
              </w:rPr>
              <w:t>管</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米</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900</w:t>
            </w:r>
          </w:p>
        </w:tc>
      </w:tr>
      <w:tr>
        <w:tblPrEx>
          <w:tblCellMar>
            <w:top w:w="0" w:type="dxa"/>
            <w:left w:w="108" w:type="dxa"/>
            <w:bottom w:w="0" w:type="dxa"/>
            <w:right w:w="108" w:type="dxa"/>
          </w:tblCellMar>
        </w:tblPrEx>
        <w:trPr>
          <w:trHeight w:val="528"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人工及机械费</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点位取电（绿化带、人行道）开挖恢复</w:t>
            </w:r>
            <w:r>
              <w:rPr>
                <w:rFonts w:eastAsia="等线"/>
                <w:color w:val="000000"/>
                <w:kern w:val="0"/>
                <w:sz w:val="20"/>
                <w:szCs w:val="20"/>
              </w:rPr>
              <w:t>900</w:t>
            </w:r>
            <w:r>
              <w:rPr>
                <w:rFonts w:hint="eastAsia" w:ascii="宋体" w:hAnsi="宋体"/>
                <w:color w:val="000000"/>
                <w:kern w:val="0"/>
                <w:sz w:val="20"/>
                <w:szCs w:val="20"/>
              </w:rPr>
              <w:t>米，机械使用</w:t>
            </w:r>
            <w:r>
              <w:rPr>
                <w:rFonts w:eastAsia="等线"/>
                <w:color w:val="000000"/>
                <w:kern w:val="0"/>
                <w:sz w:val="20"/>
                <w:szCs w:val="20"/>
              </w:rPr>
              <w:t>27</w:t>
            </w:r>
            <w:r>
              <w:rPr>
                <w:rFonts w:hint="eastAsia" w:ascii="宋体" w:hAnsi="宋体"/>
                <w:color w:val="000000"/>
                <w:kern w:val="0"/>
                <w:sz w:val="20"/>
                <w:szCs w:val="20"/>
              </w:rPr>
              <w:t>天（吊车，高车，电镐，切割锯等），人工</w:t>
            </w:r>
            <w:r>
              <w:rPr>
                <w:rFonts w:eastAsia="等线"/>
                <w:color w:val="000000"/>
                <w:kern w:val="0"/>
                <w:sz w:val="20"/>
                <w:szCs w:val="20"/>
              </w:rPr>
              <w:t>135</w:t>
            </w:r>
            <w:r>
              <w:rPr>
                <w:rFonts w:hint="eastAsia" w:ascii="宋体" w:hAnsi="宋体"/>
                <w:color w:val="000000"/>
                <w:kern w:val="0"/>
                <w:sz w:val="20"/>
                <w:szCs w:val="20"/>
              </w:rPr>
              <w:t>工日（立杆施工、开挖、恢复、布线、安装、调试等）</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项</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792" w:hRule="atLeast"/>
        </w:trPr>
        <w:tc>
          <w:tcPr>
            <w:tcW w:w="60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16</w:t>
            </w:r>
          </w:p>
        </w:tc>
        <w:tc>
          <w:tcPr>
            <w:tcW w:w="74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改建卡口</w:t>
            </w:r>
            <w:r>
              <w:rPr>
                <w:rFonts w:eastAsia="等线"/>
                <w:color w:val="000000"/>
                <w:kern w:val="0"/>
                <w:sz w:val="20"/>
                <w:szCs w:val="20"/>
              </w:rPr>
              <w:t>7</w:t>
            </w:r>
            <w:r>
              <w:rPr>
                <w:rFonts w:hint="eastAsia" w:ascii="宋体" w:hAnsi="宋体"/>
                <w:color w:val="000000"/>
                <w:kern w:val="0"/>
                <w:sz w:val="20"/>
                <w:szCs w:val="20"/>
              </w:rPr>
              <w:t>处</w:t>
            </w: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抱杆箱</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箱体尺寸</w:t>
            </w:r>
            <w:r>
              <w:rPr>
                <w:rFonts w:eastAsia="等线"/>
                <w:color w:val="000000"/>
                <w:kern w:val="0"/>
                <w:sz w:val="20"/>
                <w:szCs w:val="20"/>
              </w:rPr>
              <w:t>500mm*450mm*400mm</w:t>
            </w:r>
            <w:r>
              <w:rPr>
                <w:rFonts w:hint="eastAsia" w:ascii="宋体" w:hAnsi="宋体"/>
                <w:color w:val="000000"/>
                <w:kern w:val="0"/>
                <w:sz w:val="20"/>
                <w:szCs w:val="20"/>
              </w:rPr>
              <w:t>，</w:t>
            </w:r>
            <w:r>
              <w:rPr>
                <w:rFonts w:eastAsia="等线"/>
                <w:color w:val="000000"/>
                <w:kern w:val="0"/>
                <w:sz w:val="20"/>
                <w:szCs w:val="20"/>
              </w:rPr>
              <w:t>1.2mm</w:t>
            </w:r>
            <w:r>
              <w:rPr>
                <w:rFonts w:hint="eastAsia" w:ascii="宋体" w:hAnsi="宋体"/>
                <w:color w:val="000000"/>
                <w:kern w:val="0"/>
                <w:sz w:val="20"/>
                <w:szCs w:val="20"/>
              </w:rPr>
              <w:t>厚镀锌板，集成自动重合闸、电源输出、电源防雷、网络防雷、空开、风扇、</w:t>
            </w:r>
            <w:r>
              <w:rPr>
                <w:rFonts w:eastAsia="等线"/>
                <w:color w:val="000000"/>
                <w:kern w:val="0"/>
                <w:sz w:val="20"/>
                <w:szCs w:val="20"/>
              </w:rPr>
              <w:t>LED</w:t>
            </w:r>
            <w:r>
              <w:rPr>
                <w:rFonts w:hint="eastAsia" w:ascii="宋体" w:hAnsi="宋体"/>
                <w:color w:val="000000"/>
                <w:kern w:val="0"/>
                <w:sz w:val="20"/>
                <w:szCs w:val="20"/>
              </w:rPr>
              <w:t>灯等模块于一体；支持</w:t>
            </w:r>
            <w:r>
              <w:rPr>
                <w:rFonts w:eastAsia="等线"/>
                <w:color w:val="000000"/>
                <w:kern w:val="0"/>
                <w:sz w:val="20"/>
                <w:szCs w:val="20"/>
              </w:rPr>
              <w:t>AC220V</w:t>
            </w:r>
            <w:r>
              <w:rPr>
                <w:rFonts w:hint="eastAsia" w:ascii="宋体" w:hAnsi="宋体"/>
                <w:color w:val="000000"/>
                <w:kern w:val="0"/>
                <w:sz w:val="20"/>
                <w:szCs w:val="20"/>
              </w:rPr>
              <w:t>电源插座，</w:t>
            </w:r>
            <w:r>
              <w:rPr>
                <w:rFonts w:eastAsia="等线"/>
                <w:color w:val="000000"/>
                <w:kern w:val="0"/>
                <w:sz w:val="20"/>
                <w:szCs w:val="20"/>
              </w:rPr>
              <w:t>AC24V</w:t>
            </w:r>
            <w:r>
              <w:rPr>
                <w:rFonts w:hint="eastAsia" w:ascii="宋体" w:hAnsi="宋体"/>
                <w:color w:val="000000"/>
                <w:kern w:val="0"/>
                <w:sz w:val="20"/>
                <w:szCs w:val="20"/>
              </w:rPr>
              <w:t>电源输出端子、</w:t>
            </w:r>
            <w:r>
              <w:rPr>
                <w:rFonts w:eastAsia="等线"/>
                <w:color w:val="000000"/>
                <w:kern w:val="0"/>
                <w:sz w:val="20"/>
                <w:szCs w:val="20"/>
              </w:rPr>
              <w:t>DC12V</w:t>
            </w:r>
            <w:r>
              <w:rPr>
                <w:rFonts w:hint="eastAsia" w:ascii="宋体" w:hAnsi="宋体"/>
                <w:color w:val="000000"/>
                <w:kern w:val="0"/>
                <w:sz w:val="20"/>
                <w:szCs w:val="20"/>
              </w:rPr>
              <w:t>电源输出端子；</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台</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7</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网线</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六类网线屏蔽线</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米</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315</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485</w:t>
            </w:r>
            <w:r>
              <w:rPr>
                <w:rFonts w:hint="eastAsia" w:ascii="宋体" w:hAnsi="宋体"/>
                <w:color w:val="000000"/>
                <w:kern w:val="0"/>
                <w:sz w:val="20"/>
                <w:szCs w:val="20"/>
              </w:rPr>
              <w:t>控制线</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RVVP2*1.0</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米</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225</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相机电源线</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RVV3*1.0</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米</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270</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灯电源线</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RVV3*1.0</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米</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540</w:t>
            </w:r>
          </w:p>
        </w:tc>
      </w:tr>
      <w:tr>
        <w:tblPrEx>
          <w:tblCellMar>
            <w:top w:w="0" w:type="dxa"/>
            <w:left w:w="108" w:type="dxa"/>
            <w:bottom w:w="0" w:type="dxa"/>
            <w:right w:w="108" w:type="dxa"/>
          </w:tblCellMar>
        </w:tblPrEx>
        <w:trPr>
          <w:trHeight w:val="504"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人工及机械费</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顶管</w:t>
            </w:r>
            <w:r>
              <w:rPr>
                <w:rFonts w:eastAsia="等线"/>
                <w:color w:val="000000"/>
                <w:kern w:val="0"/>
                <w:sz w:val="20"/>
                <w:szCs w:val="20"/>
              </w:rPr>
              <w:t>φ110PE</w:t>
            </w:r>
            <w:r>
              <w:rPr>
                <w:rFonts w:hint="eastAsia" w:ascii="宋体" w:hAnsi="宋体"/>
                <w:color w:val="000000"/>
                <w:kern w:val="0"/>
                <w:sz w:val="20"/>
                <w:szCs w:val="20"/>
              </w:rPr>
              <w:t>管</w:t>
            </w:r>
            <w:r>
              <w:rPr>
                <w:rFonts w:eastAsia="等线"/>
                <w:color w:val="000000"/>
                <w:kern w:val="0"/>
                <w:sz w:val="20"/>
                <w:szCs w:val="20"/>
              </w:rPr>
              <w:t>120</w:t>
            </w:r>
            <w:r>
              <w:rPr>
                <w:rFonts w:hint="eastAsia" w:ascii="宋体" w:hAnsi="宋体"/>
                <w:color w:val="000000"/>
                <w:kern w:val="0"/>
                <w:sz w:val="20"/>
                <w:szCs w:val="20"/>
              </w:rPr>
              <w:t>米，机械使用</w:t>
            </w:r>
            <w:r>
              <w:rPr>
                <w:rFonts w:eastAsia="等线"/>
                <w:color w:val="000000"/>
                <w:kern w:val="0"/>
                <w:sz w:val="20"/>
                <w:szCs w:val="20"/>
              </w:rPr>
              <w:t>27</w:t>
            </w:r>
            <w:r>
              <w:rPr>
                <w:rFonts w:hint="eastAsia" w:ascii="宋体" w:hAnsi="宋体"/>
                <w:color w:val="000000"/>
                <w:kern w:val="0"/>
                <w:sz w:val="20"/>
                <w:szCs w:val="20"/>
              </w:rPr>
              <w:t>天（吊车，高车，电镐，切割锯等），人工</w:t>
            </w:r>
            <w:r>
              <w:rPr>
                <w:rFonts w:eastAsia="等线"/>
                <w:color w:val="000000"/>
                <w:kern w:val="0"/>
                <w:sz w:val="20"/>
                <w:szCs w:val="20"/>
              </w:rPr>
              <w:t>135</w:t>
            </w:r>
            <w:r>
              <w:rPr>
                <w:rFonts w:hint="eastAsia" w:ascii="宋体" w:hAnsi="宋体"/>
                <w:color w:val="000000"/>
                <w:kern w:val="0"/>
                <w:sz w:val="20"/>
                <w:szCs w:val="20"/>
              </w:rPr>
              <w:t>工日（立杆施工、开挖、恢复、布线、安装、调试等）</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项</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276" w:hRule="atLeast"/>
        </w:trPr>
        <w:tc>
          <w:tcPr>
            <w:tcW w:w="604"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b/>
                <w:bCs/>
                <w:color w:val="000000"/>
                <w:kern w:val="0"/>
                <w:sz w:val="20"/>
                <w:szCs w:val="20"/>
              </w:rPr>
            </w:pPr>
            <w:r>
              <w:rPr>
                <w:rFonts w:hint="eastAsia" w:ascii="宋体" w:hAnsi="宋体" w:cs="宋体"/>
                <w:b/>
                <w:bCs/>
                <w:color w:val="000000"/>
                <w:kern w:val="0"/>
                <w:sz w:val="20"/>
                <w:szCs w:val="20"/>
              </w:rPr>
              <w:t>二</w:t>
            </w:r>
          </w:p>
        </w:tc>
        <w:tc>
          <w:tcPr>
            <w:tcW w:w="8865"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b/>
                <w:bCs/>
                <w:color w:val="000000"/>
                <w:kern w:val="0"/>
                <w:sz w:val="20"/>
                <w:szCs w:val="20"/>
              </w:rPr>
            </w:pPr>
            <w:r>
              <w:rPr>
                <w:rFonts w:hint="eastAsia" w:ascii="宋体" w:hAnsi="宋体" w:cs="宋体"/>
                <w:b/>
                <w:bCs/>
                <w:color w:val="000000"/>
                <w:kern w:val="0"/>
                <w:sz w:val="20"/>
                <w:szCs w:val="20"/>
              </w:rPr>
              <w:t>安全系统服务</w:t>
            </w:r>
          </w:p>
        </w:tc>
      </w:tr>
      <w:tr>
        <w:tblPrEx>
          <w:tblCellMar>
            <w:top w:w="0" w:type="dxa"/>
            <w:left w:w="108" w:type="dxa"/>
            <w:bottom w:w="0" w:type="dxa"/>
            <w:right w:w="108" w:type="dxa"/>
          </w:tblCellMar>
        </w:tblPrEx>
        <w:trPr>
          <w:trHeight w:val="2112" w:hRule="atLeast"/>
        </w:trPr>
        <w:tc>
          <w:tcPr>
            <w:tcW w:w="604"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eastAsia="等线"/>
                <w:kern w:val="0"/>
                <w:sz w:val="20"/>
                <w:szCs w:val="20"/>
              </w:rPr>
              <w:t>1</w:t>
            </w:r>
          </w:p>
        </w:tc>
        <w:tc>
          <w:tcPr>
            <w:tcW w:w="74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视频专网</w:t>
            </w:r>
            <w:r>
              <w:rPr>
                <w:rFonts w:eastAsia="等线"/>
                <w:color w:val="000000"/>
                <w:kern w:val="0"/>
                <w:sz w:val="20"/>
                <w:szCs w:val="20"/>
              </w:rPr>
              <w:t>-</w:t>
            </w:r>
            <w:r>
              <w:rPr>
                <w:rFonts w:hint="eastAsia" w:ascii="宋体" w:hAnsi="宋体"/>
                <w:color w:val="000000"/>
                <w:kern w:val="0"/>
                <w:sz w:val="20"/>
                <w:szCs w:val="20"/>
              </w:rPr>
              <w:t>政务网边界</w:t>
            </w: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hint="eastAsia" w:ascii="宋体" w:hAnsi="宋体"/>
                <w:kern w:val="0"/>
                <w:sz w:val="20"/>
                <w:szCs w:val="20"/>
              </w:rPr>
              <w:t>下一代防火墙（视频专网</w:t>
            </w:r>
            <w:r>
              <w:rPr>
                <w:rFonts w:eastAsia="等线"/>
                <w:kern w:val="0"/>
                <w:sz w:val="20"/>
                <w:szCs w:val="20"/>
              </w:rPr>
              <w:t>-</w:t>
            </w:r>
            <w:r>
              <w:rPr>
                <w:rFonts w:hint="eastAsia" w:ascii="宋体" w:hAnsi="宋体"/>
                <w:kern w:val="0"/>
                <w:sz w:val="20"/>
                <w:szCs w:val="20"/>
              </w:rPr>
              <w:t>政务网边界</w:t>
            </w:r>
            <w:r>
              <w:rPr>
                <w:rFonts w:eastAsia="等线"/>
                <w:kern w:val="0"/>
                <w:sz w:val="20"/>
                <w:szCs w:val="20"/>
              </w:rPr>
              <w:t>)</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kern w:val="0"/>
                <w:sz w:val="20"/>
                <w:szCs w:val="20"/>
              </w:rPr>
            </w:pPr>
            <w:r>
              <w:rPr>
                <w:rFonts w:hint="eastAsia" w:ascii="宋体" w:hAnsi="宋体"/>
                <w:kern w:val="0"/>
                <w:sz w:val="20"/>
                <w:szCs w:val="20"/>
              </w:rPr>
              <w:t>性能参数：网络层吞吐量≥</w:t>
            </w:r>
            <w:r>
              <w:rPr>
                <w:rFonts w:eastAsia="等线"/>
                <w:kern w:val="0"/>
                <w:sz w:val="20"/>
                <w:szCs w:val="20"/>
              </w:rPr>
              <w:t>12G</w:t>
            </w:r>
            <w:r>
              <w:rPr>
                <w:rFonts w:hint="eastAsia" w:ascii="宋体" w:hAnsi="宋体"/>
                <w:kern w:val="0"/>
                <w:sz w:val="20"/>
                <w:szCs w:val="20"/>
              </w:rPr>
              <w:t>，应用层吞吐量≥</w:t>
            </w:r>
            <w:r>
              <w:rPr>
                <w:rFonts w:eastAsia="等线"/>
                <w:kern w:val="0"/>
                <w:sz w:val="20"/>
                <w:szCs w:val="20"/>
              </w:rPr>
              <w:t>6G</w:t>
            </w:r>
            <w:r>
              <w:rPr>
                <w:rFonts w:hint="eastAsia" w:ascii="宋体" w:hAnsi="宋体"/>
                <w:kern w:val="0"/>
                <w:sz w:val="20"/>
                <w:szCs w:val="20"/>
              </w:rPr>
              <w:t>，防病毒吞吐量≥</w:t>
            </w:r>
            <w:r>
              <w:rPr>
                <w:rFonts w:eastAsia="等线"/>
                <w:kern w:val="0"/>
                <w:sz w:val="20"/>
                <w:szCs w:val="20"/>
              </w:rPr>
              <w:t>1G</w:t>
            </w:r>
            <w:r>
              <w:rPr>
                <w:rFonts w:hint="eastAsia" w:ascii="宋体" w:hAnsi="宋体"/>
                <w:kern w:val="0"/>
                <w:sz w:val="20"/>
                <w:szCs w:val="20"/>
              </w:rPr>
              <w:t>，</w:t>
            </w:r>
            <w:r>
              <w:rPr>
                <w:rFonts w:eastAsia="等线"/>
                <w:kern w:val="0"/>
                <w:sz w:val="20"/>
                <w:szCs w:val="20"/>
              </w:rPr>
              <w:t>IPS</w:t>
            </w:r>
            <w:r>
              <w:rPr>
                <w:rFonts w:hint="eastAsia" w:ascii="宋体" w:hAnsi="宋体"/>
                <w:kern w:val="0"/>
                <w:sz w:val="20"/>
                <w:szCs w:val="20"/>
              </w:rPr>
              <w:t>吞吐量≥</w:t>
            </w:r>
            <w:r>
              <w:rPr>
                <w:rFonts w:eastAsia="等线"/>
                <w:kern w:val="0"/>
                <w:sz w:val="20"/>
                <w:szCs w:val="20"/>
              </w:rPr>
              <w:t>1G</w:t>
            </w:r>
            <w:r>
              <w:rPr>
                <w:rFonts w:hint="eastAsia" w:ascii="宋体" w:hAnsi="宋体"/>
                <w:kern w:val="0"/>
                <w:sz w:val="20"/>
                <w:szCs w:val="20"/>
              </w:rPr>
              <w:t>，并发连接数≥</w:t>
            </w:r>
            <w:r>
              <w:rPr>
                <w:rFonts w:eastAsia="等线"/>
                <w:kern w:val="0"/>
                <w:sz w:val="20"/>
                <w:szCs w:val="20"/>
              </w:rPr>
              <w:t>200</w:t>
            </w:r>
            <w:r>
              <w:rPr>
                <w:rFonts w:hint="eastAsia" w:ascii="宋体" w:hAnsi="宋体"/>
                <w:kern w:val="0"/>
                <w:sz w:val="20"/>
                <w:szCs w:val="20"/>
              </w:rPr>
              <w:t>万，</w:t>
            </w:r>
            <w:r>
              <w:rPr>
                <w:rFonts w:eastAsia="等线"/>
                <w:kern w:val="0"/>
                <w:sz w:val="20"/>
                <w:szCs w:val="20"/>
              </w:rPr>
              <w:t>HTTP</w:t>
            </w:r>
            <w:r>
              <w:rPr>
                <w:rFonts w:hint="eastAsia" w:ascii="宋体" w:hAnsi="宋体"/>
                <w:kern w:val="0"/>
                <w:sz w:val="20"/>
                <w:szCs w:val="20"/>
              </w:rPr>
              <w:t>新建连接数≥</w:t>
            </w:r>
            <w:r>
              <w:rPr>
                <w:rFonts w:eastAsia="等线"/>
                <w:kern w:val="0"/>
                <w:sz w:val="20"/>
                <w:szCs w:val="20"/>
              </w:rPr>
              <w:t>9</w:t>
            </w:r>
            <w:r>
              <w:rPr>
                <w:rFonts w:hint="eastAsia" w:ascii="宋体" w:hAnsi="宋体"/>
                <w:kern w:val="0"/>
                <w:sz w:val="20"/>
                <w:szCs w:val="20"/>
              </w:rPr>
              <w:t>万；</w:t>
            </w:r>
            <w:r>
              <w:rPr>
                <w:rFonts w:hint="eastAsia" w:ascii="宋体" w:hAnsi="宋体"/>
                <w:kern w:val="0"/>
                <w:sz w:val="20"/>
                <w:szCs w:val="20"/>
              </w:rPr>
              <w:br w:type="textWrapping"/>
            </w:r>
            <w:r>
              <w:rPr>
                <w:rFonts w:hint="eastAsia" w:ascii="宋体" w:hAnsi="宋体"/>
                <w:kern w:val="0"/>
                <w:sz w:val="20"/>
                <w:szCs w:val="20"/>
              </w:rPr>
              <w:t>硬件参数：规格≥</w:t>
            </w:r>
            <w:r>
              <w:rPr>
                <w:rFonts w:eastAsia="等线"/>
                <w:kern w:val="0"/>
                <w:sz w:val="20"/>
                <w:szCs w:val="20"/>
              </w:rPr>
              <w:t>2U</w:t>
            </w:r>
            <w:r>
              <w:rPr>
                <w:rFonts w:hint="eastAsia" w:ascii="宋体" w:hAnsi="宋体"/>
                <w:kern w:val="0"/>
                <w:sz w:val="20"/>
                <w:szCs w:val="20"/>
              </w:rPr>
              <w:t>，内存大小≥</w:t>
            </w:r>
            <w:r>
              <w:rPr>
                <w:rFonts w:eastAsia="等线"/>
                <w:kern w:val="0"/>
                <w:sz w:val="20"/>
                <w:szCs w:val="20"/>
              </w:rPr>
              <w:t>8G</w:t>
            </w:r>
            <w:r>
              <w:rPr>
                <w:rFonts w:hint="eastAsia" w:ascii="宋体" w:hAnsi="宋体"/>
                <w:kern w:val="0"/>
                <w:sz w:val="20"/>
                <w:szCs w:val="20"/>
              </w:rPr>
              <w:t>，硬盘容量≥</w:t>
            </w:r>
            <w:r>
              <w:rPr>
                <w:rFonts w:eastAsia="等线"/>
                <w:kern w:val="0"/>
                <w:sz w:val="20"/>
                <w:szCs w:val="20"/>
              </w:rPr>
              <w:t>64G SSD+480G SSD</w:t>
            </w:r>
            <w:r>
              <w:rPr>
                <w:rFonts w:hint="eastAsia" w:ascii="宋体" w:hAnsi="宋体"/>
                <w:kern w:val="0"/>
                <w:sz w:val="20"/>
                <w:szCs w:val="20"/>
              </w:rPr>
              <w:t>，电源：冗余电源，接口≥</w:t>
            </w:r>
            <w:r>
              <w:rPr>
                <w:rFonts w:eastAsia="等线"/>
                <w:kern w:val="0"/>
                <w:sz w:val="20"/>
                <w:szCs w:val="20"/>
              </w:rPr>
              <w:t>16</w:t>
            </w:r>
            <w:r>
              <w:rPr>
                <w:rFonts w:hint="eastAsia" w:ascii="宋体" w:hAnsi="宋体"/>
                <w:kern w:val="0"/>
                <w:sz w:val="20"/>
                <w:szCs w:val="20"/>
              </w:rPr>
              <w:t>千兆电口</w:t>
            </w:r>
            <w:r>
              <w:rPr>
                <w:rFonts w:eastAsia="等线"/>
                <w:kern w:val="0"/>
                <w:sz w:val="20"/>
                <w:szCs w:val="20"/>
              </w:rPr>
              <w:t>+2</w:t>
            </w:r>
            <w:r>
              <w:rPr>
                <w:rFonts w:hint="eastAsia" w:ascii="宋体" w:hAnsi="宋体"/>
                <w:kern w:val="0"/>
                <w:sz w:val="20"/>
                <w:szCs w:val="20"/>
              </w:rPr>
              <w:t>千兆光口</w:t>
            </w:r>
            <w:r>
              <w:rPr>
                <w:rFonts w:eastAsia="等线"/>
                <w:kern w:val="0"/>
                <w:sz w:val="20"/>
                <w:szCs w:val="20"/>
              </w:rPr>
              <w:t>SFP+4</w:t>
            </w:r>
            <w:r>
              <w:rPr>
                <w:rFonts w:hint="eastAsia" w:ascii="宋体" w:hAnsi="宋体"/>
                <w:kern w:val="0"/>
                <w:sz w:val="20"/>
                <w:szCs w:val="20"/>
              </w:rPr>
              <w:t>万兆光口</w:t>
            </w:r>
            <w:r>
              <w:rPr>
                <w:rFonts w:eastAsia="等线"/>
                <w:kern w:val="0"/>
                <w:sz w:val="20"/>
                <w:szCs w:val="20"/>
              </w:rPr>
              <w:t>SFP+</w:t>
            </w:r>
            <w:r>
              <w:rPr>
                <w:rFonts w:hint="eastAsia" w:ascii="宋体" w:hAnsi="宋体"/>
                <w:kern w:val="0"/>
                <w:sz w:val="20"/>
                <w:szCs w:val="20"/>
              </w:rPr>
              <w:t>。</w:t>
            </w:r>
            <w:r>
              <w:rPr>
                <w:rFonts w:hint="eastAsia" w:ascii="宋体" w:hAnsi="宋体"/>
                <w:kern w:val="0"/>
                <w:sz w:val="20"/>
                <w:szCs w:val="20"/>
              </w:rPr>
              <w:br w:type="textWrapping"/>
            </w:r>
            <w:r>
              <w:rPr>
                <w:rFonts w:hint="eastAsia" w:ascii="宋体" w:hAnsi="宋体"/>
                <w:kern w:val="0"/>
                <w:sz w:val="20"/>
                <w:szCs w:val="20"/>
              </w:rPr>
              <w:t>含：</w:t>
            </w:r>
            <w:r>
              <w:rPr>
                <w:rFonts w:eastAsia="等线"/>
                <w:kern w:val="0"/>
                <w:sz w:val="20"/>
                <w:szCs w:val="20"/>
              </w:rPr>
              <w:t>IPS/WAF</w:t>
            </w:r>
            <w:r>
              <w:rPr>
                <w:rFonts w:hint="eastAsia" w:ascii="宋体" w:hAnsi="宋体"/>
                <w:kern w:val="0"/>
                <w:sz w:val="20"/>
                <w:szCs w:val="20"/>
              </w:rPr>
              <w:t>功能模块永久授权，含防火墙软件基础级</w:t>
            </w:r>
            <w:r>
              <w:rPr>
                <w:rFonts w:eastAsia="等线"/>
                <w:kern w:val="0"/>
                <w:sz w:val="20"/>
                <w:szCs w:val="20"/>
              </w:rPr>
              <w:t>(*1</w:t>
            </w:r>
            <w:r>
              <w:rPr>
                <w:rFonts w:hint="eastAsia" w:ascii="宋体" w:hAnsi="宋体"/>
                <w:kern w:val="0"/>
                <w:sz w:val="20"/>
                <w:szCs w:val="20"/>
              </w:rPr>
              <w:t>套</w:t>
            </w:r>
            <w:r>
              <w:rPr>
                <w:rFonts w:eastAsia="等线"/>
                <w:kern w:val="0"/>
                <w:sz w:val="20"/>
                <w:szCs w:val="20"/>
              </w:rPr>
              <w:t>);</w:t>
            </w:r>
            <w:r>
              <w:rPr>
                <w:rFonts w:hint="eastAsia" w:ascii="宋体" w:hAnsi="宋体"/>
                <w:kern w:val="0"/>
                <w:sz w:val="20"/>
                <w:szCs w:val="20"/>
              </w:rPr>
              <w:t>防火墙增强级模块</w:t>
            </w:r>
            <w:r>
              <w:rPr>
                <w:rFonts w:eastAsia="等线"/>
                <w:kern w:val="0"/>
                <w:sz w:val="20"/>
                <w:szCs w:val="20"/>
              </w:rPr>
              <w:t>(*1</w:t>
            </w:r>
            <w:r>
              <w:rPr>
                <w:rFonts w:hint="eastAsia" w:ascii="宋体" w:hAnsi="宋体"/>
                <w:kern w:val="0"/>
                <w:sz w:val="20"/>
                <w:szCs w:val="20"/>
              </w:rPr>
              <w:t>套</w:t>
            </w:r>
            <w:r>
              <w:rPr>
                <w:rFonts w:eastAsia="等线"/>
                <w:kern w:val="0"/>
                <w:sz w:val="20"/>
                <w:szCs w:val="20"/>
              </w:rPr>
              <w:t>);</w:t>
            </w:r>
            <w:r>
              <w:rPr>
                <w:rFonts w:hint="eastAsia" w:ascii="宋体" w:hAnsi="宋体"/>
                <w:kern w:val="0"/>
                <w:sz w:val="20"/>
                <w:szCs w:val="20"/>
              </w:rPr>
              <w:t>防火墙安全规则库更新</w:t>
            </w:r>
            <w:r>
              <w:rPr>
                <w:rFonts w:eastAsia="等线"/>
                <w:kern w:val="0"/>
                <w:sz w:val="20"/>
                <w:szCs w:val="20"/>
              </w:rPr>
              <w:t>(*3</w:t>
            </w:r>
            <w:r>
              <w:rPr>
                <w:rFonts w:hint="eastAsia" w:ascii="宋体" w:hAnsi="宋体"/>
                <w:kern w:val="0"/>
                <w:sz w:val="20"/>
                <w:szCs w:val="20"/>
              </w:rPr>
              <w:t>年</w:t>
            </w:r>
            <w:r>
              <w:rPr>
                <w:rFonts w:eastAsia="等线"/>
                <w:kern w:val="0"/>
                <w:sz w:val="20"/>
                <w:szCs w:val="20"/>
              </w:rPr>
              <w:t>);</w:t>
            </w:r>
            <w:r>
              <w:rPr>
                <w:rFonts w:eastAsia="等线"/>
                <w:kern w:val="0"/>
                <w:sz w:val="20"/>
                <w:szCs w:val="20"/>
              </w:rPr>
              <w:br w:type="textWrapping"/>
            </w:r>
            <w:r>
              <w:rPr>
                <w:rFonts w:hint="eastAsia" w:ascii="宋体" w:hAnsi="宋体"/>
                <w:kern w:val="0"/>
                <w:sz w:val="20"/>
                <w:szCs w:val="20"/>
              </w:rPr>
              <w:t>产品质保</w:t>
            </w:r>
            <w:r>
              <w:rPr>
                <w:rFonts w:eastAsia="等线"/>
                <w:kern w:val="0"/>
                <w:sz w:val="20"/>
                <w:szCs w:val="20"/>
              </w:rPr>
              <w:t>(*3</w:t>
            </w:r>
            <w:r>
              <w:rPr>
                <w:rFonts w:hint="eastAsia" w:ascii="宋体" w:hAnsi="宋体"/>
                <w:kern w:val="0"/>
                <w:sz w:val="20"/>
                <w:szCs w:val="20"/>
              </w:rPr>
              <w:t>年</w:t>
            </w:r>
            <w:r>
              <w:rPr>
                <w:rFonts w:eastAsia="等线"/>
                <w:kern w:val="0"/>
                <w:sz w:val="20"/>
                <w:szCs w:val="20"/>
              </w:rPr>
              <w:t>);</w:t>
            </w:r>
            <w:r>
              <w:rPr>
                <w:rFonts w:eastAsia="等线"/>
                <w:kern w:val="0"/>
                <w:sz w:val="20"/>
                <w:szCs w:val="20"/>
              </w:rPr>
              <w:br w:type="textWrapping"/>
            </w:r>
            <w:r>
              <w:rPr>
                <w:rFonts w:hint="eastAsia" w:ascii="宋体" w:hAnsi="宋体"/>
                <w:kern w:val="0"/>
                <w:sz w:val="20"/>
                <w:szCs w:val="20"/>
              </w:rPr>
              <w:t>软件升级</w:t>
            </w:r>
            <w:r>
              <w:rPr>
                <w:rFonts w:eastAsia="等线"/>
                <w:kern w:val="0"/>
                <w:sz w:val="20"/>
                <w:szCs w:val="20"/>
              </w:rPr>
              <w:t>(*3</w:t>
            </w:r>
            <w:r>
              <w:rPr>
                <w:rFonts w:hint="eastAsia" w:ascii="宋体" w:hAnsi="宋体"/>
                <w:kern w:val="0"/>
                <w:sz w:val="20"/>
                <w:szCs w:val="20"/>
              </w:rPr>
              <w:t>年</w:t>
            </w:r>
            <w:r>
              <w:rPr>
                <w:rFonts w:eastAsia="等线"/>
                <w:kern w:val="0"/>
                <w:sz w:val="20"/>
                <w:szCs w:val="20"/>
              </w:rPr>
              <w:t>);</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hint="eastAsia" w:ascii="宋体" w:hAnsi="宋体"/>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eastAsia="等线"/>
                <w:kern w:val="0"/>
                <w:sz w:val="20"/>
                <w:szCs w:val="20"/>
              </w:rPr>
              <w:t>1</w:t>
            </w:r>
          </w:p>
        </w:tc>
      </w:tr>
      <w:tr>
        <w:tblPrEx>
          <w:tblCellMar>
            <w:top w:w="0" w:type="dxa"/>
            <w:left w:w="108" w:type="dxa"/>
            <w:bottom w:w="0" w:type="dxa"/>
            <w:right w:w="108" w:type="dxa"/>
          </w:tblCellMar>
        </w:tblPrEx>
        <w:trPr>
          <w:trHeight w:val="1824" w:hRule="atLeast"/>
        </w:trPr>
        <w:tc>
          <w:tcPr>
            <w:tcW w:w="604"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eastAsia="等线"/>
                <w:kern w:val="0"/>
                <w:sz w:val="20"/>
                <w:szCs w:val="20"/>
              </w:rPr>
              <w:t>2</w:t>
            </w: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hint="eastAsia" w:ascii="宋体" w:hAnsi="宋体"/>
                <w:kern w:val="0"/>
                <w:sz w:val="20"/>
                <w:szCs w:val="20"/>
              </w:rPr>
              <w:t>网闸</w:t>
            </w:r>
            <w:r>
              <w:rPr>
                <w:rFonts w:eastAsia="等线"/>
                <w:kern w:val="0"/>
                <w:sz w:val="20"/>
                <w:szCs w:val="20"/>
              </w:rPr>
              <w:t>(</w:t>
            </w:r>
            <w:r>
              <w:rPr>
                <w:rFonts w:hint="eastAsia" w:ascii="宋体" w:hAnsi="宋体"/>
                <w:kern w:val="0"/>
                <w:sz w:val="20"/>
                <w:szCs w:val="20"/>
              </w:rPr>
              <w:t>视频专网</w:t>
            </w:r>
            <w:r>
              <w:rPr>
                <w:rFonts w:eastAsia="等线"/>
                <w:kern w:val="0"/>
                <w:sz w:val="20"/>
                <w:szCs w:val="20"/>
              </w:rPr>
              <w:t>-</w:t>
            </w:r>
            <w:r>
              <w:rPr>
                <w:rFonts w:hint="eastAsia" w:ascii="宋体" w:hAnsi="宋体"/>
                <w:kern w:val="0"/>
                <w:sz w:val="20"/>
                <w:szCs w:val="20"/>
              </w:rPr>
              <w:t>政务网边界</w:t>
            </w:r>
            <w:r>
              <w:rPr>
                <w:rFonts w:eastAsia="等线"/>
                <w:kern w:val="0"/>
                <w:sz w:val="20"/>
                <w:szCs w:val="20"/>
              </w:rPr>
              <w:t>)</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kern w:val="0"/>
                <w:sz w:val="20"/>
                <w:szCs w:val="20"/>
              </w:rPr>
            </w:pPr>
            <w:r>
              <w:rPr>
                <w:rFonts w:hint="eastAsia" w:ascii="宋体" w:hAnsi="宋体"/>
                <w:kern w:val="0"/>
                <w:sz w:val="20"/>
                <w:szCs w:val="20"/>
              </w:rPr>
              <w:t>性能参数：吞吐量≥</w:t>
            </w:r>
            <w:r>
              <w:rPr>
                <w:rFonts w:eastAsia="等线"/>
                <w:kern w:val="0"/>
                <w:sz w:val="20"/>
                <w:szCs w:val="20"/>
              </w:rPr>
              <w:t>1Gbps</w:t>
            </w:r>
            <w:r>
              <w:rPr>
                <w:rFonts w:hint="eastAsia" w:ascii="宋体" w:hAnsi="宋体"/>
                <w:kern w:val="0"/>
                <w:sz w:val="20"/>
                <w:szCs w:val="20"/>
              </w:rPr>
              <w:t>，最大并发连接数≥</w:t>
            </w:r>
            <w:r>
              <w:rPr>
                <w:rFonts w:eastAsia="等线"/>
                <w:kern w:val="0"/>
                <w:sz w:val="20"/>
                <w:szCs w:val="20"/>
              </w:rPr>
              <w:t>50</w:t>
            </w:r>
            <w:r>
              <w:rPr>
                <w:rFonts w:hint="eastAsia" w:ascii="宋体" w:hAnsi="宋体"/>
                <w:kern w:val="0"/>
                <w:sz w:val="20"/>
                <w:szCs w:val="20"/>
              </w:rPr>
              <w:t>万。</w:t>
            </w:r>
            <w:r>
              <w:rPr>
                <w:rFonts w:hint="eastAsia" w:ascii="宋体" w:hAnsi="宋体"/>
                <w:kern w:val="0"/>
                <w:sz w:val="20"/>
                <w:szCs w:val="20"/>
              </w:rPr>
              <w:br w:type="textWrapping"/>
            </w:r>
            <w:r>
              <w:rPr>
                <w:rFonts w:hint="eastAsia" w:ascii="宋体" w:hAnsi="宋体"/>
                <w:kern w:val="0"/>
                <w:sz w:val="20"/>
                <w:szCs w:val="20"/>
              </w:rPr>
              <w:t>尺寸≥</w:t>
            </w:r>
            <w:r>
              <w:rPr>
                <w:rFonts w:eastAsia="等线"/>
                <w:kern w:val="0"/>
                <w:sz w:val="20"/>
                <w:szCs w:val="20"/>
              </w:rPr>
              <w:t>2U</w:t>
            </w:r>
            <w:r>
              <w:rPr>
                <w:rFonts w:hint="eastAsia" w:ascii="宋体" w:hAnsi="宋体"/>
                <w:kern w:val="0"/>
                <w:sz w:val="20"/>
                <w:szCs w:val="20"/>
              </w:rPr>
              <w:t>，</w:t>
            </w:r>
            <w:r>
              <w:rPr>
                <w:rFonts w:eastAsia="等线"/>
                <w:kern w:val="0"/>
                <w:sz w:val="20"/>
                <w:szCs w:val="20"/>
              </w:rPr>
              <w:t>“</w:t>
            </w:r>
            <w:r>
              <w:rPr>
                <w:rFonts w:hint="eastAsia" w:ascii="宋体" w:hAnsi="宋体"/>
                <w:kern w:val="0"/>
                <w:sz w:val="20"/>
                <w:szCs w:val="20"/>
              </w:rPr>
              <w:t>双主机</w:t>
            </w:r>
            <w:r>
              <w:rPr>
                <w:rFonts w:eastAsia="等线"/>
                <w:kern w:val="0"/>
                <w:sz w:val="20"/>
                <w:szCs w:val="20"/>
              </w:rPr>
              <w:t>+</w:t>
            </w:r>
            <w:r>
              <w:rPr>
                <w:rFonts w:hint="eastAsia" w:ascii="宋体" w:hAnsi="宋体"/>
                <w:kern w:val="0"/>
                <w:sz w:val="20"/>
                <w:szCs w:val="20"/>
              </w:rPr>
              <w:t>隔离卡</w:t>
            </w:r>
            <w:r>
              <w:rPr>
                <w:rFonts w:eastAsia="等线"/>
                <w:kern w:val="0"/>
                <w:sz w:val="20"/>
                <w:szCs w:val="20"/>
              </w:rPr>
              <w:t>”</w:t>
            </w:r>
            <w:r>
              <w:rPr>
                <w:rFonts w:hint="eastAsia" w:ascii="宋体" w:hAnsi="宋体"/>
                <w:kern w:val="0"/>
                <w:sz w:val="20"/>
                <w:szCs w:val="20"/>
              </w:rPr>
              <w:t>架构，单主机接口要求≥</w:t>
            </w:r>
            <w:r>
              <w:rPr>
                <w:rFonts w:eastAsia="等线"/>
                <w:kern w:val="0"/>
                <w:sz w:val="20"/>
                <w:szCs w:val="20"/>
              </w:rPr>
              <w:t>6</w:t>
            </w:r>
            <w:r>
              <w:rPr>
                <w:rFonts w:hint="eastAsia" w:ascii="宋体" w:hAnsi="宋体"/>
                <w:kern w:val="0"/>
                <w:sz w:val="20"/>
                <w:szCs w:val="20"/>
              </w:rPr>
              <w:t>电</w:t>
            </w:r>
            <w:r>
              <w:rPr>
                <w:rFonts w:eastAsia="等线"/>
                <w:kern w:val="0"/>
                <w:sz w:val="20"/>
                <w:szCs w:val="20"/>
              </w:rPr>
              <w:t>4</w:t>
            </w:r>
            <w:r>
              <w:rPr>
                <w:rFonts w:hint="eastAsia" w:ascii="宋体" w:hAnsi="宋体"/>
                <w:kern w:val="0"/>
                <w:sz w:val="20"/>
                <w:szCs w:val="20"/>
              </w:rPr>
              <w:t>光，内存≥</w:t>
            </w:r>
            <w:r>
              <w:rPr>
                <w:rFonts w:eastAsia="等线"/>
                <w:kern w:val="0"/>
                <w:sz w:val="20"/>
                <w:szCs w:val="20"/>
              </w:rPr>
              <w:t>4GB</w:t>
            </w:r>
            <w:r>
              <w:rPr>
                <w:rFonts w:hint="eastAsia" w:ascii="宋体" w:hAnsi="宋体"/>
                <w:kern w:val="0"/>
                <w:sz w:val="20"/>
                <w:szCs w:val="20"/>
              </w:rPr>
              <w:t>，硬盘≥</w:t>
            </w:r>
            <w:r>
              <w:rPr>
                <w:rFonts w:eastAsia="等线"/>
                <w:kern w:val="0"/>
                <w:sz w:val="20"/>
                <w:szCs w:val="20"/>
              </w:rPr>
              <w:t>64G SSD</w:t>
            </w:r>
            <w:r>
              <w:rPr>
                <w:rFonts w:hint="eastAsia" w:ascii="宋体" w:hAnsi="宋体"/>
                <w:kern w:val="0"/>
                <w:sz w:val="20"/>
                <w:szCs w:val="20"/>
              </w:rPr>
              <w:t>，冗余电源。</w:t>
            </w:r>
            <w:r>
              <w:rPr>
                <w:rFonts w:hint="eastAsia" w:ascii="宋体" w:hAnsi="宋体"/>
                <w:kern w:val="0"/>
                <w:sz w:val="20"/>
                <w:szCs w:val="20"/>
              </w:rPr>
              <w:br w:type="textWrapping"/>
            </w:r>
            <w:r>
              <w:rPr>
                <w:rFonts w:hint="eastAsia" w:ascii="宋体" w:hAnsi="宋体"/>
                <w:kern w:val="0"/>
                <w:sz w:val="20"/>
                <w:szCs w:val="20"/>
              </w:rPr>
              <w:t>含：</w:t>
            </w:r>
            <w:r>
              <w:rPr>
                <w:rFonts w:hint="eastAsia" w:ascii="宋体" w:hAnsi="宋体"/>
                <w:kern w:val="0"/>
                <w:sz w:val="20"/>
                <w:szCs w:val="20"/>
              </w:rPr>
              <w:br w:type="textWrapping"/>
            </w:r>
            <w:r>
              <w:rPr>
                <w:rFonts w:hint="eastAsia" w:ascii="宋体" w:hAnsi="宋体"/>
                <w:kern w:val="0"/>
                <w:sz w:val="20"/>
                <w:szCs w:val="20"/>
              </w:rPr>
              <w:t>安全隔离与信息交换系统软件</w:t>
            </w:r>
            <w:r>
              <w:rPr>
                <w:rFonts w:eastAsia="等线"/>
                <w:kern w:val="0"/>
                <w:sz w:val="20"/>
                <w:szCs w:val="20"/>
              </w:rPr>
              <w:t>(*1</w:t>
            </w:r>
            <w:r>
              <w:rPr>
                <w:rFonts w:hint="eastAsia" w:ascii="宋体" w:hAnsi="宋体"/>
                <w:kern w:val="0"/>
                <w:sz w:val="20"/>
                <w:szCs w:val="20"/>
              </w:rPr>
              <w:t>套</w:t>
            </w:r>
            <w:r>
              <w:rPr>
                <w:rFonts w:eastAsia="等线"/>
                <w:kern w:val="0"/>
                <w:sz w:val="20"/>
                <w:szCs w:val="20"/>
              </w:rPr>
              <w:t>);</w:t>
            </w:r>
            <w:r>
              <w:rPr>
                <w:rFonts w:eastAsia="等线"/>
                <w:kern w:val="0"/>
                <w:sz w:val="20"/>
                <w:szCs w:val="20"/>
              </w:rPr>
              <w:br w:type="textWrapping"/>
            </w:r>
            <w:r>
              <w:rPr>
                <w:rFonts w:hint="eastAsia" w:ascii="宋体" w:hAnsi="宋体"/>
                <w:kern w:val="0"/>
                <w:sz w:val="20"/>
                <w:szCs w:val="20"/>
              </w:rPr>
              <w:t>产品质保</w:t>
            </w:r>
            <w:r>
              <w:rPr>
                <w:rFonts w:eastAsia="等线"/>
                <w:kern w:val="0"/>
                <w:sz w:val="20"/>
                <w:szCs w:val="20"/>
              </w:rPr>
              <w:t>(*3</w:t>
            </w:r>
            <w:r>
              <w:rPr>
                <w:rFonts w:hint="eastAsia" w:ascii="宋体" w:hAnsi="宋体"/>
                <w:kern w:val="0"/>
                <w:sz w:val="20"/>
                <w:szCs w:val="20"/>
              </w:rPr>
              <w:t>年</w:t>
            </w:r>
            <w:r>
              <w:rPr>
                <w:rFonts w:eastAsia="等线"/>
                <w:kern w:val="0"/>
                <w:sz w:val="20"/>
                <w:szCs w:val="20"/>
              </w:rPr>
              <w:t>);</w:t>
            </w:r>
            <w:r>
              <w:rPr>
                <w:rFonts w:eastAsia="等线"/>
                <w:kern w:val="0"/>
                <w:sz w:val="20"/>
                <w:szCs w:val="20"/>
              </w:rPr>
              <w:br w:type="textWrapping"/>
            </w:r>
            <w:r>
              <w:rPr>
                <w:rFonts w:hint="eastAsia" w:ascii="宋体" w:hAnsi="宋体"/>
                <w:kern w:val="0"/>
                <w:sz w:val="20"/>
                <w:szCs w:val="20"/>
              </w:rPr>
              <w:t>软件升级</w:t>
            </w:r>
            <w:r>
              <w:rPr>
                <w:rFonts w:eastAsia="等线"/>
                <w:kern w:val="0"/>
                <w:sz w:val="20"/>
                <w:szCs w:val="20"/>
              </w:rPr>
              <w:t>(*3</w:t>
            </w:r>
            <w:r>
              <w:rPr>
                <w:rFonts w:hint="eastAsia" w:ascii="宋体" w:hAnsi="宋体"/>
                <w:kern w:val="0"/>
                <w:sz w:val="20"/>
                <w:szCs w:val="20"/>
              </w:rPr>
              <w:t>年</w:t>
            </w:r>
            <w:r>
              <w:rPr>
                <w:rFonts w:eastAsia="等线"/>
                <w:kern w:val="0"/>
                <w:sz w:val="20"/>
                <w:szCs w:val="20"/>
              </w:rPr>
              <w:t>);</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hint="eastAsia" w:ascii="宋体" w:hAnsi="宋体"/>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eastAsia="等线"/>
                <w:kern w:val="0"/>
                <w:sz w:val="20"/>
                <w:szCs w:val="20"/>
              </w:rPr>
              <w:t>1</w:t>
            </w:r>
          </w:p>
        </w:tc>
      </w:tr>
      <w:tr>
        <w:tblPrEx>
          <w:tblCellMar>
            <w:top w:w="0" w:type="dxa"/>
            <w:left w:w="108" w:type="dxa"/>
            <w:bottom w:w="0" w:type="dxa"/>
            <w:right w:w="108" w:type="dxa"/>
          </w:tblCellMar>
        </w:tblPrEx>
        <w:trPr>
          <w:trHeight w:val="2112" w:hRule="atLeast"/>
        </w:trPr>
        <w:tc>
          <w:tcPr>
            <w:tcW w:w="604"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eastAsia="等线"/>
                <w:kern w:val="0"/>
                <w:sz w:val="20"/>
                <w:szCs w:val="20"/>
              </w:rPr>
              <w:t>3</w:t>
            </w:r>
          </w:p>
        </w:tc>
        <w:tc>
          <w:tcPr>
            <w:tcW w:w="74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视频专网等保设备</w:t>
            </w: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hint="eastAsia" w:ascii="宋体" w:hAnsi="宋体"/>
                <w:kern w:val="0"/>
                <w:sz w:val="20"/>
                <w:szCs w:val="20"/>
              </w:rPr>
              <w:t>下一代防火墙</w:t>
            </w:r>
            <w:r>
              <w:rPr>
                <w:rFonts w:eastAsia="等线"/>
                <w:kern w:val="0"/>
                <w:sz w:val="20"/>
                <w:szCs w:val="20"/>
              </w:rPr>
              <w:t>(</w:t>
            </w:r>
            <w:r>
              <w:rPr>
                <w:rFonts w:hint="eastAsia" w:ascii="宋体" w:hAnsi="宋体"/>
                <w:kern w:val="0"/>
                <w:sz w:val="20"/>
                <w:szCs w:val="20"/>
              </w:rPr>
              <w:t>视频专网出口防火墙</w:t>
            </w:r>
            <w:r>
              <w:rPr>
                <w:rFonts w:eastAsia="等线"/>
                <w:kern w:val="0"/>
                <w:sz w:val="20"/>
                <w:szCs w:val="20"/>
              </w:rPr>
              <w:t>)</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kern w:val="0"/>
                <w:sz w:val="20"/>
                <w:szCs w:val="20"/>
              </w:rPr>
            </w:pPr>
            <w:r>
              <w:rPr>
                <w:rFonts w:hint="eastAsia" w:ascii="宋体" w:hAnsi="宋体"/>
                <w:kern w:val="0"/>
                <w:sz w:val="20"/>
                <w:szCs w:val="20"/>
              </w:rPr>
              <w:t>性能参数：网络层吞吐量≥</w:t>
            </w:r>
            <w:r>
              <w:rPr>
                <w:rFonts w:eastAsia="等线"/>
                <w:kern w:val="0"/>
                <w:sz w:val="20"/>
                <w:szCs w:val="20"/>
              </w:rPr>
              <w:t>12G</w:t>
            </w:r>
            <w:r>
              <w:rPr>
                <w:rFonts w:hint="eastAsia" w:ascii="宋体" w:hAnsi="宋体"/>
                <w:kern w:val="0"/>
                <w:sz w:val="20"/>
                <w:szCs w:val="20"/>
              </w:rPr>
              <w:t>，应用层吞吐量≥</w:t>
            </w:r>
            <w:r>
              <w:rPr>
                <w:rFonts w:eastAsia="等线"/>
                <w:kern w:val="0"/>
                <w:sz w:val="20"/>
                <w:szCs w:val="20"/>
              </w:rPr>
              <w:t>6G</w:t>
            </w:r>
            <w:r>
              <w:rPr>
                <w:rFonts w:hint="eastAsia" w:ascii="宋体" w:hAnsi="宋体"/>
                <w:kern w:val="0"/>
                <w:sz w:val="20"/>
                <w:szCs w:val="20"/>
              </w:rPr>
              <w:t>，防病毒吞吐量≥</w:t>
            </w:r>
            <w:r>
              <w:rPr>
                <w:rFonts w:eastAsia="等线"/>
                <w:kern w:val="0"/>
                <w:sz w:val="20"/>
                <w:szCs w:val="20"/>
              </w:rPr>
              <w:t>1G</w:t>
            </w:r>
            <w:r>
              <w:rPr>
                <w:rFonts w:hint="eastAsia" w:ascii="宋体" w:hAnsi="宋体"/>
                <w:kern w:val="0"/>
                <w:sz w:val="20"/>
                <w:szCs w:val="20"/>
              </w:rPr>
              <w:t>，</w:t>
            </w:r>
            <w:r>
              <w:rPr>
                <w:rFonts w:eastAsia="等线"/>
                <w:kern w:val="0"/>
                <w:sz w:val="20"/>
                <w:szCs w:val="20"/>
              </w:rPr>
              <w:t>IPS</w:t>
            </w:r>
            <w:r>
              <w:rPr>
                <w:rFonts w:hint="eastAsia" w:ascii="宋体" w:hAnsi="宋体"/>
                <w:kern w:val="0"/>
                <w:sz w:val="20"/>
                <w:szCs w:val="20"/>
              </w:rPr>
              <w:t>吞吐量≥</w:t>
            </w:r>
            <w:r>
              <w:rPr>
                <w:rFonts w:eastAsia="等线"/>
                <w:kern w:val="0"/>
                <w:sz w:val="20"/>
                <w:szCs w:val="20"/>
              </w:rPr>
              <w:t>1G</w:t>
            </w:r>
            <w:r>
              <w:rPr>
                <w:rFonts w:hint="eastAsia" w:ascii="宋体" w:hAnsi="宋体"/>
                <w:kern w:val="0"/>
                <w:sz w:val="20"/>
                <w:szCs w:val="20"/>
              </w:rPr>
              <w:t>，并发连接数≥</w:t>
            </w:r>
            <w:r>
              <w:rPr>
                <w:rFonts w:eastAsia="等线"/>
                <w:kern w:val="0"/>
                <w:sz w:val="20"/>
                <w:szCs w:val="20"/>
              </w:rPr>
              <w:t>200</w:t>
            </w:r>
            <w:r>
              <w:rPr>
                <w:rFonts w:hint="eastAsia" w:ascii="宋体" w:hAnsi="宋体"/>
                <w:kern w:val="0"/>
                <w:sz w:val="20"/>
                <w:szCs w:val="20"/>
              </w:rPr>
              <w:t>万，</w:t>
            </w:r>
            <w:r>
              <w:rPr>
                <w:rFonts w:eastAsia="等线"/>
                <w:kern w:val="0"/>
                <w:sz w:val="20"/>
                <w:szCs w:val="20"/>
              </w:rPr>
              <w:t>HTTP</w:t>
            </w:r>
            <w:r>
              <w:rPr>
                <w:rFonts w:hint="eastAsia" w:ascii="宋体" w:hAnsi="宋体"/>
                <w:kern w:val="0"/>
                <w:sz w:val="20"/>
                <w:szCs w:val="20"/>
              </w:rPr>
              <w:t>新建连接数≥</w:t>
            </w:r>
            <w:r>
              <w:rPr>
                <w:rFonts w:eastAsia="等线"/>
                <w:kern w:val="0"/>
                <w:sz w:val="20"/>
                <w:szCs w:val="20"/>
              </w:rPr>
              <w:t>9</w:t>
            </w:r>
            <w:r>
              <w:rPr>
                <w:rFonts w:hint="eastAsia" w:ascii="宋体" w:hAnsi="宋体"/>
                <w:kern w:val="0"/>
                <w:sz w:val="20"/>
                <w:szCs w:val="20"/>
              </w:rPr>
              <w:t>万；</w:t>
            </w:r>
            <w:r>
              <w:rPr>
                <w:rFonts w:hint="eastAsia" w:ascii="宋体" w:hAnsi="宋体"/>
                <w:kern w:val="0"/>
                <w:sz w:val="20"/>
                <w:szCs w:val="20"/>
              </w:rPr>
              <w:br w:type="textWrapping"/>
            </w:r>
            <w:r>
              <w:rPr>
                <w:rFonts w:hint="eastAsia" w:ascii="宋体" w:hAnsi="宋体"/>
                <w:kern w:val="0"/>
                <w:sz w:val="20"/>
                <w:szCs w:val="20"/>
              </w:rPr>
              <w:t>硬件参数：规格≥</w:t>
            </w:r>
            <w:r>
              <w:rPr>
                <w:rFonts w:eastAsia="等线"/>
                <w:kern w:val="0"/>
                <w:sz w:val="20"/>
                <w:szCs w:val="20"/>
              </w:rPr>
              <w:t>2U</w:t>
            </w:r>
            <w:r>
              <w:rPr>
                <w:rFonts w:hint="eastAsia" w:ascii="宋体" w:hAnsi="宋体"/>
                <w:kern w:val="0"/>
                <w:sz w:val="20"/>
                <w:szCs w:val="20"/>
              </w:rPr>
              <w:t>，内存大小≥</w:t>
            </w:r>
            <w:r>
              <w:rPr>
                <w:rFonts w:eastAsia="等线"/>
                <w:kern w:val="0"/>
                <w:sz w:val="20"/>
                <w:szCs w:val="20"/>
              </w:rPr>
              <w:t>8G</w:t>
            </w:r>
            <w:r>
              <w:rPr>
                <w:rFonts w:hint="eastAsia" w:ascii="宋体" w:hAnsi="宋体"/>
                <w:kern w:val="0"/>
                <w:sz w:val="20"/>
                <w:szCs w:val="20"/>
              </w:rPr>
              <w:t>，硬盘容量≥</w:t>
            </w:r>
            <w:r>
              <w:rPr>
                <w:rFonts w:eastAsia="等线"/>
                <w:kern w:val="0"/>
                <w:sz w:val="20"/>
                <w:szCs w:val="20"/>
              </w:rPr>
              <w:t>64G SSD+480G SSD</w:t>
            </w:r>
            <w:r>
              <w:rPr>
                <w:rFonts w:hint="eastAsia" w:ascii="宋体" w:hAnsi="宋体"/>
                <w:kern w:val="0"/>
                <w:sz w:val="20"/>
                <w:szCs w:val="20"/>
              </w:rPr>
              <w:t>，电源：冗余电源，接口≥</w:t>
            </w:r>
            <w:r>
              <w:rPr>
                <w:rFonts w:eastAsia="等线"/>
                <w:kern w:val="0"/>
                <w:sz w:val="20"/>
                <w:szCs w:val="20"/>
              </w:rPr>
              <w:t>16</w:t>
            </w:r>
            <w:r>
              <w:rPr>
                <w:rFonts w:hint="eastAsia" w:ascii="宋体" w:hAnsi="宋体"/>
                <w:kern w:val="0"/>
                <w:sz w:val="20"/>
                <w:szCs w:val="20"/>
              </w:rPr>
              <w:t>千兆电口</w:t>
            </w:r>
            <w:r>
              <w:rPr>
                <w:rFonts w:eastAsia="等线"/>
                <w:kern w:val="0"/>
                <w:sz w:val="20"/>
                <w:szCs w:val="20"/>
              </w:rPr>
              <w:t>+2</w:t>
            </w:r>
            <w:r>
              <w:rPr>
                <w:rFonts w:hint="eastAsia" w:ascii="宋体" w:hAnsi="宋体"/>
                <w:kern w:val="0"/>
                <w:sz w:val="20"/>
                <w:szCs w:val="20"/>
              </w:rPr>
              <w:t>千兆光口</w:t>
            </w:r>
            <w:r>
              <w:rPr>
                <w:rFonts w:eastAsia="等线"/>
                <w:kern w:val="0"/>
                <w:sz w:val="20"/>
                <w:szCs w:val="20"/>
              </w:rPr>
              <w:t>SFP+4</w:t>
            </w:r>
            <w:r>
              <w:rPr>
                <w:rFonts w:hint="eastAsia" w:ascii="宋体" w:hAnsi="宋体"/>
                <w:kern w:val="0"/>
                <w:sz w:val="20"/>
                <w:szCs w:val="20"/>
              </w:rPr>
              <w:t>万兆光口</w:t>
            </w:r>
            <w:r>
              <w:rPr>
                <w:rFonts w:eastAsia="等线"/>
                <w:kern w:val="0"/>
                <w:sz w:val="20"/>
                <w:szCs w:val="20"/>
              </w:rPr>
              <w:t>SFP+</w:t>
            </w:r>
            <w:r>
              <w:rPr>
                <w:rFonts w:hint="eastAsia" w:ascii="宋体" w:hAnsi="宋体"/>
                <w:kern w:val="0"/>
                <w:sz w:val="20"/>
                <w:szCs w:val="20"/>
              </w:rPr>
              <w:t>。</w:t>
            </w:r>
            <w:r>
              <w:rPr>
                <w:rFonts w:hint="eastAsia" w:ascii="宋体" w:hAnsi="宋体"/>
                <w:kern w:val="0"/>
                <w:sz w:val="20"/>
                <w:szCs w:val="20"/>
              </w:rPr>
              <w:br w:type="textWrapping"/>
            </w:r>
            <w:r>
              <w:rPr>
                <w:rFonts w:hint="eastAsia" w:ascii="宋体" w:hAnsi="宋体"/>
                <w:kern w:val="0"/>
                <w:sz w:val="20"/>
                <w:szCs w:val="20"/>
              </w:rPr>
              <w:t>含：</w:t>
            </w:r>
            <w:r>
              <w:rPr>
                <w:rFonts w:eastAsia="等线"/>
                <w:kern w:val="0"/>
                <w:sz w:val="20"/>
                <w:szCs w:val="20"/>
              </w:rPr>
              <w:t>IPS/WAF</w:t>
            </w:r>
            <w:r>
              <w:rPr>
                <w:rFonts w:hint="eastAsia" w:ascii="宋体" w:hAnsi="宋体"/>
                <w:kern w:val="0"/>
                <w:sz w:val="20"/>
                <w:szCs w:val="20"/>
              </w:rPr>
              <w:t>功能模块永久授权，含防火墙软件基础级</w:t>
            </w:r>
            <w:r>
              <w:rPr>
                <w:rFonts w:eastAsia="等线"/>
                <w:kern w:val="0"/>
                <w:sz w:val="20"/>
                <w:szCs w:val="20"/>
              </w:rPr>
              <w:t>(*1</w:t>
            </w:r>
            <w:r>
              <w:rPr>
                <w:rFonts w:hint="eastAsia" w:ascii="宋体" w:hAnsi="宋体"/>
                <w:kern w:val="0"/>
                <w:sz w:val="20"/>
                <w:szCs w:val="20"/>
              </w:rPr>
              <w:t>套</w:t>
            </w:r>
            <w:r>
              <w:rPr>
                <w:rFonts w:eastAsia="等线"/>
                <w:kern w:val="0"/>
                <w:sz w:val="20"/>
                <w:szCs w:val="20"/>
              </w:rPr>
              <w:t>);</w:t>
            </w:r>
            <w:r>
              <w:rPr>
                <w:rFonts w:hint="eastAsia" w:ascii="宋体" w:hAnsi="宋体"/>
                <w:kern w:val="0"/>
                <w:sz w:val="20"/>
                <w:szCs w:val="20"/>
              </w:rPr>
              <w:t>防火墙增强级模块</w:t>
            </w:r>
            <w:r>
              <w:rPr>
                <w:rFonts w:eastAsia="等线"/>
                <w:kern w:val="0"/>
                <w:sz w:val="20"/>
                <w:szCs w:val="20"/>
              </w:rPr>
              <w:t>(*1</w:t>
            </w:r>
            <w:r>
              <w:rPr>
                <w:rFonts w:hint="eastAsia" w:ascii="宋体" w:hAnsi="宋体"/>
                <w:kern w:val="0"/>
                <w:sz w:val="20"/>
                <w:szCs w:val="20"/>
              </w:rPr>
              <w:t>套</w:t>
            </w:r>
            <w:r>
              <w:rPr>
                <w:rFonts w:eastAsia="等线"/>
                <w:kern w:val="0"/>
                <w:sz w:val="20"/>
                <w:szCs w:val="20"/>
              </w:rPr>
              <w:t>);</w:t>
            </w:r>
            <w:r>
              <w:rPr>
                <w:rFonts w:hint="eastAsia" w:ascii="宋体" w:hAnsi="宋体"/>
                <w:kern w:val="0"/>
                <w:sz w:val="20"/>
                <w:szCs w:val="20"/>
              </w:rPr>
              <w:t>防火墙安全规则库更新</w:t>
            </w:r>
            <w:r>
              <w:rPr>
                <w:rFonts w:eastAsia="等线"/>
                <w:kern w:val="0"/>
                <w:sz w:val="20"/>
                <w:szCs w:val="20"/>
              </w:rPr>
              <w:t>(*3</w:t>
            </w:r>
            <w:r>
              <w:rPr>
                <w:rFonts w:hint="eastAsia" w:ascii="宋体" w:hAnsi="宋体"/>
                <w:kern w:val="0"/>
                <w:sz w:val="20"/>
                <w:szCs w:val="20"/>
              </w:rPr>
              <w:t>年</w:t>
            </w:r>
            <w:r>
              <w:rPr>
                <w:rFonts w:eastAsia="等线"/>
                <w:kern w:val="0"/>
                <w:sz w:val="20"/>
                <w:szCs w:val="20"/>
              </w:rPr>
              <w:t>);</w:t>
            </w:r>
            <w:r>
              <w:rPr>
                <w:rFonts w:eastAsia="等线"/>
                <w:kern w:val="0"/>
                <w:sz w:val="20"/>
                <w:szCs w:val="20"/>
              </w:rPr>
              <w:br w:type="textWrapping"/>
            </w:r>
            <w:r>
              <w:rPr>
                <w:rFonts w:hint="eastAsia" w:ascii="宋体" w:hAnsi="宋体"/>
                <w:kern w:val="0"/>
                <w:sz w:val="20"/>
                <w:szCs w:val="20"/>
              </w:rPr>
              <w:t>产品质保</w:t>
            </w:r>
            <w:r>
              <w:rPr>
                <w:rFonts w:eastAsia="等线"/>
                <w:kern w:val="0"/>
                <w:sz w:val="20"/>
                <w:szCs w:val="20"/>
              </w:rPr>
              <w:t>(*3</w:t>
            </w:r>
            <w:r>
              <w:rPr>
                <w:rFonts w:hint="eastAsia" w:ascii="宋体" w:hAnsi="宋体"/>
                <w:kern w:val="0"/>
                <w:sz w:val="20"/>
                <w:szCs w:val="20"/>
              </w:rPr>
              <w:t>年</w:t>
            </w:r>
            <w:r>
              <w:rPr>
                <w:rFonts w:eastAsia="等线"/>
                <w:kern w:val="0"/>
                <w:sz w:val="20"/>
                <w:szCs w:val="20"/>
              </w:rPr>
              <w:t>);</w:t>
            </w:r>
            <w:r>
              <w:rPr>
                <w:rFonts w:eastAsia="等线"/>
                <w:kern w:val="0"/>
                <w:sz w:val="20"/>
                <w:szCs w:val="20"/>
              </w:rPr>
              <w:br w:type="textWrapping"/>
            </w:r>
            <w:r>
              <w:rPr>
                <w:rFonts w:hint="eastAsia" w:ascii="宋体" w:hAnsi="宋体"/>
                <w:kern w:val="0"/>
                <w:sz w:val="20"/>
                <w:szCs w:val="20"/>
              </w:rPr>
              <w:t>软件升级</w:t>
            </w:r>
            <w:r>
              <w:rPr>
                <w:rFonts w:eastAsia="等线"/>
                <w:kern w:val="0"/>
                <w:sz w:val="20"/>
                <w:szCs w:val="20"/>
              </w:rPr>
              <w:t>(*3</w:t>
            </w:r>
            <w:r>
              <w:rPr>
                <w:rFonts w:hint="eastAsia" w:ascii="宋体" w:hAnsi="宋体"/>
                <w:kern w:val="0"/>
                <w:sz w:val="20"/>
                <w:szCs w:val="20"/>
              </w:rPr>
              <w:t>年</w:t>
            </w:r>
            <w:r>
              <w:rPr>
                <w:rFonts w:eastAsia="等线"/>
                <w:kern w:val="0"/>
                <w:sz w:val="20"/>
                <w:szCs w:val="20"/>
              </w:rPr>
              <w:t>);</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hint="eastAsia" w:ascii="宋体" w:hAnsi="宋体"/>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eastAsia="等线"/>
                <w:kern w:val="0"/>
                <w:sz w:val="20"/>
                <w:szCs w:val="20"/>
              </w:rPr>
              <w:t>1</w:t>
            </w:r>
          </w:p>
        </w:tc>
      </w:tr>
      <w:tr>
        <w:tblPrEx>
          <w:tblCellMar>
            <w:top w:w="0" w:type="dxa"/>
            <w:left w:w="108" w:type="dxa"/>
            <w:bottom w:w="0" w:type="dxa"/>
            <w:right w:w="108" w:type="dxa"/>
          </w:tblCellMar>
        </w:tblPrEx>
        <w:trPr>
          <w:trHeight w:val="1824" w:hRule="atLeast"/>
        </w:trPr>
        <w:tc>
          <w:tcPr>
            <w:tcW w:w="604"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eastAsia="等线"/>
                <w:kern w:val="0"/>
                <w:sz w:val="20"/>
                <w:szCs w:val="20"/>
              </w:rPr>
              <w:t>4</w:t>
            </w: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hint="eastAsia" w:ascii="宋体" w:hAnsi="宋体"/>
                <w:kern w:val="0"/>
                <w:sz w:val="20"/>
                <w:szCs w:val="20"/>
              </w:rPr>
              <w:t>日志审计</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kern w:val="0"/>
                <w:sz w:val="20"/>
                <w:szCs w:val="20"/>
              </w:rPr>
            </w:pPr>
            <w:r>
              <w:rPr>
                <w:rFonts w:hint="eastAsia" w:ascii="宋体" w:hAnsi="宋体"/>
                <w:kern w:val="0"/>
                <w:sz w:val="20"/>
                <w:szCs w:val="20"/>
              </w:rPr>
              <w:t>性能参数：包含主机审计许可证书数量≥</w:t>
            </w:r>
            <w:r>
              <w:rPr>
                <w:rFonts w:eastAsia="等线"/>
                <w:kern w:val="0"/>
                <w:sz w:val="20"/>
                <w:szCs w:val="20"/>
              </w:rPr>
              <w:t>100</w:t>
            </w:r>
            <w:r>
              <w:rPr>
                <w:rFonts w:hint="eastAsia" w:ascii="宋体" w:hAnsi="宋体"/>
                <w:kern w:val="0"/>
                <w:sz w:val="20"/>
                <w:szCs w:val="20"/>
              </w:rPr>
              <w:t>，最大可扩展审计主机许可数≥</w:t>
            </w:r>
            <w:r>
              <w:rPr>
                <w:rFonts w:eastAsia="等线"/>
                <w:kern w:val="0"/>
                <w:sz w:val="20"/>
                <w:szCs w:val="20"/>
              </w:rPr>
              <w:t>150</w:t>
            </w:r>
            <w:r>
              <w:rPr>
                <w:rFonts w:hint="eastAsia" w:ascii="宋体" w:hAnsi="宋体"/>
                <w:kern w:val="0"/>
                <w:sz w:val="20"/>
                <w:szCs w:val="20"/>
              </w:rPr>
              <w:t>，存储量≥</w:t>
            </w:r>
            <w:r>
              <w:rPr>
                <w:rFonts w:eastAsia="等线"/>
                <w:kern w:val="0"/>
                <w:sz w:val="20"/>
                <w:szCs w:val="20"/>
              </w:rPr>
              <w:t>4TB</w:t>
            </w:r>
            <w:r>
              <w:rPr>
                <w:rFonts w:hint="eastAsia" w:ascii="宋体" w:hAnsi="宋体"/>
                <w:kern w:val="0"/>
                <w:sz w:val="20"/>
                <w:szCs w:val="20"/>
              </w:rPr>
              <w:t>，平均每秒处理日志数（</w:t>
            </w:r>
            <w:r>
              <w:rPr>
                <w:rFonts w:eastAsia="等线"/>
                <w:kern w:val="0"/>
                <w:sz w:val="20"/>
                <w:szCs w:val="20"/>
              </w:rPr>
              <w:t>eps</w:t>
            </w:r>
            <w:r>
              <w:rPr>
                <w:rFonts w:hint="eastAsia" w:ascii="宋体" w:hAnsi="宋体"/>
                <w:kern w:val="0"/>
                <w:sz w:val="20"/>
                <w:szCs w:val="20"/>
              </w:rPr>
              <w:t>）最大性能≥</w:t>
            </w:r>
            <w:r>
              <w:rPr>
                <w:rFonts w:eastAsia="等线"/>
                <w:kern w:val="0"/>
                <w:sz w:val="20"/>
                <w:szCs w:val="20"/>
              </w:rPr>
              <w:t>1200</w:t>
            </w:r>
            <w:r>
              <w:rPr>
                <w:rFonts w:hint="eastAsia" w:ascii="宋体" w:hAnsi="宋体"/>
                <w:kern w:val="0"/>
                <w:sz w:val="20"/>
                <w:szCs w:val="20"/>
              </w:rPr>
              <w:t>。</w:t>
            </w:r>
            <w:r>
              <w:rPr>
                <w:rFonts w:hint="eastAsia" w:ascii="宋体" w:hAnsi="宋体"/>
                <w:kern w:val="0"/>
                <w:sz w:val="20"/>
                <w:szCs w:val="20"/>
              </w:rPr>
              <w:br w:type="textWrapping"/>
            </w:r>
            <w:r>
              <w:rPr>
                <w:rFonts w:hint="eastAsia" w:ascii="宋体" w:hAnsi="宋体"/>
                <w:kern w:val="0"/>
                <w:sz w:val="20"/>
                <w:szCs w:val="20"/>
              </w:rPr>
              <w:t>硬件参数：规格≥</w:t>
            </w:r>
            <w:r>
              <w:rPr>
                <w:rFonts w:eastAsia="等线"/>
                <w:kern w:val="0"/>
                <w:sz w:val="20"/>
                <w:szCs w:val="20"/>
              </w:rPr>
              <w:t>2U</w:t>
            </w:r>
            <w:r>
              <w:rPr>
                <w:rFonts w:hint="eastAsia" w:ascii="宋体" w:hAnsi="宋体"/>
                <w:kern w:val="0"/>
                <w:sz w:val="20"/>
                <w:szCs w:val="20"/>
              </w:rPr>
              <w:t>，内存大小≥</w:t>
            </w:r>
            <w:r>
              <w:rPr>
                <w:rFonts w:eastAsia="等线"/>
                <w:kern w:val="0"/>
                <w:sz w:val="20"/>
                <w:szCs w:val="20"/>
              </w:rPr>
              <w:t>16G</w:t>
            </w:r>
            <w:r>
              <w:rPr>
                <w:rFonts w:hint="eastAsia" w:ascii="宋体" w:hAnsi="宋体"/>
                <w:kern w:val="0"/>
                <w:sz w:val="20"/>
                <w:szCs w:val="20"/>
              </w:rPr>
              <w:t>，接口≥</w:t>
            </w:r>
            <w:r>
              <w:rPr>
                <w:rFonts w:eastAsia="等线"/>
                <w:kern w:val="0"/>
                <w:sz w:val="20"/>
                <w:szCs w:val="20"/>
              </w:rPr>
              <w:t>6</w:t>
            </w:r>
            <w:r>
              <w:rPr>
                <w:rFonts w:hint="eastAsia" w:ascii="宋体" w:hAnsi="宋体"/>
                <w:kern w:val="0"/>
                <w:sz w:val="20"/>
                <w:szCs w:val="20"/>
              </w:rPr>
              <w:t>千兆电口</w:t>
            </w:r>
            <w:r>
              <w:rPr>
                <w:rFonts w:eastAsia="等线"/>
                <w:kern w:val="0"/>
                <w:sz w:val="20"/>
                <w:szCs w:val="20"/>
              </w:rPr>
              <w:t>+2</w:t>
            </w:r>
            <w:r>
              <w:rPr>
                <w:rFonts w:hint="eastAsia" w:ascii="宋体" w:hAnsi="宋体"/>
                <w:kern w:val="0"/>
                <w:sz w:val="20"/>
                <w:szCs w:val="20"/>
              </w:rPr>
              <w:t>万兆光口</w:t>
            </w:r>
            <w:r>
              <w:rPr>
                <w:rFonts w:eastAsia="等线"/>
                <w:kern w:val="0"/>
                <w:sz w:val="20"/>
                <w:szCs w:val="20"/>
              </w:rPr>
              <w:t>SFP+</w:t>
            </w:r>
            <w:r>
              <w:rPr>
                <w:rFonts w:hint="eastAsia" w:ascii="宋体" w:hAnsi="宋体"/>
                <w:kern w:val="0"/>
                <w:sz w:val="20"/>
                <w:szCs w:val="20"/>
              </w:rPr>
              <w:t>。</w:t>
            </w:r>
            <w:r>
              <w:rPr>
                <w:rFonts w:hint="eastAsia" w:ascii="宋体" w:hAnsi="宋体"/>
                <w:kern w:val="0"/>
                <w:sz w:val="20"/>
                <w:szCs w:val="20"/>
              </w:rPr>
              <w:br w:type="textWrapping"/>
            </w:r>
            <w:r>
              <w:rPr>
                <w:rFonts w:hint="eastAsia" w:ascii="宋体" w:hAnsi="宋体"/>
                <w:kern w:val="0"/>
                <w:sz w:val="20"/>
                <w:szCs w:val="20"/>
              </w:rPr>
              <w:t>含：</w:t>
            </w:r>
            <w:r>
              <w:rPr>
                <w:rFonts w:hint="eastAsia" w:ascii="宋体" w:hAnsi="宋体"/>
                <w:kern w:val="0"/>
                <w:sz w:val="20"/>
                <w:szCs w:val="20"/>
              </w:rPr>
              <w:br w:type="textWrapping"/>
            </w:r>
            <w:r>
              <w:rPr>
                <w:rFonts w:hint="eastAsia" w:ascii="宋体" w:hAnsi="宋体"/>
                <w:kern w:val="0"/>
                <w:sz w:val="20"/>
                <w:szCs w:val="20"/>
              </w:rPr>
              <w:t>日志审计分析管理系统软件</w:t>
            </w:r>
            <w:r>
              <w:rPr>
                <w:rFonts w:eastAsia="等线"/>
                <w:kern w:val="0"/>
                <w:sz w:val="20"/>
                <w:szCs w:val="20"/>
              </w:rPr>
              <w:t>(*1</w:t>
            </w:r>
            <w:r>
              <w:rPr>
                <w:rFonts w:hint="eastAsia" w:ascii="宋体" w:hAnsi="宋体"/>
                <w:kern w:val="0"/>
                <w:sz w:val="20"/>
                <w:szCs w:val="20"/>
              </w:rPr>
              <w:t>套</w:t>
            </w:r>
            <w:r>
              <w:rPr>
                <w:rFonts w:eastAsia="等线"/>
                <w:kern w:val="0"/>
                <w:sz w:val="20"/>
                <w:szCs w:val="20"/>
              </w:rPr>
              <w:t>);</w:t>
            </w:r>
            <w:r>
              <w:rPr>
                <w:rFonts w:eastAsia="等线"/>
                <w:kern w:val="0"/>
                <w:sz w:val="20"/>
                <w:szCs w:val="20"/>
              </w:rPr>
              <w:br w:type="textWrapping"/>
            </w:r>
            <w:r>
              <w:rPr>
                <w:rFonts w:hint="eastAsia" w:ascii="宋体" w:hAnsi="宋体"/>
                <w:kern w:val="0"/>
                <w:sz w:val="20"/>
                <w:szCs w:val="20"/>
              </w:rPr>
              <w:t>产品质保</w:t>
            </w:r>
            <w:r>
              <w:rPr>
                <w:rFonts w:eastAsia="等线"/>
                <w:kern w:val="0"/>
                <w:sz w:val="20"/>
                <w:szCs w:val="20"/>
              </w:rPr>
              <w:t>(*3</w:t>
            </w:r>
            <w:r>
              <w:rPr>
                <w:rFonts w:hint="eastAsia" w:ascii="宋体" w:hAnsi="宋体"/>
                <w:kern w:val="0"/>
                <w:sz w:val="20"/>
                <w:szCs w:val="20"/>
              </w:rPr>
              <w:t>年</w:t>
            </w:r>
            <w:r>
              <w:rPr>
                <w:rFonts w:eastAsia="等线"/>
                <w:kern w:val="0"/>
                <w:sz w:val="20"/>
                <w:szCs w:val="20"/>
              </w:rPr>
              <w:t>);</w:t>
            </w:r>
            <w:r>
              <w:rPr>
                <w:rFonts w:eastAsia="等线"/>
                <w:kern w:val="0"/>
                <w:sz w:val="20"/>
                <w:szCs w:val="20"/>
              </w:rPr>
              <w:br w:type="textWrapping"/>
            </w:r>
            <w:r>
              <w:rPr>
                <w:rFonts w:hint="eastAsia" w:ascii="宋体" w:hAnsi="宋体"/>
                <w:kern w:val="0"/>
                <w:sz w:val="20"/>
                <w:szCs w:val="20"/>
              </w:rPr>
              <w:t>软件升级</w:t>
            </w:r>
            <w:r>
              <w:rPr>
                <w:rFonts w:eastAsia="等线"/>
                <w:kern w:val="0"/>
                <w:sz w:val="20"/>
                <w:szCs w:val="20"/>
              </w:rPr>
              <w:t>(*3</w:t>
            </w:r>
            <w:r>
              <w:rPr>
                <w:rFonts w:hint="eastAsia" w:ascii="宋体" w:hAnsi="宋体"/>
                <w:kern w:val="0"/>
                <w:sz w:val="20"/>
                <w:szCs w:val="20"/>
              </w:rPr>
              <w:t>年</w:t>
            </w:r>
            <w:r>
              <w:rPr>
                <w:rFonts w:eastAsia="等线"/>
                <w:kern w:val="0"/>
                <w:sz w:val="20"/>
                <w:szCs w:val="20"/>
              </w:rPr>
              <w:t>);</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hint="eastAsia" w:ascii="宋体" w:hAnsi="宋体"/>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eastAsia="等线"/>
                <w:kern w:val="0"/>
                <w:sz w:val="20"/>
                <w:szCs w:val="20"/>
              </w:rPr>
              <w:t>1</w:t>
            </w:r>
          </w:p>
        </w:tc>
      </w:tr>
      <w:tr>
        <w:tblPrEx>
          <w:tblCellMar>
            <w:top w:w="0" w:type="dxa"/>
            <w:left w:w="108" w:type="dxa"/>
            <w:bottom w:w="0" w:type="dxa"/>
            <w:right w:w="108" w:type="dxa"/>
          </w:tblCellMar>
        </w:tblPrEx>
        <w:trPr>
          <w:trHeight w:val="2088" w:hRule="atLeast"/>
        </w:trPr>
        <w:tc>
          <w:tcPr>
            <w:tcW w:w="604"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eastAsia="等线"/>
                <w:kern w:val="0"/>
                <w:sz w:val="20"/>
                <w:szCs w:val="20"/>
              </w:rPr>
              <w:t>5</w:t>
            </w: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hint="eastAsia" w:ascii="宋体" w:hAnsi="宋体"/>
                <w:kern w:val="0"/>
                <w:sz w:val="20"/>
                <w:szCs w:val="20"/>
              </w:rPr>
              <w:t>数据库审计</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kern w:val="0"/>
                <w:sz w:val="20"/>
                <w:szCs w:val="20"/>
              </w:rPr>
            </w:pPr>
            <w:r>
              <w:rPr>
                <w:rFonts w:hint="eastAsia" w:ascii="宋体" w:hAnsi="宋体"/>
                <w:kern w:val="0"/>
                <w:sz w:val="20"/>
                <w:szCs w:val="20"/>
              </w:rPr>
              <w:t>性能参数：硬件吞吐量≥</w:t>
            </w:r>
            <w:r>
              <w:rPr>
                <w:rFonts w:eastAsia="等线"/>
                <w:kern w:val="0"/>
                <w:sz w:val="20"/>
                <w:szCs w:val="20"/>
              </w:rPr>
              <w:t>2Gbps</w:t>
            </w:r>
            <w:r>
              <w:rPr>
                <w:rFonts w:hint="eastAsia" w:ascii="宋体" w:hAnsi="宋体"/>
                <w:kern w:val="0"/>
                <w:sz w:val="20"/>
                <w:szCs w:val="20"/>
              </w:rPr>
              <w:t>，纯数据库流量≥</w:t>
            </w:r>
            <w:r>
              <w:rPr>
                <w:rFonts w:eastAsia="等线"/>
                <w:kern w:val="0"/>
                <w:sz w:val="20"/>
                <w:szCs w:val="20"/>
              </w:rPr>
              <w:t>400Mb/s</w:t>
            </w:r>
            <w:r>
              <w:rPr>
                <w:rFonts w:hint="eastAsia" w:ascii="宋体" w:hAnsi="宋体"/>
                <w:kern w:val="0"/>
                <w:sz w:val="20"/>
                <w:szCs w:val="20"/>
              </w:rPr>
              <w:t>，数据库实例个数≥</w:t>
            </w:r>
            <w:r>
              <w:rPr>
                <w:rFonts w:eastAsia="等线"/>
                <w:kern w:val="0"/>
                <w:sz w:val="20"/>
                <w:szCs w:val="20"/>
              </w:rPr>
              <w:t>30</w:t>
            </w:r>
            <w:r>
              <w:rPr>
                <w:rFonts w:hint="eastAsia" w:ascii="宋体" w:hAnsi="宋体"/>
                <w:kern w:val="0"/>
                <w:sz w:val="20"/>
                <w:szCs w:val="20"/>
              </w:rPr>
              <w:t>个，</w:t>
            </w:r>
            <w:r>
              <w:rPr>
                <w:rFonts w:eastAsia="等线"/>
                <w:kern w:val="0"/>
                <w:sz w:val="20"/>
                <w:szCs w:val="20"/>
              </w:rPr>
              <w:t>SQL</w:t>
            </w:r>
            <w:r>
              <w:rPr>
                <w:rFonts w:hint="eastAsia" w:ascii="宋体" w:hAnsi="宋体"/>
                <w:kern w:val="0"/>
                <w:sz w:val="20"/>
                <w:szCs w:val="20"/>
              </w:rPr>
              <w:t>处理性能≥</w:t>
            </w:r>
            <w:r>
              <w:rPr>
                <w:rFonts w:eastAsia="等线"/>
                <w:kern w:val="0"/>
                <w:sz w:val="20"/>
                <w:szCs w:val="20"/>
              </w:rPr>
              <w:t>30000</w:t>
            </w:r>
            <w:r>
              <w:rPr>
                <w:rFonts w:hint="eastAsia" w:ascii="宋体" w:hAnsi="宋体"/>
                <w:kern w:val="0"/>
                <w:sz w:val="20"/>
                <w:szCs w:val="20"/>
              </w:rPr>
              <w:t>条</w:t>
            </w:r>
            <w:r>
              <w:rPr>
                <w:rFonts w:eastAsia="等线"/>
                <w:kern w:val="0"/>
                <w:sz w:val="20"/>
                <w:szCs w:val="20"/>
              </w:rPr>
              <w:t>SQL/s</w:t>
            </w:r>
            <w:r>
              <w:rPr>
                <w:rFonts w:hint="eastAsia" w:ascii="宋体" w:hAnsi="宋体"/>
                <w:kern w:val="0"/>
                <w:sz w:val="20"/>
                <w:szCs w:val="20"/>
              </w:rPr>
              <w:t>，日志检索性能≥</w:t>
            </w:r>
            <w:r>
              <w:rPr>
                <w:rFonts w:eastAsia="等线"/>
                <w:kern w:val="0"/>
                <w:sz w:val="20"/>
                <w:szCs w:val="20"/>
              </w:rPr>
              <w:t>500000</w:t>
            </w:r>
            <w:r>
              <w:rPr>
                <w:rFonts w:hint="eastAsia" w:ascii="宋体" w:hAnsi="宋体"/>
                <w:kern w:val="0"/>
                <w:sz w:val="20"/>
                <w:szCs w:val="20"/>
              </w:rPr>
              <w:t>条</w:t>
            </w:r>
            <w:r>
              <w:rPr>
                <w:rFonts w:eastAsia="等线"/>
                <w:kern w:val="0"/>
                <w:sz w:val="20"/>
                <w:szCs w:val="20"/>
              </w:rPr>
              <w:t>/</w:t>
            </w:r>
            <w:r>
              <w:rPr>
                <w:rFonts w:hint="eastAsia" w:ascii="宋体" w:hAnsi="宋体"/>
                <w:kern w:val="0"/>
                <w:sz w:val="20"/>
                <w:szCs w:val="20"/>
              </w:rPr>
              <w:t>秒。</w:t>
            </w:r>
            <w:r>
              <w:rPr>
                <w:rFonts w:hint="eastAsia" w:ascii="宋体" w:hAnsi="宋体"/>
                <w:kern w:val="0"/>
                <w:sz w:val="20"/>
                <w:szCs w:val="20"/>
              </w:rPr>
              <w:br w:type="textWrapping"/>
            </w:r>
            <w:r>
              <w:rPr>
                <w:rFonts w:hint="eastAsia" w:ascii="宋体" w:hAnsi="宋体"/>
                <w:kern w:val="0"/>
                <w:sz w:val="20"/>
                <w:szCs w:val="20"/>
              </w:rPr>
              <w:t>硬件参数：规格≥</w:t>
            </w:r>
            <w:r>
              <w:rPr>
                <w:rFonts w:eastAsia="等线"/>
                <w:kern w:val="0"/>
                <w:sz w:val="20"/>
                <w:szCs w:val="20"/>
              </w:rPr>
              <w:t>1U</w:t>
            </w:r>
            <w:r>
              <w:rPr>
                <w:rFonts w:hint="eastAsia" w:ascii="宋体" w:hAnsi="宋体"/>
                <w:kern w:val="0"/>
                <w:sz w:val="20"/>
                <w:szCs w:val="20"/>
              </w:rPr>
              <w:t>，内存大小≥</w:t>
            </w:r>
            <w:r>
              <w:rPr>
                <w:rFonts w:eastAsia="等线"/>
                <w:kern w:val="0"/>
                <w:sz w:val="20"/>
                <w:szCs w:val="20"/>
              </w:rPr>
              <w:t>8G</w:t>
            </w:r>
            <w:r>
              <w:rPr>
                <w:rFonts w:hint="eastAsia" w:ascii="宋体" w:hAnsi="宋体"/>
                <w:kern w:val="0"/>
                <w:sz w:val="20"/>
                <w:szCs w:val="20"/>
              </w:rPr>
              <w:t>，硬盘容量≥</w:t>
            </w:r>
            <w:r>
              <w:rPr>
                <w:rFonts w:eastAsia="等线"/>
                <w:kern w:val="0"/>
                <w:sz w:val="20"/>
                <w:szCs w:val="20"/>
              </w:rPr>
              <w:t>2T SATA</w:t>
            </w:r>
            <w:r>
              <w:rPr>
                <w:rFonts w:hint="eastAsia" w:ascii="宋体" w:hAnsi="宋体"/>
                <w:kern w:val="0"/>
                <w:sz w:val="20"/>
                <w:szCs w:val="20"/>
              </w:rPr>
              <w:t>，接口≥</w:t>
            </w:r>
            <w:r>
              <w:rPr>
                <w:rFonts w:eastAsia="等线"/>
                <w:kern w:val="0"/>
                <w:sz w:val="20"/>
                <w:szCs w:val="20"/>
              </w:rPr>
              <w:t>6</w:t>
            </w:r>
            <w:r>
              <w:rPr>
                <w:rFonts w:hint="eastAsia" w:ascii="宋体" w:hAnsi="宋体"/>
                <w:kern w:val="0"/>
                <w:sz w:val="20"/>
                <w:szCs w:val="20"/>
              </w:rPr>
              <w:t>千兆电口</w:t>
            </w:r>
            <w:r>
              <w:rPr>
                <w:rFonts w:eastAsia="等线"/>
                <w:kern w:val="0"/>
                <w:sz w:val="20"/>
                <w:szCs w:val="20"/>
              </w:rPr>
              <w:t>+2</w:t>
            </w:r>
            <w:r>
              <w:rPr>
                <w:rFonts w:hint="eastAsia" w:ascii="宋体" w:hAnsi="宋体"/>
                <w:kern w:val="0"/>
                <w:sz w:val="20"/>
                <w:szCs w:val="20"/>
              </w:rPr>
              <w:t>万兆光口</w:t>
            </w:r>
            <w:r>
              <w:rPr>
                <w:rFonts w:eastAsia="等线"/>
                <w:kern w:val="0"/>
                <w:sz w:val="20"/>
                <w:szCs w:val="20"/>
              </w:rPr>
              <w:t>SFP+</w:t>
            </w:r>
            <w:r>
              <w:rPr>
                <w:rFonts w:hint="eastAsia" w:ascii="宋体" w:hAnsi="宋体"/>
                <w:kern w:val="0"/>
                <w:sz w:val="20"/>
                <w:szCs w:val="20"/>
              </w:rPr>
              <w:t>。</w:t>
            </w:r>
            <w:r>
              <w:rPr>
                <w:rFonts w:hint="eastAsia" w:ascii="宋体" w:hAnsi="宋体"/>
                <w:kern w:val="0"/>
                <w:sz w:val="20"/>
                <w:szCs w:val="20"/>
              </w:rPr>
              <w:br w:type="textWrapping"/>
            </w:r>
            <w:r>
              <w:rPr>
                <w:rFonts w:hint="eastAsia" w:ascii="宋体" w:hAnsi="宋体"/>
                <w:kern w:val="0"/>
                <w:sz w:val="20"/>
                <w:szCs w:val="20"/>
              </w:rPr>
              <w:t>含：</w:t>
            </w:r>
            <w:r>
              <w:rPr>
                <w:rFonts w:hint="eastAsia" w:ascii="宋体" w:hAnsi="宋体"/>
                <w:kern w:val="0"/>
                <w:sz w:val="20"/>
                <w:szCs w:val="20"/>
              </w:rPr>
              <w:br w:type="textWrapping"/>
            </w:r>
            <w:r>
              <w:rPr>
                <w:rFonts w:hint="eastAsia" w:ascii="宋体" w:hAnsi="宋体"/>
                <w:kern w:val="0"/>
                <w:sz w:val="20"/>
                <w:szCs w:val="20"/>
              </w:rPr>
              <w:t>数据库安全审计系统软件</w:t>
            </w:r>
            <w:r>
              <w:rPr>
                <w:rFonts w:eastAsia="等线"/>
                <w:kern w:val="0"/>
                <w:sz w:val="20"/>
                <w:szCs w:val="20"/>
              </w:rPr>
              <w:t>(*1</w:t>
            </w:r>
            <w:r>
              <w:rPr>
                <w:rFonts w:hint="eastAsia" w:ascii="宋体" w:hAnsi="宋体"/>
                <w:kern w:val="0"/>
                <w:sz w:val="20"/>
                <w:szCs w:val="20"/>
              </w:rPr>
              <w:t>套</w:t>
            </w:r>
            <w:r>
              <w:rPr>
                <w:rFonts w:eastAsia="等线"/>
                <w:kern w:val="0"/>
                <w:sz w:val="20"/>
                <w:szCs w:val="20"/>
              </w:rPr>
              <w:t>);</w:t>
            </w:r>
            <w:r>
              <w:rPr>
                <w:rFonts w:eastAsia="等线"/>
                <w:kern w:val="0"/>
                <w:sz w:val="20"/>
                <w:szCs w:val="20"/>
              </w:rPr>
              <w:br w:type="textWrapping"/>
            </w:r>
            <w:r>
              <w:rPr>
                <w:rFonts w:hint="eastAsia" w:ascii="宋体" w:hAnsi="宋体"/>
                <w:kern w:val="0"/>
                <w:sz w:val="20"/>
                <w:szCs w:val="20"/>
              </w:rPr>
              <w:t>产品质保</w:t>
            </w:r>
            <w:r>
              <w:rPr>
                <w:rFonts w:eastAsia="等线"/>
                <w:kern w:val="0"/>
                <w:sz w:val="20"/>
                <w:szCs w:val="20"/>
              </w:rPr>
              <w:t>(*3</w:t>
            </w:r>
            <w:r>
              <w:rPr>
                <w:rFonts w:hint="eastAsia" w:ascii="宋体" w:hAnsi="宋体"/>
                <w:kern w:val="0"/>
                <w:sz w:val="20"/>
                <w:szCs w:val="20"/>
              </w:rPr>
              <w:t>年</w:t>
            </w:r>
            <w:r>
              <w:rPr>
                <w:rFonts w:eastAsia="等线"/>
                <w:kern w:val="0"/>
                <w:sz w:val="20"/>
                <w:szCs w:val="20"/>
              </w:rPr>
              <w:t>);</w:t>
            </w:r>
            <w:r>
              <w:rPr>
                <w:rFonts w:eastAsia="等线"/>
                <w:kern w:val="0"/>
                <w:sz w:val="20"/>
                <w:szCs w:val="20"/>
              </w:rPr>
              <w:br w:type="textWrapping"/>
            </w:r>
            <w:r>
              <w:rPr>
                <w:rFonts w:hint="eastAsia" w:ascii="宋体" w:hAnsi="宋体"/>
                <w:kern w:val="0"/>
                <w:sz w:val="20"/>
                <w:szCs w:val="20"/>
              </w:rPr>
              <w:t>软件升级</w:t>
            </w:r>
            <w:r>
              <w:rPr>
                <w:rFonts w:eastAsia="等线"/>
                <w:kern w:val="0"/>
                <w:sz w:val="20"/>
                <w:szCs w:val="20"/>
              </w:rPr>
              <w:t>(*3</w:t>
            </w:r>
            <w:r>
              <w:rPr>
                <w:rFonts w:hint="eastAsia" w:ascii="宋体" w:hAnsi="宋体"/>
                <w:kern w:val="0"/>
                <w:sz w:val="20"/>
                <w:szCs w:val="20"/>
              </w:rPr>
              <w:t>年</w:t>
            </w:r>
            <w:r>
              <w:rPr>
                <w:rFonts w:eastAsia="等线"/>
                <w:kern w:val="0"/>
                <w:sz w:val="20"/>
                <w:szCs w:val="20"/>
              </w:rPr>
              <w:t>);</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hint="eastAsia" w:ascii="宋体" w:hAnsi="宋体"/>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eastAsia="等线"/>
                <w:kern w:val="0"/>
                <w:sz w:val="20"/>
                <w:szCs w:val="20"/>
              </w:rPr>
              <w:t>1</w:t>
            </w:r>
          </w:p>
        </w:tc>
      </w:tr>
      <w:tr>
        <w:tblPrEx>
          <w:tblCellMar>
            <w:top w:w="0" w:type="dxa"/>
            <w:left w:w="108" w:type="dxa"/>
            <w:bottom w:w="0" w:type="dxa"/>
            <w:right w:w="108" w:type="dxa"/>
          </w:tblCellMar>
        </w:tblPrEx>
        <w:trPr>
          <w:trHeight w:val="1584" w:hRule="atLeast"/>
        </w:trPr>
        <w:tc>
          <w:tcPr>
            <w:tcW w:w="604"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eastAsia="等线"/>
                <w:kern w:val="0"/>
                <w:sz w:val="20"/>
                <w:szCs w:val="20"/>
              </w:rPr>
              <w:t>6</w:t>
            </w: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hint="eastAsia" w:ascii="宋体" w:hAnsi="宋体"/>
                <w:kern w:val="0"/>
                <w:sz w:val="20"/>
                <w:szCs w:val="20"/>
              </w:rPr>
              <w:t>漏洞扫描</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kern w:val="0"/>
                <w:sz w:val="20"/>
                <w:szCs w:val="20"/>
              </w:rPr>
            </w:pPr>
            <w:r>
              <w:rPr>
                <w:rFonts w:hint="eastAsia" w:ascii="宋体" w:hAnsi="宋体"/>
                <w:kern w:val="0"/>
                <w:sz w:val="20"/>
                <w:szCs w:val="20"/>
              </w:rPr>
              <w:t>系统漏扫授权</w:t>
            </w:r>
            <w:r>
              <w:rPr>
                <w:rFonts w:eastAsia="等线"/>
                <w:kern w:val="0"/>
                <w:sz w:val="20"/>
                <w:szCs w:val="20"/>
              </w:rPr>
              <w:t>IP</w:t>
            </w:r>
            <w:r>
              <w:rPr>
                <w:rFonts w:hint="eastAsia" w:ascii="宋体" w:hAnsi="宋体"/>
                <w:kern w:val="0"/>
                <w:sz w:val="20"/>
                <w:szCs w:val="20"/>
              </w:rPr>
              <w:t>数≥</w:t>
            </w:r>
            <w:r>
              <w:rPr>
                <w:rFonts w:eastAsia="等线"/>
                <w:kern w:val="0"/>
                <w:sz w:val="20"/>
                <w:szCs w:val="20"/>
              </w:rPr>
              <w:t>100</w:t>
            </w:r>
            <w:r>
              <w:rPr>
                <w:rFonts w:hint="eastAsia" w:ascii="宋体" w:hAnsi="宋体"/>
                <w:kern w:val="0"/>
                <w:sz w:val="20"/>
                <w:szCs w:val="20"/>
              </w:rPr>
              <w:t>，</w:t>
            </w:r>
            <w:r>
              <w:rPr>
                <w:rFonts w:eastAsia="等线"/>
                <w:kern w:val="0"/>
                <w:sz w:val="20"/>
                <w:szCs w:val="20"/>
              </w:rPr>
              <w:t>WEB</w:t>
            </w:r>
            <w:r>
              <w:rPr>
                <w:rFonts w:hint="eastAsia" w:ascii="宋体" w:hAnsi="宋体"/>
                <w:kern w:val="0"/>
                <w:sz w:val="20"/>
                <w:szCs w:val="20"/>
              </w:rPr>
              <w:t>漏扫授权</w:t>
            </w:r>
            <w:r>
              <w:rPr>
                <w:rFonts w:eastAsia="等线"/>
                <w:kern w:val="0"/>
                <w:sz w:val="20"/>
                <w:szCs w:val="20"/>
              </w:rPr>
              <w:t>URL</w:t>
            </w:r>
            <w:r>
              <w:rPr>
                <w:rFonts w:hint="eastAsia" w:ascii="宋体" w:hAnsi="宋体"/>
                <w:kern w:val="0"/>
                <w:sz w:val="20"/>
                <w:szCs w:val="20"/>
              </w:rPr>
              <w:t>数≥</w:t>
            </w:r>
            <w:r>
              <w:rPr>
                <w:rFonts w:eastAsia="等线"/>
                <w:kern w:val="0"/>
                <w:sz w:val="20"/>
                <w:szCs w:val="20"/>
              </w:rPr>
              <w:t>20</w:t>
            </w:r>
            <w:r>
              <w:rPr>
                <w:rFonts w:hint="eastAsia" w:ascii="宋体" w:hAnsi="宋体"/>
                <w:kern w:val="0"/>
                <w:sz w:val="20"/>
                <w:szCs w:val="20"/>
              </w:rPr>
              <w:t>；性能指标：主机漏扫最大并发</w:t>
            </w:r>
            <w:r>
              <w:rPr>
                <w:rFonts w:eastAsia="等线"/>
                <w:kern w:val="0"/>
                <w:sz w:val="20"/>
                <w:szCs w:val="20"/>
              </w:rPr>
              <w:t>IP</w:t>
            </w:r>
            <w:r>
              <w:rPr>
                <w:rFonts w:hint="eastAsia" w:ascii="宋体" w:hAnsi="宋体"/>
                <w:kern w:val="0"/>
                <w:sz w:val="20"/>
                <w:szCs w:val="20"/>
              </w:rPr>
              <w:t>数≥</w:t>
            </w:r>
            <w:r>
              <w:rPr>
                <w:rFonts w:eastAsia="等线"/>
                <w:kern w:val="0"/>
                <w:sz w:val="20"/>
                <w:szCs w:val="20"/>
              </w:rPr>
              <w:t>150</w:t>
            </w:r>
            <w:r>
              <w:rPr>
                <w:rFonts w:hint="eastAsia" w:ascii="宋体" w:hAnsi="宋体"/>
                <w:kern w:val="0"/>
                <w:sz w:val="20"/>
                <w:szCs w:val="20"/>
              </w:rPr>
              <w:t>，</w:t>
            </w:r>
            <w:r>
              <w:rPr>
                <w:rFonts w:eastAsia="等线"/>
                <w:kern w:val="0"/>
                <w:sz w:val="20"/>
                <w:szCs w:val="20"/>
              </w:rPr>
              <w:t>WEB</w:t>
            </w:r>
            <w:r>
              <w:rPr>
                <w:rFonts w:hint="eastAsia" w:ascii="宋体" w:hAnsi="宋体"/>
                <w:kern w:val="0"/>
                <w:sz w:val="20"/>
                <w:szCs w:val="20"/>
              </w:rPr>
              <w:t>漏扫最大并发</w:t>
            </w:r>
            <w:r>
              <w:rPr>
                <w:rFonts w:eastAsia="等线"/>
                <w:kern w:val="0"/>
                <w:sz w:val="20"/>
                <w:szCs w:val="20"/>
              </w:rPr>
              <w:t>URL</w:t>
            </w:r>
            <w:r>
              <w:rPr>
                <w:rFonts w:hint="eastAsia" w:ascii="宋体" w:hAnsi="宋体"/>
                <w:kern w:val="0"/>
                <w:sz w:val="20"/>
                <w:szCs w:val="20"/>
              </w:rPr>
              <w:t>数≥</w:t>
            </w:r>
            <w:r>
              <w:rPr>
                <w:rFonts w:eastAsia="等线"/>
                <w:kern w:val="0"/>
                <w:sz w:val="20"/>
                <w:szCs w:val="20"/>
              </w:rPr>
              <w:t>5</w:t>
            </w:r>
            <w:r>
              <w:rPr>
                <w:rFonts w:hint="eastAsia" w:ascii="宋体" w:hAnsi="宋体"/>
                <w:kern w:val="0"/>
                <w:sz w:val="20"/>
                <w:szCs w:val="20"/>
              </w:rPr>
              <w:t>。</w:t>
            </w:r>
            <w:r>
              <w:rPr>
                <w:rFonts w:hint="eastAsia" w:ascii="宋体" w:hAnsi="宋体"/>
                <w:kern w:val="0"/>
                <w:sz w:val="20"/>
                <w:szCs w:val="20"/>
              </w:rPr>
              <w:br w:type="textWrapping"/>
            </w:r>
            <w:r>
              <w:rPr>
                <w:rFonts w:hint="eastAsia" w:ascii="宋体" w:hAnsi="宋体"/>
                <w:kern w:val="0"/>
                <w:sz w:val="20"/>
                <w:szCs w:val="20"/>
              </w:rPr>
              <w:t>硬件参数：规格≥</w:t>
            </w:r>
            <w:r>
              <w:rPr>
                <w:rFonts w:eastAsia="等线"/>
                <w:kern w:val="0"/>
                <w:sz w:val="20"/>
                <w:szCs w:val="20"/>
              </w:rPr>
              <w:t>1U</w:t>
            </w:r>
            <w:r>
              <w:rPr>
                <w:rFonts w:hint="eastAsia" w:ascii="宋体" w:hAnsi="宋体"/>
                <w:kern w:val="0"/>
                <w:sz w:val="20"/>
                <w:szCs w:val="20"/>
              </w:rPr>
              <w:t>，内存大小≥</w:t>
            </w:r>
            <w:r>
              <w:rPr>
                <w:rFonts w:eastAsia="等线"/>
                <w:kern w:val="0"/>
                <w:sz w:val="20"/>
                <w:szCs w:val="20"/>
              </w:rPr>
              <w:t>8G</w:t>
            </w:r>
            <w:r>
              <w:rPr>
                <w:rFonts w:hint="eastAsia" w:ascii="宋体" w:hAnsi="宋体"/>
                <w:kern w:val="0"/>
                <w:sz w:val="20"/>
                <w:szCs w:val="20"/>
              </w:rPr>
              <w:t>，接口≥</w:t>
            </w:r>
            <w:r>
              <w:rPr>
                <w:rFonts w:eastAsia="等线"/>
                <w:kern w:val="0"/>
                <w:sz w:val="20"/>
                <w:szCs w:val="20"/>
              </w:rPr>
              <w:t>6</w:t>
            </w:r>
            <w:r>
              <w:rPr>
                <w:rFonts w:hint="eastAsia" w:ascii="宋体" w:hAnsi="宋体"/>
                <w:kern w:val="0"/>
                <w:sz w:val="20"/>
                <w:szCs w:val="20"/>
              </w:rPr>
              <w:t>千兆电口</w:t>
            </w:r>
            <w:r>
              <w:rPr>
                <w:rFonts w:eastAsia="等线"/>
                <w:kern w:val="0"/>
                <w:sz w:val="20"/>
                <w:szCs w:val="20"/>
              </w:rPr>
              <w:t>+2</w:t>
            </w:r>
            <w:r>
              <w:rPr>
                <w:rFonts w:hint="eastAsia" w:ascii="宋体" w:hAnsi="宋体"/>
                <w:kern w:val="0"/>
                <w:sz w:val="20"/>
                <w:szCs w:val="20"/>
              </w:rPr>
              <w:t>千兆光口</w:t>
            </w:r>
            <w:r>
              <w:rPr>
                <w:rFonts w:eastAsia="等线"/>
                <w:kern w:val="0"/>
                <w:sz w:val="20"/>
                <w:szCs w:val="20"/>
              </w:rPr>
              <w:t>SFP</w:t>
            </w:r>
            <w:r>
              <w:rPr>
                <w:rFonts w:hint="eastAsia" w:ascii="宋体" w:hAnsi="宋体"/>
                <w:kern w:val="0"/>
                <w:sz w:val="20"/>
                <w:szCs w:val="20"/>
              </w:rPr>
              <w:t>。</w:t>
            </w:r>
            <w:r>
              <w:rPr>
                <w:rFonts w:hint="eastAsia" w:ascii="宋体" w:hAnsi="宋体"/>
                <w:kern w:val="0"/>
                <w:sz w:val="20"/>
                <w:szCs w:val="20"/>
              </w:rPr>
              <w:br w:type="textWrapping"/>
            </w:r>
            <w:r>
              <w:rPr>
                <w:rFonts w:hint="eastAsia" w:ascii="宋体" w:hAnsi="宋体"/>
                <w:kern w:val="0"/>
                <w:sz w:val="20"/>
                <w:szCs w:val="20"/>
              </w:rPr>
              <w:t>含：网络资产脆弱性扫描系统软件</w:t>
            </w:r>
            <w:r>
              <w:rPr>
                <w:rFonts w:eastAsia="等线"/>
                <w:kern w:val="0"/>
                <w:sz w:val="20"/>
                <w:szCs w:val="20"/>
              </w:rPr>
              <w:t>(*1</w:t>
            </w:r>
            <w:r>
              <w:rPr>
                <w:rFonts w:hint="eastAsia" w:ascii="宋体" w:hAnsi="宋体"/>
                <w:kern w:val="0"/>
                <w:sz w:val="20"/>
                <w:szCs w:val="20"/>
              </w:rPr>
              <w:t>套</w:t>
            </w:r>
            <w:r>
              <w:rPr>
                <w:rFonts w:eastAsia="等线"/>
                <w:kern w:val="0"/>
                <w:sz w:val="20"/>
                <w:szCs w:val="20"/>
              </w:rPr>
              <w:t>);</w:t>
            </w:r>
            <w:r>
              <w:rPr>
                <w:rFonts w:eastAsia="等线"/>
                <w:kern w:val="0"/>
                <w:sz w:val="20"/>
                <w:szCs w:val="20"/>
              </w:rPr>
              <w:br w:type="textWrapping"/>
            </w:r>
            <w:r>
              <w:rPr>
                <w:rFonts w:hint="eastAsia" w:ascii="宋体" w:hAnsi="宋体"/>
                <w:kern w:val="0"/>
                <w:sz w:val="20"/>
                <w:szCs w:val="20"/>
              </w:rPr>
              <w:t>产品质保</w:t>
            </w:r>
            <w:r>
              <w:rPr>
                <w:rFonts w:eastAsia="等线"/>
                <w:kern w:val="0"/>
                <w:sz w:val="20"/>
                <w:szCs w:val="20"/>
              </w:rPr>
              <w:t>(*3</w:t>
            </w:r>
            <w:r>
              <w:rPr>
                <w:rFonts w:hint="eastAsia" w:ascii="宋体" w:hAnsi="宋体"/>
                <w:kern w:val="0"/>
                <w:sz w:val="20"/>
                <w:szCs w:val="20"/>
              </w:rPr>
              <w:t>年</w:t>
            </w:r>
            <w:r>
              <w:rPr>
                <w:rFonts w:eastAsia="等线"/>
                <w:kern w:val="0"/>
                <w:sz w:val="20"/>
                <w:szCs w:val="20"/>
              </w:rPr>
              <w:t>);</w:t>
            </w:r>
            <w:r>
              <w:rPr>
                <w:rFonts w:eastAsia="等线"/>
                <w:kern w:val="0"/>
                <w:sz w:val="20"/>
                <w:szCs w:val="20"/>
              </w:rPr>
              <w:br w:type="textWrapping"/>
            </w:r>
            <w:r>
              <w:rPr>
                <w:rFonts w:hint="eastAsia" w:ascii="宋体" w:hAnsi="宋体"/>
                <w:kern w:val="0"/>
                <w:sz w:val="20"/>
                <w:szCs w:val="20"/>
              </w:rPr>
              <w:t>软件升级</w:t>
            </w:r>
            <w:r>
              <w:rPr>
                <w:rFonts w:eastAsia="等线"/>
                <w:kern w:val="0"/>
                <w:sz w:val="20"/>
                <w:szCs w:val="20"/>
              </w:rPr>
              <w:t>(*3</w:t>
            </w:r>
            <w:r>
              <w:rPr>
                <w:rFonts w:hint="eastAsia" w:ascii="宋体" w:hAnsi="宋体"/>
                <w:kern w:val="0"/>
                <w:sz w:val="20"/>
                <w:szCs w:val="20"/>
              </w:rPr>
              <w:t>年</w:t>
            </w:r>
            <w:r>
              <w:rPr>
                <w:rFonts w:eastAsia="等线"/>
                <w:kern w:val="0"/>
                <w:sz w:val="20"/>
                <w:szCs w:val="20"/>
              </w:rPr>
              <w:t>);</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hint="eastAsia" w:ascii="宋体" w:hAnsi="宋体"/>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eastAsia="等线"/>
                <w:kern w:val="0"/>
                <w:sz w:val="20"/>
                <w:szCs w:val="20"/>
              </w:rPr>
              <w:t>1</w:t>
            </w:r>
          </w:p>
        </w:tc>
      </w:tr>
      <w:tr>
        <w:tblPrEx>
          <w:tblCellMar>
            <w:top w:w="0" w:type="dxa"/>
            <w:left w:w="108" w:type="dxa"/>
            <w:bottom w:w="0" w:type="dxa"/>
            <w:right w:w="108" w:type="dxa"/>
          </w:tblCellMar>
        </w:tblPrEx>
        <w:trPr>
          <w:trHeight w:val="1848" w:hRule="atLeast"/>
        </w:trPr>
        <w:tc>
          <w:tcPr>
            <w:tcW w:w="604"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eastAsia="等线"/>
                <w:kern w:val="0"/>
                <w:sz w:val="20"/>
                <w:szCs w:val="20"/>
              </w:rPr>
              <w:t>7</w:t>
            </w: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hint="eastAsia" w:ascii="宋体" w:hAnsi="宋体"/>
                <w:kern w:val="0"/>
                <w:sz w:val="20"/>
                <w:szCs w:val="20"/>
              </w:rPr>
              <w:t>物联网接入安全网关</w:t>
            </w:r>
            <w:r>
              <w:rPr>
                <w:rFonts w:eastAsia="等线"/>
                <w:kern w:val="0"/>
                <w:sz w:val="20"/>
                <w:szCs w:val="20"/>
              </w:rPr>
              <w:t>(SIG)(</w:t>
            </w:r>
            <w:r>
              <w:rPr>
                <w:rFonts w:hint="eastAsia" w:ascii="宋体" w:hAnsi="宋体"/>
                <w:kern w:val="0"/>
                <w:sz w:val="20"/>
                <w:szCs w:val="20"/>
              </w:rPr>
              <w:t>视频网准入网关</w:t>
            </w:r>
            <w:r>
              <w:rPr>
                <w:rFonts w:eastAsia="等线"/>
                <w:kern w:val="0"/>
                <w:sz w:val="20"/>
                <w:szCs w:val="20"/>
              </w:rPr>
              <w:t>)</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kern w:val="0"/>
                <w:sz w:val="20"/>
                <w:szCs w:val="20"/>
              </w:rPr>
            </w:pPr>
            <w:r>
              <w:rPr>
                <w:rFonts w:hint="eastAsia" w:ascii="宋体" w:hAnsi="宋体"/>
                <w:kern w:val="0"/>
                <w:sz w:val="20"/>
                <w:szCs w:val="20"/>
              </w:rPr>
              <w:t>性能参数：</w:t>
            </w:r>
            <w:r>
              <w:rPr>
                <w:rFonts w:eastAsia="等线"/>
                <w:kern w:val="0"/>
                <w:sz w:val="20"/>
                <w:szCs w:val="20"/>
              </w:rPr>
              <w:t>IPC</w:t>
            </w:r>
            <w:r>
              <w:rPr>
                <w:rFonts w:hint="eastAsia" w:ascii="宋体" w:hAnsi="宋体"/>
                <w:kern w:val="0"/>
                <w:sz w:val="20"/>
                <w:szCs w:val="20"/>
              </w:rPr>
              <w:t>摄像头准入数≥</w:t>
            </w:r>
            <w:r>
              <w:rPr>
                <w:rFonts w:eastAsia="等线"/>
                <w:kern w:val="0"/>
                <w:sz w:val="20"/>
                <w:szCs w:val="20"/>
              </w:rPr>
              <w:t>3300</w:t>
            </w:r>
            <w:r>
              <w:rPr>
                <w:rFonts w:hint="eastAsia" w:ascii="宋体" w:hAnsi="宋体"/>
                <w:kern w:val="0"/>
                <w:sz w:val="20"/>
                <w:szCs w:val="20"/>
              </w:rPr>
              <w:t>，应用层吞吐量≥</w:t>
            </w:r>
            <w:r>
              <w:rPr>
                <w:rFonts w:eastAsia="等线"/>
                <w:kern w:val="0"/>
                <w:sz w:val="20"/>
                <w:szCs w:val="20"/>
              </w:rPr>
              <w:t>13Gb</w:t>
            </w:r>
            <w:r>
              <w:rPr>
                <w:rFonts w:hint="eastAsia" w:ascii="宋体" w:hAnsi="宋体"/>
                <w:kern w:val="0"/>
                <w:sz w:val="20"/>
                <w:szCs w:val="20"/>
              </w:rPr>
              <w:t>，每秒新建连接数≥</w:t>
            </w:r>
            <w:r>
              <w:rPr>
                <w:rFonts w:eastAsia="等线"/>
                <w:kern w:val="0"/>
                <w:sz w:val="20"/>
                <w:szCs w:val="20"/>
              </w:rPr>
              <w:t>80000</w:t>
            </w:r>
            <w:r>
              <w:rPr>
                <w:rFonts w:hint="eastAsia" w:ascii="宋体" w:hAnsi="宋体"/>
                <w:kern w:val="0"/>
                <w:sz w:val="20"/>
                <w:szCs w:val="20"/>
              </w:rPr>
              <w:t>，最大并发连接数≥</w:t>
            </w:r>
            <w:r>
              <w:rPr>
                <w:rFonts w:eastAsia="等线"/>
                <w:kern w:val="0"/>
                <w:sz w:val="20"/>
                <w:szCs w:val="20"/>
              </w:rPr>
              <w:t>3200000</w:t>
            </w:r>
            <w:r>
              <w:rPr>
                <w:rFonts w:hint="eastAsia" w:ascii="宋体" w:hAnsi="宋体"/>
                <w:kern w:val="0"/>
                <w:sz w:val="20"/>
                <w:szCs w:val="20"/>
              </w:rPr>
              <w:t>。</w:t>
            </w:r>
            <w:r>
              <w:rPr>
                <w:rFonts w:hint="eastAsia" w:ascii="宋体" w:hAnsi="宋体"/>
                <w:kern w:val="0"/>
                <w:sz w:val="20"/>
                <w:szCs w:val="20"/>
              </w:rPr>
              <w:br w:type="textWrapping"/>
            </w:r>
            <w:r>
              <w:rPr>
                <w:rFonts w:hint="eastAsia" w:ascii="宋体" w:hAnsi="宋体"/>
                <w:kern w:val="0"/>
                <w:sz w:val="20"/>
                <w:szCs w:val="20"/>
              </w:rPr>
              <w:t>硬件参数：规格≥</w:t>
            </w:r>
            <w:r>
              <w:rPr>
                <w:rFonts w:eastAsia="等线"/>
                <w:kern w:val="0"/>
                <w:sz w:val="20"/>
                <w:szCs w:val="20"/>
              </w:rPr>
              <w:t>2U</w:t>
            </w:r>
            <w:r>
              <w:rPr>
                <w:rFonts w:hint="eastAsia" w:ascii="宋体" w:hAnsi="宋体"/>
                <w:kern w:val="0"/>
                <w:sz w:val="20"/>
                <w:szCs w:val="20"/>
              </w:rPr>
              <w:t>，内存大小≥</w:t>
            </w:r>
            <w:r>
              <w:rPr>
                <w:rFonts w:eastAsia="等线"/>
                <w:kern w:val="0"/>
                <w:sz w:val="20"/>
                <w:szCs w:val="20"/>
              </w:rPr>
              <w:t>24G</w:t>
            </w:r>
            <w:r>
              <w:rPr>
                <w:rFonts w:hint="eastAsia" w:ascii="宋体" w:hAnsi="宋体"/>
                <w:kern w:val="0"/>
                <w:sz w:val="20"/>
                <w:szCs w:val="20"/>
              </w:rPr>
              <w:t>，硬盘容量≥</w:t>
            </w:r>
            <w:r>
              <w:rPr>
                <w:rFonts w:eastAsia="等线"/>
                <w:kern w:val="0"/>
                <w:sz w:val="20"/>
                <w:szCs w:val="20"/>
              </w:rPr>
              <w:t>960G SSD+64G SSD</w:t>
            </w:r>
            <w:r>
              <w:rPr>
                <w:rFonts w:hint="eastAsia" w:ascii="宋体" w:hAnsi="宋体"/>
                <w:kern w:val="0"/>
                <w:sz w:val="20"/>
                <w:szCs w:val="20"/>
              </w:rPr>
              <w:t>，电源：冗余电源，接口≥</w:t>
            </w:r>
            <w:r>
              <w:rPr>
                <w:rFonts w:eastAsia="等线"/>
                <w:kern w:val="0"/>
                <w:sz w:val="20"/>
                <w:szCs w:val="20"/>
              </w:rPr>
              <w:t>4</w:t>
            </w:r>
            <w:r>
              <w:rPr>
                <w:rFonts w:hint="eastAsia" w:ascii="宋体" w:hAnsi="宋体"/>
                <w:kern w:val="0"/>
                <w:sz w:val="20"/>
                <w:szCs w:val="20"/>
              </w:rPr>
              <w:t>千兆电口</w:t>
            </w:r>
            <w:r>
              <w:rPr>
                <w:rFonts w:eastAsia="等线"/>
                <w:kern w:val="0"/>
                <w:sz w:val="20"/>
                <w:szCs w:val="20"/>
              </w:rPr>
              <w:t>+8</w:t>
            </w:r>
            <w:r>
              <w:rPr>
                <w:rFonts w:hint="eastAsia" w:ascii="宋体" w:hAnsi="宋体"/>
                <w:kern w:val="0"/>
                <w:sz w:val="20"/>
                <w:szCs w:val="20"/>
              </w:rPr>
              <w:t>千兆光口</w:t>
            </w:r>
            <w:r>
              <w:rPr>
                <w:rFonts w:eastAsia="等线"/>
                <w:kern w:val="0"/>
                <w:sz w:val="20"/>
                <w:szCs w:val="20"/>
              </w:rPr>
              <w:t>SFP+4</w:t>
            </w:r>
            <w:r>
              <w:rPr>
                <w:rFonts w:hint="eastAsia" w:ascii="宋体" w:hAnsi="宋体"/>
                <w:kern w:val="0"/>
                <w:sz w:val="20"/>
                <w:szCs w:val="20"/>
              </w:rPr>
              <w:t>万兆光口</w:t>
            </w:r>
            <w:r>
              <w:rPr>
                <w:rFonts w:eastAsia="等线"/>
                <w:kern w:val="0"/>
                <w:sz w:val="20"/>
                <w:szCs w:val="20"/>
              </w:rPr>
              <w:t>SFP+</w:t>
            </w:r>
            <w:r>
              <w:rPr>
                <w:rFonts w:hint="eastAsia" w:ascii="宋体" w:hAnsi="宋体"/>
                <w:kern w:val="0"/>
                <w:sz w:val="20"/>
                <w:szCs w:val="20"/>
              </w:rPr>
              <w:t>。</w:t>
            </w:r>
            <w:r>
              <w:rPr>
                <w:rFonts w:hint="eastAsia" w:ascii="宋体" w:hAnsi="宋体"/>
                <w:kern w:val="0"/>
                <w:sz w:val="20"/>
                <w:szCs w:val="20"/>
              </w:rPr>
              <w:br w:type="textWrapping"/>
            </w:r>
            <w:r>
              <w:rPr>
                <w:rFonts w:hint="eastAsia" w:ascii="宋体" w:hAnsi="宋体"/>
                <w:kern w:val="0"/>
                <w:sz w:val="20"/>
                <w:szCs w:val="20"/>
              </w:rPr>
              <w:t>含：物联网接入安全网关软件</w:t>
            </w:r>
            <w:r>
              <w:rPr>
                <w:rFonts w:eastAsia="等线"/>
                <w:kern w:val="0"/>
                <w:sz w:val="20"/>
                <w:szCs w:val="20"/>
              </w:rPr>
              <w:t>(*1</w:t>
            </w:r>
            <w:r>
              <w:rPr>
                <w:rFonts w:hint="eastAsia" w:ascii="宋体" w:hAnsi="宋体"/>
                <w:kern w:val="0"/>
                <w:sz w:val="20"/>
                <w:szCs w:val="20"/>
              </w:rPr>
              <w:t>套</w:t>
            </w:r>
            <w:r>
              <w:rPr>
                <w:rFonts w:eastAsia="等线"/>
                <w:kern w:val="0"/>
                <w:sz w:val="20"/>
                <w:szCs w:val="20"/>
              </w:rPr>
              <w:t>);</w:t>
            </w:r>
            <w:r>
              <w:rPr>
                <w:rFonts w:eastAsia="等线"/>
                <w:kern w:val="0"/>
                <w:sz w:val="20"/>
                <w:szCs w:val="20"/>
              </w:rPr>
              <w:br w:type="textWrapping"/>
            </w:r>
            <w:r>
              <w:rPr>
                <w:rFonts w:hint="eastAsia" w:ascii="宋体" w:hAnsi="宋体"/>
                <w:kern w:val="0"/>
                <w:sz w:val="20"/>
                <w:szCs w:val="20"/>
              </w:rPr>
              <w:t>产品质保</w:t>
            </w:r>
            <w:r>
              <w:rPr>
                <w:rFonts w:eastAsia="等线"/>
                <w:kern w:val="0"/>
                <w:sz w:val="20"/>
                <w:szCs w:val="20"/>
              </w:rPr>
              <w:t>(*3</w:t>
            </w:r>
            <w:r>
              <w:rPr>
                <w:rFonts w:hint="eastAsia" w:ascii="宋体" w:hAnsi="宋体"/>
                <w:kern w:val="0"/>
                <w:sz w:val="20"/>
                <w:szCs w:val="20"/>
              </w:rPr>
              <w:t>年</w:t>
            </w:r>
            <w:r>
              <w:rPr>
                <w:rFonts w:eastAsia="等线"/>
                <w:kern w:val="0"/>
                <w:sz w:val="20"/>
                <w:szCs w:val="20"/>
              </w:rPr>
              <w:t>);</w:t>
            </w:r>
            <w:r>
              <w:rPr>
                <w:rFonts w:eastAsia="等线"/>
                <w:kern w:val="0"/>
                <w:sz w:val="20"/>
                <w:szCs w:val="20"/>
              </w:rPr>
              <w:br w:type="textWrapping"/>
            </w:r>
            <w:r>
              <w:rPr>
                <w:rFonts w:hint="eastAsia" w:ascii="宋体" w:hAnsi="宋体"/>
                <w:kern w:val="0"/>
                <w:sz w:val="20"/>
                <w:szCs w:val="20"/>
              </w:rPr>
              <w:t>软件升级</w:t>
            </w:r>
            <w:r>
              <w:rPr>
                <w:rFonts w:eastAsia="等线"/>
                <w:kern w:val="0"/>
                <w:sz w:val="20"/>
                <w:szCs w:val="20"/>
              </w:rPr>
              <w:t>(*3</w:t>
            </w:r>
            <w:r>
              <w:rPr>
                <w:rFonts w:hint="eastAsia" w:ascii="宋体" w:hAnsi="宋体"/>
                <w:kern w:val="0"/>
                <w:sz w:val="20"/>
                <w:szCs w:val="20"/>
              </w:rPr>
              <w:t>年</w:t>
            </w:r>
            <w:r>
              <w:rPr>
                <w:rFonts w:eastAsia="等线"/>
                <w:kern w:val="0"/>
                <w:sz w:val="20"/>
                <w:szCs w:val="20"/>
              </w:rPr>
              <w:t>);</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hint="eastAsia" w:ascii="宋体" w:hAnsi="宋体"/>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eastAsia="等线"/>
                <w:kern w:val="0"/>
                <w:sz w:val="20"/>
                <w:szCs w:val="20"/>
              </w:rPr>
              <w:t>1</w:t>
            </w:r>
          </w:p>
        </w:tc>
      </w:tr>
      <w:tr>
        <w:tblPrEx>
          <w:tblCellMar>
            <w:top w:w="0" w:type="dxa"/>
            <w:left w:w="108" w:type="dxa"/>
            <w:bottom w:w="0" w:type="dxa"/>
            <w:right w:w="108" w:type="dxa"/>
          </w:tblCellMar>
        </w:tblPrEx>
        <w:trPr>
          <w:trHeight w:val="1824" w:hRule="atLeast"/>
        </w:trPr>
        <w:tc>
          <w:tcPr>
            <w:tcW w:w="604"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eastAsia="等线"/>
                <w:kern w:val="0"/>
                <w:sz w:val="20"/>
                <w:szCs w:val="20"/>
              </w:rPr>
              <w:t>8</w:t>
            </w: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eastAsia="等线"/>
                <w:kern w:val="0"/>
                <w:sz w:val="20"/>
                <w:szCs w:val="20"/>
              </w:rPr>
              <w:t>OSM-</w:t>
            </w:r>
            <w:r>
              <w:rPr>
                <w:rFonts w:hint="eastAsia" w:ascii="宋体" w:hAnsi="宋体"/>
                <w:kern w:val="0"/>
                <w:sz w:val="20"/>
                <w:szCs w:val="20"/>
              </w:rPr>
              <w:t>堡垒机</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kern w:val="0"/>
                <w:sz w:val="20"/>
                <w:szCs w:val="20"/>
              </w:rPr>
            </w:pPr>
            <w:r>
              <w:rPr>
                <w:rFonts w:hint="eastAsia" w:ascii="宋体" w:hAnsi="宋体"/>
                <w:kern w:val="0"/>
                <w:sz w:val="20"/>
                <w:szCs w:val="20"/>
              </w:rPr>
              <w:t>性能参数：默认包含运维授权数</w:t>
            </w:r>
            <w:r>
              <w:rPr>
                <w:rFonts w:hint="eastAsia" w:ascii="宋体" w:hAnsi="宋体"/>
                <w:b/>
                <w:bCs/>
                <w:kern w:val="0"/>
                <w:sz w:val="20"/>
                <w:szCs w:val="20"/>
              </w:rPr>
              <w:t>≥</w:t>
            </w:r>
            <w:r>
              <w:rPr>
                <w:rFonts w:eastAsia="等线"/>
                <w:b/>
                <w:bCs/>
                <w:kern w:val="0"/>
                <w:sz w:val="20"/>
                <w:szCs w:val="20"/>
              </w:rPr>
              <w:t>100</w:t>
            </w:r>
            <w:r>
              <w:rPr>
                <w:rFonts w:hint="eastAsia" w:ascii="宋体" w:hAnsi="宋体"/>
                <w:kern w:val="0"/>
                <w:sz w:val="20"/>
                <w:szCs w:val="20"/>
              </w:rPr>
              <w:t>，最大可扩展资产数≥</w:t>
            </w:r>
            <w:r>
              <w:rPr>
                <w:rFonts w:eastAsia="等线"/>
                <w:kern w:val="0"/>
                <w:sz w:val="20"/>
                <w:szCs w:val="20"/>
              </w:rPr>
              <w:t>150</w:t>
            </w:r>
            <w:r>
              <w:rPr>
                <w:rFonts w:hint="eastAsia" w:ascii="宋体" w:hAnsi="宋体"/>
                <w:kern w:val="0"/>
                <w:sz w:val="20"/>
                <w:szCs w:val="20"/>
              </w:rPr>
              <w:t>，图形运维最大并发数≥</w:t>
            </w:r>
            <w:r>
              <w:rPr>
                <w:rFonts w:eastAsia="等线"/>
                <w:kern w:val="0"/>
                <w:sz w:val="20"/>
                <w:szCs w:val="20"/>
              </w:rPr>
              <w:t>100</w:t>
            </w:r>
            <w:r>
              <w:rPr>
                <w:rFonts w:hint="eastAsia" w:ascii="宋体" w:hAnsi="宋体"/>
                <w:kern w:val="0"/>
                <w:sz w:val="20"/>
                <w:szCs w:val="20"/>
              </w:rPr>
              <w:t>，字符运维最大并发数≥</w:t>
            </w:r>
            <w:r>
              <w:rPr>
                <w:rFonts w:eastAsia="等线"/>
                <w:kern w:val="0"/>
                <w:sz w:val="20"/>
                <w:szCs w:val="20"/>
              </w:rPr>
              <w:t>200</w:t>
            </w:r>
            <w:r>
              <w:rPr>
                <w:rFonts w:hint="eastAsia" w:ascii="宋体" w:hAnsi="宋体"/>
                <w:kern w:val="0"/>
                <w:sz w:val="20"/>
                <w:szCs w:val="20"/>
              </w:rPr>
              <w:t>。</w:t>
            </w:r>
            <w:r>
              <w:rPr>
                <w:rFonts w:hint="eastAsia" w:ascii="宋体" w:hAnsi="宋体"/>
                <w:kern w:val="0"/>
                <w:sz w:val="20"/>
                <w:szCs w:val="20"/>
              </w:rPr>
              <w:br w:type="textWrapping"/>
            </w:r>
            <w:r>
              <w:rPr>
                <w:rFonts w:hint="eastAsia" w:ascii="宋体" w:hAnsi="宋体"/>
                <w:kern w:val="0"/>
                <w:sz w:val="20"/>
                <w:szCs w:val="20"/>
              </w:rPr>
              <w:t>硬件参数：规格≥</w:t>
            </w:r>
            <w:r>
              <w:rPr>
                <w:rFonts w:eastAsia="等线"/>
                <w:kern w:val="0"/>
                <w:sz w:val="20"/>
                <w:szCs w:val="20"/>
              </w:rPr>
              <w:t>1U</w:t>
            </w:r>
            <w:r>
              <w:rPr>
                <w:rFonts w:hint="eastAsia" w:ascii="宋体" w:hAnsi="宋体"/>
                <w:kern w:val="0"/>
                <w:sz w:val="20"/>
                <w:szCs w:val="20"/>
              </w:rPr>
              <w:t>，内存大小≥</w:t>
            </w:r>
            <w:r>
              <w:rPr>
                <w:rFonts w:eastAsia="等线"/>
                <w:kern w:val="0"/>
                <w:sz w:val="20"/>
                <w:szCs w:val="20"/>
              </w:rPr>
              <w:t>8G</w:t>
            </w:r>
            <w:r>
              <w:rPr>
                <w:rFonts w:hint="eastAsia" w:ascii="宋体" w:hAnsi="宋体"/>
                <w:kern w:val="0"/>
                <w:sz w:val="20"/>
                <w:szCs w:val="20"/>
              </w:rPr>
              <w:t>，硬盘容量≥</w:t>
            </w:r>
            <w:r>
              <w:rPr>
                <w:rFonts w:eastAsia="等线"/>
                <w:kern w:val="0"/>
                <w:sz w:val="20"/>
                <w:szCs w:val="20"/>
              </w:rPr>
              <w:t>2T SATA</w:t>
            </w:r>
            <w:r>
              <w:rPr>
                <w:rFonts w:hint="eastAsia" w:ascii="宋体" w:hAnsi="宋体"/>
                <w:kern w:val="0"/>
                <w:sz w:val="20"/>
                <w:szCs w:val="20"/>
              </w:rPr>
              <w:t>，接口≥</w:t>
            </w:r>
            <w:r>
              <w:rPr>
                <w:rFonts w:eastAsia="等线"/>
                <w:kern w:val="0"/>
                <w:sz w:val="20"/>
                <w:szCs w:val="20"/>
              </w:rPr>
              <w:t>6</w:t>
            </w:r>
            <w:r>
              <w:rPr>
                <w:rFonts w:hint="eastAsia" w:ascii="宋体" w:hAnsi="宋体"/>
                <w:kern w:val="0"/>
                <w:sz w:val="20"/>
                <w:szCs w:val="20"/>
              </w:rPr>
              <w:t>千兆电口。</w:t>
            </w:r>
            <w:r>
              <w:rPr>
                <w:rFonts w:hint="eastAsia" w:ascii="宋体" w:hAnsi="宋体"/>
                <w:kern w:val="0"/>
                <w:sz w:val="20"/>
                <w:szCs w:val="20"/>
              </w:rPr>
              <w:br w:type="textWrapping"/>
            </w:r>
            <w:r>
              <w:rPr>
                <w:rFonts w:hint="eastAsia" w:ascii="宋体" w:hAnsi="宋体"/>
                <w:kern w:val="0"/>
                <w:sz w:val="20"/>
                <w:szCs w:val="20"/>
              </w:rPr>
              <w:t>含：</w:t>
            </w:r>
            <w:r>
              <w:rPr>
                <w:rFonts w:hint="eastAsia" w:ascii="宋体" w:hAnsi="宋体"/>
                <w:kern w:val="0"/>
                <w:sz w:val="20"/>
                <w:szCs w:val="20"/>
              </w:rPr>
              <w:br w:type="textWrapping"/>
            </w:r>
            <w:r>
              <w:rPr>
                <w:rFonts w:hint="eastAsia" w:ascii="宋体" w:hAnsi="宋体"/>
                <w:kern w:val="0"/>
                <w:sz w:val="20"/>
                <w:szCs w:val="20"/>
              </w:rPr>
              <w:t>运维安全管理系统软件</w:t>
            </w:r>
            <w:r>
              <w:rPr>
                <w:rFonts w:eastAsia="等线"/>
                <w:kern w:val="0"/>
                <w:sz w:val="20"/>
                <w:szCs w:val="20"/>
              </w:rPr>
              <w:t>(*1</w:t>
            </w:r>
            <w:r>
              <w:rPr>
                <w:rFonts w:hint="eastAsia" w:ascii="宋体" w:hAnsi="宋体"/>
                <w:kern w:val="0"/>
                <w:sz w:val="20"/>
                <w:szCs w:val="20"/>
              </w:rPr>
              <w:t>套</w:t>
            </w:r>
            <w:r>
              <w:rPr>
                <w:rFonts w:eastAsia="等线"/>
                <w:kern w:val="0"/>
                <w:sz w:val="20"/>
                <w:szCs w:val="20"/>
              </w:rPr>
              <w:t>);</w:t>
            </w:r>
            <w:r>
              <w:rPr>
                <w:rFonts w:eastAsia="等线"/>
                <w:kern w:val="0"/>
                <w:sz w:val="20"/>
                <w:szCs w:val="20"/>
              </w:rPr>
              <w:br w:type="textWrapping"/>
            </w:r>
            <w:r>
              <w:rPr>
                <w:rFonts w:hint="eastAsia" w:ascii="宋体" w:hAnsi="宋体"/>
                <w:kern w:val="0"/>
                <w:sz w:val="20"/>
                <w:szCs w:val="20"/>
              </w:rPr>
              <w:t>产品质保</w:t>
            </w:r>
            <w:r>
              <w:rPr>
                <w:rFonts w:eastAsia="等线"/>
                <w:kern w:val="0"/>
                <w:sz w:val="20"/>
                <w:szCs w:val="20"/>
              </w:rPr>
              <w:t>(*3</w:t>
            </w:r>
            <w:r>
              <w:rPr>
                <w:rFonts w:hint="eastAsia" w:ascii="宋体" w:hAnsi="宋体"/>
                <w:kern w:val="0"/>
                <w:sz w:val="20"/>
                <w:szCs w:val="20"/>
              </w:rPr>
              <w:t>年</w:t>
            </w:r>
            <w:r>
              <w:rPr>
                <w:rFonts w:eastAsia="等线"/>
                <w:kern w:val="0"/>
                <w:sz w:val="20"/>
                <w:szCs w:val="20"/>
              </w:rPr>
              <w:t>);</w:t>
            </w:r>
            <w:r>
              <w:rPr>
                <w:rFonts w:eastAsia="等线"/>
                <w:kern w:val="0"/>
                <w:sz w:val="20"/>
                <w:szCs w:val="20"/>
              </w:rPr>
              <w:br w:type="textWrapping"/>
            </w:r>
            <w:r>
              <w:rPr>
                <w:rFonts w:hint="eastAsia" w:ascii="宋体" w:hAnsi="宋体"/>
                <w:kern w:val="0"/>
                <w:sz w:val="20"/>
                <w:szCs w:val="20"/>
              </w:rPr>
              <w:t>软件升级</w:t>
            </w:r>
            <w:r>
              <w:rPr>
                <w:rFonts w:eastAsia="等线"/>
                <w:kern w:val="0"/>
                <w:sz w:val="20"/>
                <w:szCs w:val="20"/>
              </w:rPr>
              <w:t>(*3</w:t>
            </w:r>
            <w:r>
              <w:rPr>
                <w:rFonts w:hint="eastAsia" w:ascii="宋体" w:hAnsi="宋体"/>
                <w:kern w:val="0"/>
                <w:sz w:val="20"/>
                <w:szCs w:val="20"/>
              </w:rPr>
              <w:t>年</w:t>
            </w:r>
            <w:r>
              <w:rPr>
                <w:rFonts w:eastAsia="等线"/>
                <w:kern w:val="0"/>
                <w:sz w:val="20"/>
                <w:szCs w:val="20"/>
              </w:rPr>
              <w:t>);</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hint="eastAsia" w:ascii="宋体" w:hAnsi="宋体"/>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eastAsia="等线"/>
                <w:kern w:val="0"/>
                <w:sz w:val="20"/>
                <w:szCs w:val="20"/>
              </w:rPr>
              <w:t>1</w:t>
            </w:r>
          </w:p>
        </w:tc>
      </w:tr>
      <w:tr>
        <w:tblPrEx>
          <w:tblCellMar>
            <w:top w:w="0" w:type="dxa"/>
            <w:left w:w="108" w:type="dxa"/>
            <w:bottom w:w="0" w:type="dxa"/>
            <w:right w:w="108" w:type="dxa"/>
          </w:tblCellMar>
        </w:tblPrEx>
        <w:trPr>
          <w:trHeight w:val="2088" w:hRule="atLeast"/>
        </w:trPr>
        <w:tc>
          <w:tcPr>
            <w:tcW w:w="604"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eastAsia="等线"/>
                <w:kern w:val="0"/>
                <w:sz w:val="20"/>
                <w:szCs w:val="20"/>
              </w:rPr>
              <w:t>9</w:t>
            </w: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hint="eastAsia" w:ascii="宋体" w:hAnsi="宋体"/>
                <w:kern w:val="0"/>
                <w:sz w:val="20"/>
                <w:szCs w:val="20"/>
              </w:rPr>
              <w:t>终端安全管理系统</w:t>
            </w:r>
            <w:r>
              <w:rPr>
                <w:rFonts w:eastAsia="等线"/>
                <w:kern w:val="0"/>
                <w:sz w:val="20"/>
                <w:szCs w:val="20"/>
              </w:rPr>
              <w:t>(EDR)</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kern w:val="0"/>
                <w:sz w:val="20"/>
                <w:szCs w:val="20"/>
              </w:rPr>
            </w:pPr>
            <w:r>
              <w:rPr>
                <w:rFonts w:hint="eastAsia" w:ascii="宋体" w:hAnsi="宋体"/>
                <w:kern w:val="0"/>
                <w:sz w:val="20"/>
                <w:szCs w:val="20"/>
              </w:rPr>
              <w:t>性能参数：最大支持管控</w:t>
            </w:r>
            <w:r>
              <w:rPr>
                <w:rFonts w:eastAsia="等线"/>
                <w:kern w:val="0"/>
                <w:sz w:val="20"/>
                <w:szCs w:val="20"/>
              </w:rPr>
              <w:t>EDR</w:t>
            </w:r>
            <w:r>
              <w:rPr>
                <w:rFonts w:hint="eastAsia" w:ascii="宋体" w:hAnsi="宋体"/>
                <w:kern w:val="0"/>
                <w:sz w:val="20"/>
                <w:szCs w:val="20"/>
              </w:rPr>
              <w:t>客户端数量≥</w:t>
            </w:r>
            <w:r>
              <w:rPr>
                <w:rFonts w:eastAsia="等线"/>
                <w:kern w:val="0"/>
                <w:sz w:val="20"/>
                <w:szCs w:val="20"/>
              </w:rPr>
              <w:t>2000</w:t>
            </w:r>
            <w:r>
              <w:rPr>
                <w:rFonts w:hint="eastAsia" w:ascii="宋体" w:hAnsi="宋体"/>
                <w:kern w:val="0"/>
                <w:sz w:val="20"/>
                <w:szCs w:val="20"/>
              </w:rPr>
              <w:t>点；</w:t>
            </w:r>
            <w:r>
              <w:rPr>
                <w:rFonts w:hint="eastAsia" w:ascii="宋体" w:hAnsi="宋体"/>
                <w:kern w:val="0"/>
                <w:sz w:val="20"/>
                <w:szCs w:val="20"/>
              </w:rPr>
              <w:br w:type="textWrapping"/>
            </w:r>
            <w:r>
              <w:rPr>
                <w:rFonts w:hint="eastAsia" w:ascii="宋体" w:hAnsi="宋体"/>
                <w:kern w:val="0"/>
                <w:sz w:val="20"/>
                <w:szCs w:val="20"/>
              </w:rPr>
              <w:t>硬件参数：规格≥</w:t>
            </w:r>
            <w:r>
              <w:rPr>
                <w:rFonts w:eastAsia="等线"/>
                <w:kern w:val="0"/>
                <w:sz w:val="20"/>
                <w:szCs w:val="20"/>
              </w:rPr>
              <w:t>1U</w:t>
            </w:r>
            <w:r>
              <w:rPr>
                <w:rFonts w:hint="eastAsia" w:ascii="宋体" w:hAnsi="宋体"/>
                <w:kern w:val="0"/>
                <w:sz w:val="20"/>
                <w:szCs w:val="20"/>
              </w:rPr>
              <w:t>，内存大小≥</w:t>
            </w:r>
            <w:r>
              <w:rPr>
                <w:rFonts w:eastAsia="等线"/>
                <w:kern w:val="0"/>
                <w:sz w:val="20"/>
                <w:szCs w:val="20"/>
              </w:rPr>
              <w:t>8G</w:t>
            </w:r>
            <w:r>
              <w:rPr>
                <w:rFonts w:hint="eastAsia" w:ascii="宋体" w:hAnsi="宋体"/>
                <w:kern w:val="0"/>
                <w:sz w:val="20"/>
                <w:szCs w:val="20"/>
              </w:rPr>
              <w:t>，硬盘容量≥</w:t>
            </w:r>
            <w:r>
              <w:rPr>
                <w:rFonts w:eastAsia="等线"/>
                <w:kern w:val="0"/>
                <w:sz w:val="20"/>
                <w:szCs w:val="20"/>
              </w:rPr>
              <w:t>960GB SSD</w:t>
            </w:r>
            <w:r>
              <w:rPr>
                <w:rFonts w:hint="eastAsia" w:ascii="宋体" w:hAnsi="宋体"/>
                <w:kern w:val="0"/>
                <w:sz w:val="20"/>
                <w:szCs w:val="20"/>
              </w:rPr>
              <w:t>，接口≥</w:t>
            </w:r>
            <w:r>
              <w:rPr>
                <w:rFonts w:eastAsia="等线"/>
                <w:kern w:val="0"/>
                <w:sz w:val="20"/>
                <w:szCs w:val="20"/>
              </w:rPr>
              <w:t>6</w:t>
            </w:r>
            <w:r>
              <w:rPr>
                <w:rFonts w:hint="eastAsia" w:ascii="宋体" w:hAnsi="宋体"/>
                <w:kern w:val="0"/>
                <w:sz w:val="20"/>
                <w:szCs w:val="20"/>
              </w:rPr>
              <w:t>千兆电口。</w:t>
            </w:r>
            <w:r>
              <w:rPr>
                <w:rFonts w:hint="eastAsia" w:ascii="宋体" w:hAnsi="宋体"/>
                <w:kern w:val="0"/>
                <w:sz w:val="20"/>
                <w:szCs w:val="20"/>
              </w:rPr>
              <w:br w:type="textWrapping"/>
            </w:r>
            <w:r>
              <w:rPr>
                <w:rFonts w:hint="eastAsia" w:ascii="宋体" w:hAnsi="宋体"/>
                <w:kern w:val="0"/>
                <w:sz w:val="20"/>
                <w:szCs w:val="20"/>
              </w:rPr>
              <w:t>含：</w:t>
            </w:r>
            <w:r>
              <w:rPr>
                <w:rFonts w:hint="eastAsia" w:ascii="宋体" w:hAnsi="宋体"/>
                <w:kern w:val="0"/>
                <w:sz w:val="20"/>
                <w:szCs w:val="20"/>
              </w:rPr>
              <w:br w:type="textWrapping"/>
            </w:r>
            <w:r>
              <w:rPr>
                <w:rFonts w:hint="eastAsia" w:ascii="宋体" w:hAnsi="宋体"/>
                <w:kern w:val="0"/>
                <w:sz w:val="20"/>
                <w:szCs w:val="20"/>
              </w:rPr>
              <w:t>终端病毒检测与响应平台软件</w:t>
            </w:r>
            <w:r>
              <w:rPr>
                <w:rFonts w:eastAsia="等线"/>
                <w:kern w:val="0"/>
                <w:sz w:val="20"/>
                <w:szCs w:val="20"/>
              </w:rPr>
              <w:t>(*1</w:t>
            </w:r>
            <w:r>
              <w:rPr>
                <w:rFonts w:hint="eastAsia" w:ascii="宋体" w:hAnsi="宋体"/>
                <w:kern w:val="0"/>
                <w:sz w:val="20"/>
                <w:szCs w:val="20"/>
              </w:rPr>
              <w:t>套</w:t>
            </w:r>
            <w:r>
              <w:rPr>
                <w:rFonts w:eastAsia="等线"/>
                <w:kern w:val="0"/>
                <w:sz w:val="20"/>
                <w:szCs w:val="20"/>
              </w:rPr>
              <w:t>);</w:t>
            </w:r>
            <w:r>
              <w:rPr>
                <w:rFonts w:eastAsia="等线"/>
                <w:kern w:val="0"/>
                <w:sz w:val="20"/>
                <w:szCs w:val="20"/>
              </w:rPr>
              <w:br w:type="textWrapping"/>
            </w:r>
            <w:r>
              <w:rPr>
                <w:rFonts w:eastAsia="等线"/>
                <w:kern w:val="0"/>
                <w:sz w:val="20"/>
                <w:szCs w:val="20"/>
              </w:rPr>
              <w:t>PC</w:t>
            </w:r>
            <w:r>
              <w:rPr>
                <w:rFonts w:hint="eastAsia" w:ascii="宋体" w:hAnsi="宋体"/>
                <w:kern w:val="0"/>
                <w:sz w:val="20"/>
                <w:szCs w:val="20"/>
              </w:rPr>
              <w:t>版终端安全软件</w:t>
            </w:r>
            <w:r>
              <w:rPr>
                <w:rFonts w:eastAsia="等线"/>
                <w:kern w:val="0"/>
                <w:sz w:val="20"/>
                <w:szCs w:val="20"/>
              </w:rPr>
              <w:t>(*100</w:t>
            </w:r>
            <w:r>
              <w:rPr>
                <w:rFonts w:hint="eastAsia" w:ascii="宋体" w:hAnsi="宋体"/>
                <w:kern w:val="0"/>
                <w:sz w:val="20"/>
                <w:szCs w:val="20"/>
              </w:rPr>
              <w:t>套</w:t>
            </w:r>
            <w:r>
              <w:rPr>
                <w:rFonts w:eastAsia="等线"/>
                <w:kern w:val="0"/>
                <w:sz w:val="20"/>
                <w:szCs w:val="20"/>
              </w:rPr>
              <w:t>);</w:t>
            </w:r>
            <w:r>
              <w:rPr>
                <w:rFonts w:eastAsia="等线"/>
                <w:kern w:val="0"/>
                <w:sz w:val="20"/>
                <w:szCs w:val="20"/>
              </w:rPr>
              <w:br w:type="textWrapping"/>
            </w:r>
            <w:r>
              <w:rPr>
                <w:rFonts w:hint="eastAsia" w:ascii="宋体" w:hAnsi="宋体"/>
                <w:kern w:val="0"/>
                <w:sz w:val="20"/>
                <w:szCs w:val="20"/>
              </w:rPr>
              <w:t>服务器版终端安全软件</w:t>
            </w:r>
            <w:r>
              <w:rPr>
                <w:rFonts w:eastAsia="等线"/>
                <w:kern w:val="0"/>
                <w:sz w:val="20"/>
                <w:szCs w:val="20"/>
              </w:rPr>
              <w:t>(*30</w:t>
            </w:r>
            <w:r>
              <w:rPr>
                <w:rFonts w:hint="eastAsia" w:ascii="宋体" w:hAnsi="宋体"/>
                <w:kern w:val="0"/>
                <w:sz w:val="20"/>
                <w:szCs w:val="20"/>
              </w:rPr>
              <w:t>套</w:t>
            </w:r>
            <w:r>
              <w:rPr>
                <w:rFonts w:eastAsia="等线"/>
                <w:kern w:val="0"/>
                <w:sz w:val="20"/>
                <w:szCs w:val="20"/>
              </w:rPr>
              <w:t>);</w:t>
            </w:r>
            <w:r>
              <w:rPr>
                <w:rFonts w:eastAsia="等线"/>
                <w:kern w:val="0"/>
                <w:sz w:val="20"/>
                <w:szCs w:val="20"/>
              </w:rPr>
              <w:br w:type="textWrapping"/>
            </w:r>
            <w:r>
              <w:rPr>
                <w:rFonts w:hint="eastAsia" w:ascii="宋体" w:hAnsi="宋体"/>
                <w:kern w:val="0"/>
                <w:sz w:val="20"/>
                <w:szCs w:val="20"/>
              </w:rPr>
              <w:t>产品质保</w:t>
            </w:r>
            <w:r>
              <w:rPr>
                <w:rFonts w:eastAsia="等线"/>
                <w:kern w:val="0"/>
                <w:sz w:val="20"/>
                <w:szCs w:val="20"/>
              </w:rPr>
              <w:t>(*3</w:t>
            </w:r>
            <w:r>
              <w:rPr>
                <w:rFonts w:hint="eastAsia" w:ascii="宋体" w:hAnsi="宋体"/>
                <w:kern w:val="0"/>
                <w:sz w:val="20"/>
                <w:szCs w:val="20"/>
              </w:rPr>
              <w:t>年</w:t>
            </w:r>
            <w:r>
              <w:rPr>
                <w:rFonts w:eastAsia="等线"/>
                <w:kern w:val="0"/>
                <w:sz w:val="20"/>
                <w:szCs w:val="20"/>
              </w:rPr>
              <w:t>);</w:t>
            </w:r>
            <w:r>
              <w:rPr>
                <w:rFonts w:eastAsia="等线"/>
                <w:kern w:val="0"/>
                <w:sz w:val="20"/>
                <w:szCs w:val="20"/>
              </w:rPr>
              <w:br w:type="textWrapping"/>
            </w:r>
            <w:r>
              <w:rPr>
                <w:rFonts w:hint="eastAsia" w:ascii="宋体" w:hAnsi="宋体"/>
                <w:kern w:val="0"/>
                <w:sz w:val="20"/>
                <w:szCs w:val="20"/>
              </w:rPr>
              <w:t>软件升级</w:t>
            </w:r>
            <w:r>
              <w:rPr>
                <w:rFonts w:eastAsia="等线"/>
                <w:kern w:val="0"/>
                <w:sz w:val="20"/>
                <w:szCs w:val="20"/>
              </w:rPr>
              <w:t>(*3</w:t>
            </w:r>
            <w:r>
              <w:rPr>
                <w:rFonts w:hint="eastAsia" w:ascii="宋体" w:hAnsi="宋体"/>
                <w:kern w:val="0"/>
                <w:sz w:val="20"/>
                <w:szCs w:val="20"/>
              </w:rPr>
              <w:t>年</w:t>
            </w:r>
            <w:r>
              <w:rPr>
                <w:rFonts w:eastAsia="等线"/>
                <w:kern w:val="0"/>
                <w:sz w:val="20"/>
                <w:szCs w:val="20"/>
              </w:rPr>
              <w:t>);</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hint="eastAsia" w:ascii="宋体" w:hAnsi="宋体"/>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eastAsia="等线"/>
                <w:kern w:val="0"/>
                <w:sz w:val="20"/>
                <w:szCs w:val="20"/>
              </w:rPr>
              <w:t>1</w:t>
            </w:r>
          </w:p>
        </w:tc>
      </w:tr>
      <w:tr>
        <w:tblPrEx>
          <w:tblCellMar>
            <w:top w:w="0" w:type="dxa"/>
            <w:left w:w="108" w:type="dxa"/>
            <w:bottom w:w="0" w:type="dxa"/>
            <w:right w:w="108" w:type="dxa"/>
          </w:tblCellMar>
        </w:tblPrEx>
        <w:trPr>
          <w:trHeight w:val="2088" w:hRule="atLeast"/>
        </w:trPr>
        <w:tc>
          <w:tcPr>
            <w:tcW w:w="604"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eastAsia="等线"/>
                <w:kern w:val="0"/>
                <w:sz w:val="20"/>
                <w:szCs w:val="20"/>
              </w:rPr>
              <w:t>10</w:t>
            </w: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hint="eastAsia" w:ascii="宋体" w:hAnsi="宋体"/>
                <w:kern w:val="0"/>
                <w:sz w:val="20"/>
                <w:szCs w:val="20"/>
              </w:rPr>
              <w:t>安全感知管理平台</w:t>
            </w:r>
            <w:r>
              <w:rPr>
                <w:rFonts w:eastAsia="等线"/>
                <w:kern w:val="0"/>
                <w:sz w:val="20"/>
                <w:szCs w:val="20"/>
              </w:rPr>
              <w:t>(SIP)</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kern w:val="0"/>
                <w:sz w:val="20"/>
                <w:szCs w:val="20"/>
              </w:rPr>
            </w:pPr>
            <w:r>
              <w:rPr>
                <w:rFonts w:hint="eastAsia" w:ascii="宋体" w:hAnsi="宋体"/>
                <w:kern w:val="0"/>
                <w:sz w:val="20"/>
                <w:szCs w:val="20"/>
              </w:rPr>
              <w:t>性能参数：存储容量≥</w:t>
            </w:r>
            <w:r>
              <w:rPr>
                <w:rFonts w:eastAsia="等线"/>
                <w:kern w:val="0"/>
                <w:sz w:val="20"/>
                <w:szCs w:val="20"/>
              </w:rPr>
              <w:t>24T</w:t>
            </w:r>
            <w:r>
              <w:rPr>
                <w:rFonts w:hint="eastAsia" w:ascii="宋体" w:hAnsi="宋体"/>
                <w:kern w:val="0"/>
                <w:sz w:val="20"/>
                <w:szCs w:val="20"/>
              </w:rPr>
              <w:t>，在带宽性能</w:t>
            </w:r>
            <w:r>
              <w:rPr>
                <w:rFonts w:eastAsia="等线"/>
                <w:kern w:val="0"/>
                <w:sz w:val="20"/>
                <w:szCs w:val="20"/>
              </w:rPr>
              <w:t>1Gbps</w:t>
            </w:r>
            <w:r>
              <w:rPr>
                <w:rFonts w:hint="eastAsia" w:ascii="宋体" w:hAnsi="宋体"/>
                <w:kern w:val="0"/>
                <w:sz w:val="20"/>
                <w:szCs w:val="20"/>
              </w:rPr>
              <w:t>时存储时长≥</w:t>
            </w:r>
            <w:r>
              <w:rPr>
                <w:rFonts w:eastAsia="等线"/>
                <w:kern w:val="0"/>
                <w:sz w:val="20"/>
                <w:szCs w:val="20"/>
              </w:rPr>
              <w:t>900</w:t>
            </w:r>
            <w:r>
              <w:rPr>
                <w:rFonts w:hint="eastAsia" w:ascii="宋体" w:hAnsi="宋体"/>
                <w:kern w:val="0"/>
                <w:sz w:val="20"/>
                <w:szCs w:val="20"/>
              </w:rPr>
              <w:t>天</w:t>
            </w:r>
            <w:r>
              <w:rPr>
                <w:rFonts w:eastAsia="等线"/>
                <w:kern w:val="0"/>
                <w:sz w:val="20"/>
                <w:szCs w:val="20"/>
              </w:rPr>
              <w:t>/1Gbps</w:t>
            </w:r>
            <w:r>
              <w:rPr>
                <w:rFonts w:hint="eastAsia" w:ascii="宋体" w:hAnsi="宋体"/>
                <w:kern w:val="0"/>
                <w:sz w:val="20"/>
                <w:szCs w:val="20"/>
              </w:rPr>
              <w:t>。</w:t>
            </w:r>
            <w:r>
              <w:rPr>
                <w:rFonts w:hint="eastAsia" w:ascii="宋体" w:hAnsi="宋体"/>
                <w:kern w:val="0"/>
                <w:sz w:val="20"/>
                <w:szCs w:val="20"/>
              </w:rPr>
              <w:br w:type="textWrapping"/>
            </w:r>
            <w:r>
              <w:rPr>
                <w:rFonts w:hint="eastAsia" w:ascii="宋体" w:hAnsi="宋体"/>
                <w:kern w:val="0"/>
                <w:sz w:val="20"/>
                <w:szCs w:val="20"/>
              </w:rPr>
              <w:t>硬件参数：规格≥</w:t>
            </w:r>
            <w:r>
              <w:rPr>
                <w:rFonts w:eastAsia="等线"/>
                <w:kern w:val="0"/>
                <w:sz w:val="20"/>
                <w:szCs w:val="20"/>
              </w:rPr>
              <w:t>2U</w:t>
            </w:r>
            <w:r>
              <w:rPr>
                <w:rFonts w:hint="eastAsia" w:ascii="宋体" w:hAnsi="宋体"/>
                <w:kern w:val="0"/>
                <w:sz w:val="20"/>
                <w:szCs w:val="20"/>
              </w:rPr>
              <w:t>，内存≥</w:t>
            </w:r>
            <w:r>
              <w:rPr>
                <w:rFonts w:eastAsia="等线"/>
                <w:kern w:val="0"/>
                <w:sz w:val="20"/>
                <w:szCs w:val="20"/>
              </w:rPr>
              <w:t>3*32GB DDR4 2933</w:t>
            </w:r>
            <w:r>
              <w:rPr>
                <w:rFonts w:hint="eastAsia" w:ascii="宋体" w:hAnsi="宋体"/>
                <w:kern w:val="0"/>
                <w:sz w:val="20"/>
                <w:szCs w:val="20"/>
              </w:rPr>
              <w:t>，系统盘≥</w:t>
            </w:r>
            <w:r>
              <w:rPr>
                <w:rFonts w:eastAsia="等线"/>
                <w:kern w:val="0"/>
                <w:sz w:val="20"/>
                <w:szCs w:val="20"/>
              </w:rPr>
              <w:t>1*240GB SATA SSD</w:t>
            </w:r>
            <w:r>
              <w:rPr>
                <w:rFonts w:hint="eastAsia" w:ascii="宋体" w:hAnsi="宋体"/>
                <w:kern w:val="0"/>
                <w:sz w:val="20"/>
                <w:szCs w:val="20"/>
              </w:rPr>
              <w:t>，电源：冗余电源，接口≥</w:t>
            </w:r>
            <w:r>
              <w:rPr>
                <w:rFonts w:eastAsia="等线"/>
                <w:kern w:val="0"/>
                <w:sz w:val="20"/>
                <w:szCs w:val="20"/>
              </w:rPr>
              <w:t>4</w:t>
            </w:r>
            <w:r>
              <w:rPr>
                <w:rFonts w:hint="eastAsia" w:ascii="宋体" w:hAnsi="宋体"/>
                <w:kern w:val="0"/>
                <w:sz w:val="20"/>
                <w:szCs w:val="20"/>
              </w:rPr>
              <w:t>千兆电口。</w:t>
            </w:r>
            <w:r>
              <w:rPr>
                <w:rFonts w:hint="eastAsia" w:ascii="宋体" w:hAnsi="宋体"/>
                <w:kern w:val="0"/>
                <w:sz w:val="20"/>
                <w:szCs w:val="20"/>
              </w:rPr>
              <w:br w:type="textWrapping"/>
            </w:r>
            <w:r>
              <w:rPr>
                <w:rFonts w:hint="eastAsia" w:ascii="宋体" w:hAnsi="宋体"/>
                <w:kern w:val="0"/>
                <w:sz w:val="20"/>
                <w:szCs w:val="20"/>
              </w:rPr>
              <w:t>含：</w:t>
            </w:r>
            <w:r>
              <w:rPr>
                <w:rFonts w:hint="eastAsia" w:ascii="宋体" w:hAnsi="宋体"/>
                <w:kern w:val="0"/>
                <w:sz w:val="20"/>
                <w:szCs w:val="20"/>
              </w:rPr>
              <w:br w:type="textWrapping"/>
            </w:r>
            <w:r>
              <w:rPr>
                <w:rFonts w:hint="eastAsia" w:ascii="宋体" w:hAnsi="宋体"/>
                <w:kern w:val="0"/>
                <w:sz w:val="20"/>
                <w:szCs w:val="20"/>
              </w:rPr>
              <w:t>安全感知管理平台软件</w:t>
            </w:r>
            <w:r>
              <w:rPr>
                <w:rFonts w:eastAsia="等线"/>
                <w:kern w:val="0"/>
                <w:sz w:val="20"/>
                <w:szCs w:val="20"/>
              </w:rPr>
              <w:t>(*1</w:t>
            </w:r>
            <w:r>
              <w:rPr>
                <w:rFonts w:hint="eastAsia" w:ascii="宋体" w:hAnsi="宋体"/>
                <w:kern w:val="0"/>
                <w:sz w:val="20"/>
                <w:szCs w:val="20"/>
              </w:rPr>
              <w:t>套</w:t>
            </w:r>
            <w:r>
              <w:rPr>
                <w:rFonts w:eastAsia="等线"/>
                <w:kern w:val="0"/>
                <w:sz w:val="20"/>
                <w:szCs w:val="20"/>
              </w:rPr>
              <w:t>);</w:t>
            </w:r>
            <w:r>
              <w:rPr>
                <w:rFonts w:eastAsia="等线"/>
                <w:kern w:val="0"/>
                <w:sz w:val="20"/>
                <w:szCs w:val="20"/>
              </w:rPr>
              <w:br w:type="textWrapping"/>
            </w:r>
            <w:r>
              <w:rPr>
                <w:rFonts w:hint="eastAsia" w:ascii="宋体" w:hAnsi="宋体"/>
                <w:kern w:val="0"/>
                <w:sz w:val="20"/>
                <w:szCs w:val="20"/>
              </w:rPr>
              <w:t>安全感知系统平台特征库软件</w:t>
            </w:r>
            <w:r>
              <w:rPr>
                <w:rFonts w:eastAsia="等线"/>
                <w:kern w:val="0"/>
                <w:sz w:val="20"/>
                <w:szCs w:val="20"/>
              </w:rPr>
              <w:t>(*3</w:t>
            </w:r>
            <w:r>
              <w:rPr>
                <w:rFonts w:hint="eastAsia" w:ascii="宋体" w:hAnsi="宋体"/>
                <w:kern w:val="0"/>
                <w:sz w:val="20"/>
                <w:szCs w:val="20"/>
              </w:rPr>
              <w:t>年</w:t>
            </w:r>
            <w:r>
              <w:rPr>
                <w:rFonts w:eastAsia="等线"/>
                <w:kern w:val="0"/>
                <w:sz w:val="20"/>
                <w:szCs w:val="20"/>
              </w:rPr>
              <w:t>);</w:t>
            </w:r>
            <w:r>
              <w:rPr>
                <w:rFonts w:eastAsia="等线"/>
                <w:kern w:val="0"/>
                <w:sz w:val="20"/>
                <w:szCs w:val="20"/>
              </w:rPr>
              <w:br w:type="textWrapping"/>
            </w:r>
            <w:r>
              <w:rPr>
                <w:rFonts w:hint="eastAsia" w:ascii="宋体" w:hAnsi="宋体"/>
                <w:kern w:val="0"/>
                <w:sz w:val="20"/>
                <w:szCs w:val="20"/>
              </w:rPr>
              <w:t>产品质保</w:t>
            </w:r>
            <w:r>
              <w:rPr>
                <w:rFonts w:eastAsia="等线"/>
                <w:kern w:val="0"/>
                <w:sz w:val="20"/>
                <w:szCs w:val="20"/>
              </w:rPr>
              <w:t>(*3</w:t>
            </w:r>
            <w:r>
              <w:rPr>
                <w:rFonts w:hint="eastAsia" w:ascii="宋体" w:hAnsi="宋体"/>
                <w:kern w:val="0"/>
                <w:sz w:val="20"/>
                <w:szCs w:val="20"/>
              </w:rPr>
              <w:t>年</w:t>
            </w:r>
            <w:r>
              <w:rPr>
                <w:rFonts w:eastAsia="等线"/>
                <w:kern w:val="0"/>
                <w:sz w:val="20"/>
                <w:szCs w:val="20"/>
              </w:rPr>
              <w:t>);</w:t>
            </w:r>
            <w:r>
              <w:rPr>
                <w:rFonts w:eastAsia="等线"/>
                <w:kern w:val="0"/>
                <w:sz w:val="20"/>
                <w:szCs w:val="20"/>
              </w:rPr>
              <w:br w:type="textWrapping"/>
            </w:r>
            <w:r>
              <w:rPr>
                <w:rFonts w:hint="eastAsia" w:ascii="宋体" w:hAnsi="宋体"/>
                <w:kern w:val="0"/>
                <w:sz w:val="20"/>
                <w:szCs w:val="20"/>
              </w:rPr>
              <w:t>软件升级</w:t>
            </w:r>
            <w:r>
              <w:rPr>
                <w:rFonts w:eastAsia="等线"/>
                <w:kern w:val="0"/>
                <w:sz w:val="20"/>
                <w:szCs w:val="20"/>
              </w:rPr>
              <w:t>(*3</w:t>
            </w:r>
            <w:r>
              <w:rPr>
                <w:rFonts w:hint="eastAsia" w:ascii="宋体" w:hAnsi="宋体"/>
                <w:kern w:val="0"/>
                <w:sz w:val="20"/>
                <w:szCs w:val="20"/>
              </w:rPr>
              <w:t>年</w:t>
            </w:r>
            <w:r>
              <w:rPr>
                <w:rFonts w:eastAsia="等线"/>
                <w:kern w:val="0"/>
                <w:sz w:val="20"/>
                <w:szCs w:val="20"/>
              </w:rPr>
              <w:t>);</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hint="eastAsia" w:ascii="宋体" w:hAnsi="宋体"/>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eastAsia="等线"/>
                <w:kern w:val="0"/>
                <w:sz w:val="20"/>
                <w:szCs w:val="20"/>
              </w:rPr>
              <w:t>1</w:t>
            </w:r>
          </w:p>
        </w:tc>
      </w:tr>
      <w:tr>
        <w:tblPrEx>
          <w:tblCellMar>
            <w:top w:w="0" w:type="dxa"/>
            <w:left w:w="108" w:type="dxa"/>
            <w:bottom w:w="0" w:type="dxa"/>
            <w:right w:w="108" w:type="dxa"/>
          </w:tblCellMar>
        </w:tblPrEx>
        <w:trPr>
          <w:trHeight w:val="2088" w:hRule="atLeast"/>
        </w:trPr>
        <w:tc>
          <w:tcPr>
            <w:tcW w:w="604"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eastAsia="等线"/>
                <w:kern w:val="0"/>
                <w:sz w:val="20"/>
                <w:szCs w:val="20"/>
              </w:rPr>
              <w:t>11</w:t>
            </w: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hint="eastAsia" w:ascii="宋体" w:hAnsi="宋体"/>
                <w:kern w:val="0"/>
                <w:sz w:val="20"/>
                <w:szCs w:val="20"/>
              </w:rPr>
              <w:t>潜伏威胁探针</w:t>
            </w:r>
            <w:r>
              <w:rPr>
                <w:rFonts w:eastAsia="等线"/>
                <w:kern w:val="0"/>
                <w:sz w:val="20"/>
                <w:szCs w:val="20"/>
              </w:rPr>
              <w:t>(STA)</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kern w:val="0"/>
                <w:sz w:val="20"/>
                <w:szCs w:val="20"/>
              </w:rPr>
            </w:pPr>
            <w:r>
              <w:rPr>
                <w:rFonts w:hint="eastAsia" w:ascii="宋体" w:hAnsi="宋体"/>
                <w:kern w:val="0"/>
                <w:sz w:val="20"/>
                <w:szCs w:val="20"/>
              </w:rPr>
              <w:t>性能参数：网络层吞吐量≥</w:t>
            </w:r>
            <w:r>
              <w:rPr>
                <w:rFonts w:eastAsia="等线"/>
                <w:kern w:val="0"/>
                <w:sz w:val="20"/>
                <w:szCs w:val="20"/>
              </w:rPr>
              <w:t>3Gbps</w:t>
            </w:r>
            <w:r>
              <w:rPr>
                <w:rFonts w:hint="eastAsia" w:ascii="宋体" w:hAnsi="宋体"/>
                <w:kern w:val="0"/>
                <w:sz w:val="20"/>
                <w:szCs w:val="20"/>
              </w:rPr>
              <w:t>；</w:t>
            </w:r>
            <w:r>
              <w:rPr>
                <w:rFonts w:hint="eastAsia" w:ascii="宋体" w:hAnsi="宋体"/>
                <w:kern w:val="0"/>
                <w:sz w:val="20"/>
                <w:szCs w:val="20"/>
              </w:rPr>
              <w:br w:type="textWrapping"/>
            </w:r>
            <w:r>
              <w:rPr>
                <w:rFonts w:hint="eastAsia" w:ascii="宋体" w:hAnsi="宋体"/>
                <w:kern w:val="0"/>
                <w:sz w:val="20"/>
                <w:szCs w:val="20"/>
              </w:rPr>
              <w:t>硬件参数：规格≥</w:t>
            </w:r>
            <w:r>
              <w:rPr>
                <w:rFonts w:eastAsia="等线"/>
                <w:kern w:val="0"/>
                <w:sz w:val="20"/>
                <w:szCs w:val="20"/>
              </w:rPr>
              <w:t>2U</w:t>
            </w:r>
            <w:r>
              <w:rPr>
                <w:rFonts w:hint="eastAsia" w:ascii="宋体" w:hAnsi="宋体"/>
                <w:kern w:val="0"/>
                <w:sz w:val="20"/>
                <w:szCs w:val="20"/>
              </w:rPr>
              <w:t>，内存大小≥</w:t>
            </w:r>
            <w:r>
              <w:rPr>
                <w:rFonts w:eastAsia="等线"/>
                <w:kern w:val="0"/>
                <w:sz w:val="20"/>
                <w:szCs w:val="20"/>
              </w:rPr>
              <w:t>8G</w:t>
            </w:r>
            <w:r>
              <w:rPr>
                <w:rFonts w:hint="eastAsia" w:ascii="宋体" w:hAnsi="宋体"/>
                <w:kern w:val="0"/>
                <w:sz w:val="20"/>
                <w:szCs w:val="20"/>
              </w:rPr>
              <w:t>，硬盘容量≥</w:t>
            </w:r>
            <w:r>
              <w:rPr>
                <w:rFonts w:eastAsia="等线"/>
                <w:kern w:val="0"/>
                <w:sz w:val="20"/>
                <w:szCs w:val="20"/>
              </w:rPr>
              <w:t>480G SSD</w:t>
            </w:r>
            <w:r>
              <w:rPr>
                <w:rFonts w:hint="eastAsia" w:ascii="宋体" w:hAnsi="宋体"/>
                <w:kern w:val="0"/>
                <w:sz w:val="20"/>
                <w:szCs w:val="20"/>
              </w:rPr>
              <w:t>，电源：冗余电源，接口≥</w:t>
            </w:r>
            <w:r>
              <w:rPr>
                <w:rFonts w:eastAsia="等线"/>
                <w:kern w:val="0"/>
                <w:sz w:val="20"/>
                <w:szCs w:val="20"/>
              </w:rPr>
              <w:t>6</w:t>
            </w:r>
            <w:r>
              <w:rPr>
                <w:rFonts w:hint="eastAsia" w:ascii="宋体" w:hAnsi="宋体"/>
                <w:kern w:val="0"/>
                <w:sz w:val="20"/>
                <w:szCs w:val="20"/>
              </w:rPr>
              <w:t>千兆电口</w:t>
            </w:r>
            <w:r>
              <w:rPr>
                <w:rFonts w:eastAsia="等线"/>
                <w:kern w:val="0"/>
                <w:sz w:val="20"/>
                <w:szCs w:val="20"/>
              </w:rPr>
              <w:t>+2</w:t>
            </w:r>
            <w:r>
              <w:rPr>
                <w:rFonts w:hint="eastAsia" w:ascii="宋体" w:hAnsi="宋体"/>
                <w:kern w:val="0"/>
                <w:sz w:val="20"/>
                <w:szCs w:val="20"/>
              </w:rPr>
              <w:t>万兆光口</w:t>
            </w:r>
            <w:r>
              <w:rPr>
                <w:rFonts w:eastAsia="等线"/>
                <w:kern w:val="0"/>
                <w:sz w:val="20"/>
                <w:szCs w:val="20"/>
              </w:rPr>
              <w:t>SFP+</w:t>
            </w:r>
            <w:r>
              <w:rPr>
                <w:rFonts w:hint="eastAsia" w:ascii="宋体" w:hAnsi="宋体"/>
                <w:kern w:val="0"/>
                <w:sz w:val="20"/>
                <w:szCs w:val="20"/>
              </w:rPr>
              <w:t>。</w:t>
            </w:r>
            <w:r>
              <w:rPr>
                <w:rFonts w:hint="eastAsia" w:ascii="宋体" w:hAnsi="宋体"/>
                <w:kern w:val="0"/>
                <w:sz w:val="20"/>
                <w:szCs w:val="20"/>
              </w:rPr>
              <w:br w:type="textWrapping"/>
            </w:r>
            <w:r>
              <w:rPr>
                <w:rFonts w:hint="eastAsia" w:ascii="宋体" w:hAnsi="宋体"/>
                <w:kern w:val="0"/>
                <w:sz w:val="20"/>
                <w:szCs w:val="20"/>
              </w:rPr>
              <w:t>含：</w:t>
            </w:r>
            <w:r>
              <w:rPr>
                <w:rFonts w:hint="eastAsia" w:ascii="宋体" w:hAnsi="宋体"/>
                <w:kern w:val="0"/>
                <w:sz w:val="20"/>
                <w:szCs w:val="20"/>
              </w:rPr>
              <w:br w:type="textWrapping"/>
            </w:r>
            <w:r>
              <w:rPr>
                <w:rFonts w:hint="eastAsia" w:ascii="宋体" w:hAnsi="宋体"/>
                <w:kern w:val="0"/>
                <w:sz w:val="20"/>
                <w:szCs w:val="20"/>
              </w:rPr>
              <w:t>潜伏威胁探针系统软件</w:t>
            </w:r>
            <w:r>
              <w:rPr>
                <w:rFonts w:eastAsia="等线"/>
                <w:kern w:val="0"/>
                <w:sz w:val="20"/>
                <w:szCs w:val="20"/>
              </w:rPr>
              <w:t>(*1</w:t>
            </w:r>
            <w:r>
              <w:rPr>
                <w:rFonts w:hint="eastAsia" w:ascii="宋体" w:hAnsi="宋体"/>
                <w:kern w:val="0"/>
                <w:sz w:val="20"/>
                <w:szCs w:val="20"/>
              </w:rPr>
              <w:t>套</w:t>
            </w:r>
            <w:r>
              <w:rPr>
                <w:rFonts w:eastAsia="等线"/>
                <w:kern w:val="0"/>
                <w:sz w:val="20"/>
                <w:szCs w:val="20"/>
              </w:rPr>
              <w:t>);</w:t>
            </w:r>
            <w:r>
              <w:rPr>
                <w:rFonts w:eastAsia="等线"/>
                <w:kern w:val="0"/>
                <w:sz w:val="20"/>
                <w:szCs w:val="20"/>
              </w:rPr>
              <w:br w:type="textWrapping"/>
            </w:r>
            <w:r>
              <w:rPr>
                <w:rFonts w:hint="eastAsia" w:ascii="宋体" w:hAnsi="宋体"/>
                <w:kern w:val="0"/>
                <w:sz w:val="20"/>
                <w:szCs w:val="20"/>
              </w:rPr>
              <w:t>安全感知系统探针特征库软件</w:t>
            </w:r>
            <w:r>
              <w:rPr>
                <w:rFonts w:eastAsia="等线"/>
                <w:kern w:val="0"/>
                <w:sz w:val="20"/>
                <w:szCs w:val="20"/>
              </w:rPr>
              <w:t>(*3</w:t>
            </w:r>
            <w:r>
              <w:rPr>
                <w:rFonts w:hint="eastAsia" w:ascii="宋体" w:hAnsi="宋体"/>
                <w:kern w:val="0"/>
                <w:sz w:val="20"/>
                <w:szCs w:val="20"/>
              </w:rPr>
              <w:t>年</w:t>
            </w:r>
            <w:r>
              <w:rPr>
                <w:rFonts w:eastAsia="等线"/>
                <w:kern w:val="0"/>
                <w:sz w:val="20"/>
                <w:szCs w:val="20"/>
              </w:rPr>
              <w:t>);</w:t>
            </w:r>
            <w:r>
              <w:rPr>
                <w:rFonts w:eastAsia="等线"/>
                <w:kern w:val="0"/>
                <w:sz w:val="20"/>
                <w:szCs w:val="20"/>
              </w:rPr>
              <w:br w:type="textWrapping"/>
            </w:r>
            <w:r>
              <w:rPr>
                <w:rFonts w:hint="eastAsia" w:ascii="宋体" w:hAnsi="宋体"/>
                <w:kern w:val="0"/>
                <w:sz w:val="20"/>
                <w:szCs w:val="20"/>
              </w:rPr>
              <w:t>产品质保</w:t>
            </w:r>
            <w:r>
              <w:rPr>
                <w:rFonts w:eastAsia="等线"/>
                <w:kern w:val="0"/>
                <w:sz w:val="20"/>
                <w:szCs w:val="20"/>
              </w:rPr>
              <w:t>(*3</w:t>
            </w:r>
            <w:r>
              <w:rPr>
                <w:rFonts w:hint="eastAsia" w:ascii="宋体" w:hAnsi="宋体"/>
                <w:kern w:val="0"/>
                <w:sz w:val="20"/>
                <w:szCs w:val="20"/>
              </w:rPr>
              <w:t>年</w:t>
            </w:r>
            <w:r>
              <w:rPr>
                <w:rFonts w:eastAsia="等线"/>
                <w:kern w:val="0"/>
                <w:sz w:val="20"/>
                <w:szCs w:val="20"/>
              </w:rPr>
              <w:t>);</w:t>
            </w:r>
            <w:r>
              <w:rPr>
                <w:rFonts w:eastAsia="等线"/>
                <w:kern w:val="0"/>
                <w:sz w:val="20"/>
                <w:szCs w:val="20"/>
              </w:rPr>
              <w:br w:type="textWrapping"/>
            </w:r>
            <w:r>
              <w:rPr>
                <w:rFonts w:hint="eastAsia" w:ascii="宋体" w:hAnsi="宋体"/>
                <w:kern w:val="0"/>
                <w:sz w:val="20"/>
                <w:szCs w:val="20"/>
              </w:rPr>
              <w:t>软件升级</w:t>
            </w:r>
            <w:r>
              <w:rPr>
                <w:rFonts w:eastAsia="等线"/>
                <w:kern w:val="0"/>
                <w:sz w:val="20"/>
                <w:szCs w:val="20"/>
              </w:rPr>
              <w:t>(*3</w:t>
            </w:r>
            <w:r>
              <w:rPr>
                <w:rFonts w:hint="eastAsia" w:ascii="宋体" w:hAnsi="宋体"/>
                <w:kern w:val="0"/>
                <w:sz w:val="20"/>
                <w:szCs w:val="20"/>
              </w:rPr>
              <w:t>年</w:t>
            </w:r>
            <w:r>
              <w:rPr>
                <w:rFonts w:eastAsia="等线"/>
                <w:kern w:val="0"/>
                <w:sz w:val="20"/>
                <w:szCs w:val="20"/>
              </w:rPr>
              <w:t>);</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hint="eastAsia" w:ascii="宋体" w:hAnsi="宋体"/>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eastAsia="等线"/>
                <w:kern w:val="0"/>
                <w:sz w:val="20"/>
                <w:szCs w:val="20"/>
              </w:rPr>
              <w:t>1</w:t>
            </w:r>
          </w:p>
        </w:tc>
      </w:tr>
      <w:tr>
        <w:tblPrEx>
          <w:tblCellMar>
            <w:top w:w="0" w:type="dxa"/>
            <w:left w:w="108" w:type="dxa"/>
            <w:bottom w:w="0" w:type="dxa"/>
            <w:right w:w="108" w:type="dxa"/>
          </w:tblCellMar>
        </w:tblPrEx>
        <w:trPr>
          <w:trHeight w:val="2112" w:hRule="atLeast"/>
        </w:trPr>
        <w:tc>
          <w:tcPr>
            <w:tcW w:w="604"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eastAsia="等线"/>
                <w:kern w:val="0"/>
                <w:sz w:val="20"/>
                <w:szCs w:val="20"/>
              </w:rPr>
              <w:t>12</w:t>
            </w:r>
          </w:p>
        </w:tc>
        <w:tc>
          <w:tcPr>
            <w:tcW w:w="74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视频专网</w:t>
            </w:r>
            <w:r>
              <w:rPr>
                <w:rFonts w:eastAsia="等线"/>
                <w:color w:val="000000"/>
                <w:kern w:val="0"/>
                <w:sz w:val="20"/>
                <w:szCs w:val="20"/>
              </w:rPr>
              <w:t>-</w:t>
            </w:r>
            <w:r>
              <w:rPr>
                <w:rFonts w:hint="eastAsia" w:ascii="宋体" w:hAnsi="宋体"/>
                <w:color w:val="000000"/>
                <w:kern w:val="0"/>
                <w:sz w:val="20"/>
                <w:szCs w:val="20"/>
              </w:rPr>
              <w:t>社会资源接入网边界</w:t>
            </w: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hint="eastAsia" w:ascii="宋体" w:hAnsi="宋体"/>
                <w:kern w:val="0"/>
                <w:sz w:val="20"/>
                <w:szCs w:val="20"/>
              </w:rPr>
              <w:t>下一代防火墙（视频专网</w:t>
            </w:r>
            <w:r>
              <w:rPr>
                <w:rFonts w:eastAsia="等线"/>
                <w:kern w:val="0"/>
                <w:sz w:val="20"/>
                <w:szCs w:val="20"/>
              </w:rPr>
              <w:t>-</w:t>
            </w:r>
            <w:r>
              <w:rPr>
                <w:rFonts w:hint="eastAsia" w:ascii="宋体" w:hAnsi="宋体"/>
                <w:kern w:val="0"/>
                <w:sz w:val="20"/>
                <w:szCs w:val="20"/>
              </w:rPr>
              <w:t>社会资源接入网边界）</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kern w:val="0"/>
                <w:sz w:val="20"/>
                <w:szCs w:val="20"/>
              </w:rPr>
            </w:pPr>
            <w:r>
              <w:rPr>
                <w:rFonts w:hint="eastAsia" w:ascii="宋体" w:hAnsi="宋体"/>
                <w:kern w:val="0"/>
                <w:sz w:val="20"/>
                <w:szCs w:val="20"/>
              </w:rPr>
              <w:t>性能参数：网络层吞吐量≥</w:t>
            </w:r>
            <w:r>
              <w:rPr>
                <w:rFonts w:eastAsia="等线"/>
                <w:kern w:val="0"/>
                <w:sz w:val="20"/>
                <w:szCs w:val="20"/>
              </w:rPr>
              <w:t>35G</w:t>
            </w:r>
            <w:r>
              <w:rPr>
                <w:rFonts w:hint="eastAsia" w:ascii="宋体" w:hAnsi="宋体"/>
                <w:kern w:val="0"/>
                <w:sz w:val="20"/>
                <w:szCs w:val="20"/>
              </w:rPr>
              <w:t>，应用层吞吐量≥</w:t>
            </w:r>
            <w:r>
              <w:rPr>
                <w:rFonts w:eastAsia="等线"/>
                <w:kern w:val="0"/>
                <w:sz w:val="20"/>
                <w:szCs w:val="20"/>
              </w:rPr>
              <w:t>15G</w:t>
            </w:r>
            <w:r>
              <w:rPr>
                <w:rFonts w:hint="eastAsia" w:ascii="宋体" w:hAnsi="宋体"/>
                <w:kern w:val="0"/>
                <w:sz w:val="20"/>
                <w:szCs w:val="20"/>
              </w:rPr>
              <w:t>，防病毒吞吐量≥</w:t>
            </w:r>
            <w:r>
              <w:rPr>
                <w:rFonts w:eastAsia="等线"/>
                <w:kern w:val="0"/>
                <w:sz w:val="20"/>
                <w:szCs w:val="20"/>
              </w:rPr>
              <w:t>3.5G</w:t>
            </w:r>
            <w:r>
              <w:rPr>
                <w:rFonts w:hint="eastAsia" w:ascii="宋体" w:hAnsi="宋体"/>
                <w:kern w:val="0"/>
                <w:sz w:val="20"/>
                <w:szCs w:val="20"/>
              </w:rPr>
              <w:t>，</w:t>
            </w:r>
            <w:r>
              <w:rPr>
                <w:rFonts w:eastAsia="等线"/>
                <w:kern w:val="0"/>
                <w:sz w:val="20"/>
                <w:szCs w:val="20"/>
              </w:rPr>
              <w:t>IPS</w:t>
            </w:r>
            <w:r>
              <w:rPr>
                <w:rFonts w:hint="eastAsia" w:ascii="宋体" w:hAnsi="宋体"/>
                <w:kern w:val="0"/>
                <w:sz w:val="20"/>
                <w:szCs w:val="20"/>
              </w:rPr>
              <w:t>吞吐量≥</w:t>
            </w:r>
            <w:r>
              <w:rPr>
                <w:rFonts w:eastAsia="等线"/>
                <w:kern w:val="0"/>
                <w:sz w:val="20"/>
                <w:szCs w:val="20"/>
              </w:rPr>
              <w:t>2.5G</w:t>
            </w:r>
            <w:r>
              <w:rPr>
                <w:rFonts w:hint="eastAsia" w:ascii="宋体" w:hAnsi="宋体"/>
                <w:kern w:val="0"/>
                <w:sz w:val="20"/>
                <w:szCs w:val="20"/>
              </w:rPr>
              <w:t>，并发连接数≥</w:t>
            </w:r>
            <w:r>
              <w:rPr>
                <w:rFonts w:eastAsia="等线"/>
                <w:kern w:val="0"/>
                <w:sz w:val="20"/>
                <w:szCs w:val="20"/>
              </w:rPr>
              <w:t>410</w:t>
            </w:r>
            <w:r>
              <w:rPr>
                <w:rFonts w:hint="eastAsia" w:ascii="宋体" w:hAnsi="宋体"/>
                <w:kern w:val="0"/>
                <w:sz w:val="20"/>
                <w:szCs w:val="20"/>
              </w:rPr>
              <w:t>万，</w:t>
            </w:r>
            <w:r>
              <w:rPr>
                <w:rFonts w:eastAsia="等线"/>
                <w:kern w:val="0"/>
                <w:sz w:val="20"/>
                <w:szCs w:val="20"/>
              </w:rPr>
              <w:t>HTTP</w:t>
            </w:r>
            <w:r>
              <w:rPr>
                <w:rFonts w:hint="eastAsia" w:ascii="宋体" w:hAnsi="宋体"/>
                <w:kern w:val="0"/>
                <w:sz w:val="20"/>
                <w:szCs w:val="20"/>
              </w:rPr>
              <w:t>新建连接数≥</w:t>
            </w:r>
            <w:r>
              <w:rPr>
                <w:rFonts w:eastAsia="等线"/>
                <w:kern w:val="0"/>
                <w:sz w:val="20"/>
                <w:szCs w:val="20"/>
              </w:rPr>
              <w:t>18</w:t>
            </w:r>
            <w:r>
              <w:rPr>
                <w:rFonts w:hint="eastAsia" w:ascii="宋体" w:hAnsi="宋体"/>
                <w:kern w:val="0"/>
                <w:sz w:val="20"/>
                <w:szCs w:val="20"/>
              </w:rPr>
              <w:t>万；</w:t>
            </w:r>
            <w:r>
              <w:rPr>
                <w:rFonts w:hint="eastAsia" w:ascii="宋体" w:hAnsi="宋体"/>
                <w:kern w:val="0"/>
                <w:sz w:val="20"/>
                <w:szCs w:val="20"/>
              </w:rPr>
              <w:br w:type="textWrapping"/>
            </w:r>
            <w:r>
              <w:rPr>
                <w:rFonts w:hint="eastAsia" w:ascii="宋体" w:hAnsi="宋体"/>
                <w:kern w:val="0"/>
                <w:sz w:val="20"/>
                <w:szCs w:val="20"/>
              </w:rPr>
              <w:t>硬件参数：规格≥</w:t>
            </w:r>
            <w:r>
              <w:rPr>
                <w:rFonts w:eastAsia="等线"/>
                <w:kern w:val="0"/>
                <w:sz w:val="20"/>
                <w:szCs w:val="20"/>
              </w:rPr>
              <w:t>2U</w:t>
            </w:r>
            <w:r>
              <w:rPr>
                <w:rFonts w:hint="eastAsia" w:ascii="宋体" w:hAnsi="宋体"/>
                <w:kern w:val="0"/>
                <w:sz w:val="20"/>
                <w:szCs w:val="20"/>
              </w:rPr>
              <w:t>，内存大小≥</w:t>
            </w:r>
            <w:r>
              <w:rPr>
                <w:rFonts w:eastAsia="等线"/>
                <w:kern w:val="0"/>
                <w:sz w:val="20"/>
                <w:szCs w:val="20"/>
              </w:rPr>
              <w:t>16G</w:t>
            </w:r>
            <w:r>
              <w:rPr>
                <w:rFonts w:hint="eastAsia" w:ascii="宋体" w:hAnsi="宋体"/>
                <w:kern w:val="0"/>
                <w:sz w:val="20"/>
                <w:szCs w:val="20"/>
              </w:rPr>
              <w:t>，硬盘容量≥</w:t>
            </w:r>
            <w:r>
              <w:rPr>
                <w:rFonts w:eastAsia="等线"/>
                <w:kern w:val="0"/>
                <w:sz w:val="20"/>
                <w:szCs w:val="20"/>
              </w:rPr>
              <w:t>64G SSD+480G SSD</w:t>
            </w:r>
            <w:r>
              <w:rPr>
                <w:rFonts w:hint="eastAsia" w:ascii="宋体" w:hAnsi="宋体"/>
                <w:kern w:val="0"/>
                <w:sz w:val="20"/>
                <w:szCs w:val="20"/>
              </w:rPr>
              <w:t>，电源：冗余电源，接口≥</w:t>
            </w:r>
            <w:r>
              <w:rPr>
                <w:rFonts w:eastAsia="等线"/>
                <w:kern w:val="0"/>
                <w:sz w:val="20"/>
                <w:szCs w:val="20"/>
              </w:rPr>
              <w:t>16</w:t>
            </w:r>
            <w:r>
              <w:rPr>
                <w:rFonts w:hint="eastAsia" w:ascii="宋体" w:hAnsi="宋体"/>
                <w:kern w:val="0"/>
                <w:sz w:val="20"/>
                <w:szCs w:val="20"/>
              </w:rPr>
              <w:t>千兆电口</w:t>
            </w:r>
            <w:r>
              <w:rPr>
                <w:rFonts w:eastAsia="等线"/>
                <w:kern w:val="0"/>
                <w:sz w:val="20"/>
                <w:szCs w:val="20"/>
              </w:rPr>
              <w:t>+6</w:t>
            </w:r>
            <w:r>
              <w:rPr>
                <w:rFonts w:hint="eastAsia" w:ascii="宋体" w:hAnsi="宋体"/>
                <w:kern w:val="0"/>
                <w:sz w:val="20"/>
                <w:szCs w:val="20"/>
              </w:rPr>
              <w:t>万兆光口</w:t>
            </w:r>
            <w:r>
              <w:rPr>
                <w:rFonts w:eastAsia="等线"/>
                <w:kern w:val="0"/>
                <w:sz w:val="20"/>
                <w:szCs w:val="20"/>
              </w:rPr>
              <w:t>SFP+</w:t>
            </w:r>
            <w:r>
              <w:rPr>
                <w:rFonts w:hint="eastAsia" w:ascii="宋体" w:hAnsi="宋体"/>
                <w:kern w:val="0"/>
                <w:sz w:val="20"/>
                <w:szCs w:val="20"/>
              </w:rPr>
              <w:t>。</w:t>
            </w:r>
            <w:r>
              <w:rPr>
                <w:rFonts w:hint="eastAsia" w:ascii="宋体" w:hAnsi="宋体"/>
                <w:kern w:val="0"/>
                <w:sz w:val="20"/>
                <w:szCs w:val="20"/>
              </w:rPr>
              <w:br w:type="textWrapping"/>
            </w:r>
            <w:r>
              <w:rPr>
                <w:rFonts w:hint="eastAsia" w:ascii="宋体" w:hAnsi="宋体"/>
                <w:kern w:val="0"/>
                <w:sz w:val="20"/>
                <w:szCs w:val="20"/>
              </w:rPr>
              <w:t>含：</w:t>
            </w:r>
            <w:r>
              <w:rPr>
                <w:rFonts w:eastAsia="等线"/>
                <w:kern w:val="0"/>
                <w:sz w:val="20"/>
                <w:szCs w:val="20"/>
              </w:rPr>
              <w:t>IPS/WAF</w:t>
            </w:r>
            <w:r>
              <w:rPr>
                <w:rFonts w:hint="eastAsia" w:ascii="宋体" w:hAnsi="宋体"/>
                <w:kern w:val="0"/>
                <w:sz w:val="20"/>
                <w:szCs w:val="20"/>
              </w:rPr>
              <w:t>功能模块永久授权，含防火墙软件基础级</w:t>
            </w:r>
            <w:r>
              <w:rPr>
                <w:rFonts w:eastAsia="等线"/>
                <w:kern w:val="0"/>
                <w:sz w:val="20"/>
                <w:szCs w:val="20"/>
              </w:rPr>
              <w:t>(*1</w:t>
            </w:r>
            <w:r>
              <w:rPr>
                <w:rFonts w:hint="eastAsia" w:ascii="宋体" w:hAnsi="宋体"/>
                <w:kern w:val="0"/>
                <w:sz w:val="20"/>
                <w:szCs w:val="20"/>
              </w:rPr>
              <w:t>套</w:t>
            </w:r>
            <w:r>
              <w:rPr>
                <w:rFonts w:eastAsia="等线"/>
                <w:kern w:val="0"/>
                <w:sz w:val="20"/>
                <w:szCs w:val="20"/>
              </w:rPr>
              <w:t>);</w:t>
            </w:r>
            <w:r>
              <w:rPr>
                <w:rFonts w:hint="eastAsia" w:ascii="宋体" w:hAnsi="宋体"/>
                <w:kern w:val="0"/>
                <w:sz w:val="20"/>
                <w:szCs w:val="20"/>
              </w:rPr>
              <w:t>防火墙增强级模块</w:t>
            </w:r>
            <w:r>
              <w:rPr>
                <w:rFonts w:eastAsia="等线"/>
                <w:kern w:val="0"/>
                <w:sz w:val="20"/>
                <w:szCs w:val="20"/>
              </w:rPr>
              <w:t>(*1</w:t>
            </w:r>
            <w:r>
              <w:rPr>
                <w:rFonts w:hint="eastAsia" w:ascii="宋体" w:hAnsi="宋体"/>
                <w:kern w:val="0"/>
                <w:sz w:val="20"/>
                <w:szCs w:val="20"/>
              </w:rPr>
              <w:t>套</w:t>
            </w:r>
            <w:r>
              <w:rPr>
                <w:rFonts w:eastAsia="等线"/>
                <w:kern w:val="0"/>
                <w:sz w:val="20"/>
                <w:szCs w:val="20"/>
              </w:rPr>
              <w:t>);</w:t>
            </w:r>
            <w:r>
              <w:rPr>
                <w:rFonts w:hint="eastAsia" w:ascii="宋体" w:hAnsi="宋体"/>
                <w:kern w:val="0"/>
                <w:sz w:val="20"/>
                <w:szCs w:val="20"/>
              </w:rPr>
              <w:t>防火墙安全规则库更新</w:t>
            </w:r>
            <w:r>
              <w:rPr>
                <w:rFonts w:eastAsia="等线"/>
                <w:kern w:val="0"/>
                <w:sz w:val="20"/>
                <w:szCs w:val="20"/>
              </w:rPr>
              <w:t>(*3</w:t>
            </w:r>
            <w:r>
              <w:rPr>
                <w:rFonts w:hint="eastAsia" w:ascii="宋体" w:hAnsi="宋体"/>
                <w:kern w:val="0"/>
                <w:sz w:val="20"/>
                <w:szCs w:val="20"/>
              </w:rPr>
              <w:t>年</w:t>
            </w:r>
            <w:r>
              <w:rPr>
                <w:rFonts w:eastAsia="等线"/>
                <w:kern w:val="0"/>
                <w:sz w:val="20"/>
                <w:szCs w:val="20"/>
              </w:rPr>
              <w:t>);</w:t>
            </w:r>
            <w:r>
              <w:rPr>
                <w:rFonts w:eastAsia="等线"/>
                <w:kern w:val="0"/>
                <w:sz w:val="20"/>
                <w:szCs w:val="20"/>
              </w:rPr>
              <w:br w:type="textWrapping"/>
            </w:r>
            <w:r>
              <w:rPr>
                <w:rFonts w:hint="eastAsia" w:ascii="宋体" w:hAnsi="宋体"/>
                <w:kern w:val="0"/>
                <w:sz w:val="20"/>
                <w:szCs w:val="20"/>
              </w:rPr>
              <w:t>产品质保</w:t>
            </w:r>
            <w:r>
              <w:rPr>
                <w:rFonts w:eastAsia="等线"/>
                <w:kern w:val="0"/>
                <w:sz w:val="20"/>
                <w:szCs w:val="20"/>
              </w:rPr>
              <w:t>(*3</w:t>
            </w:r>
            <w:r>
              <w:rPr>
                <w:rFonts w:hint="eastAsia" w:ascii="宋体" w:hAnsi="宋体"/>
                <w:kern w:val="0"/>
                <w:sz w:val="20"/>
                <w:szCs w:val="20"/>
              </w:rPr>
              <w:t>年</w:t>
            </w:r>
            <w:r>
              <w:rPr>
                <w:rFonts w:eastAsia="等线"/>
                <w:kern w:val="0"/>
                <w:sz w:val="20"/>
                <w:szCs w:val="20"/>
              </w:rPr>
              <w:t>);</w:t>
            </w:r>
            <w:r>
              <w:rPr>
                <w:rFonts w:eastAsia="等线"/>
                <w:kern w:val="0"/>
                <w:sz w:val="20"/>
                <w:szCs w:val="20"/>
              </w:rPr>
              <w:br w:type="textWrapping"/>
            </w:r>
            <w:r>
              <w:rPr>
                <w:rFonts w:hint="eastAsia" w:ascii="宋体" w:hAnsi="宋体"/>
                <w:kern w:val="0"/>
                <w:sz w:val="20"/>
                <w:szCs w:val="20"/>
              </w:rPr>
              <w:t>软件升级</w:t>
            </w:r>
            <w:r>
              <w:rPr>
                <w:rFonts w:eastAsia="等线"/>
                <w:kern w:val="0"/>
                <w:sz w:val="20"/>
                <w:szCs w:val="20"/>
              </w:rPr>
              <w:t>(*3</w:t>
            </w:r>
            <w:r>
              <w:rPr>
                <w:rFonts w:hint="eastAsia" w:ascii="宋体" w:hAnsi="宋体"/>
                <w:kern w:val="0"/>
                <w:sz w:val="20"/>
                <w:szCs w:val="20"/>
              </w:rPr>
              <w:t>年</w:t>
            </w:r>
            <w:r>
              <w:rPr>
                <w:rFonts w:eastAsia="等线"/>
                <w:kern w:val="0"/>
                <w:sz w:val="20"/>
                <w:szCs w:val="20"/>
              </w:rPr>
              <w:t>);</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hint="eastAsia" w:ascii="宋体" w:hAnsi="宋体"/>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eastAsia="等线"/>
                <w:kern w:val="0"/>
                <w:sz w:val="20"/>
                <w:szCs w:val="20"/>
              </w:rPr>
              <w:t>1</w:t>
            </w:r>
          </w:p>
        </w:tc>
      </w:tr>
      <w:tr>
        <w:tblPrEx>
          <w:tblCellMar>
            <w:top w:w="0" w:type="dxa"/>
            <w:left w:w="108" w:type="dxa"/>
            <w:bottom w:w="0" w:type="dxa"/>
            <w:right w:w="108" w:type="dxa"/>
          </w:tblCellMar>
        </w:tblPrEx>
        <w:trPr>
          <w:trHeight w:val="1824" w:hRule="atLeast"/>
        </w:trPr>
        <w:tc>
          <w:tcPr>
            <w:tcW w:w="604"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eastAsia="等线"/>
                <w:kern w:val="0"/>
                <w:sz w:val="20"/>
                <w:szCs w:val="20"/>
              </w:rPr>
              <w:t>13</w:t>
            </w: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hint="eastAsia" w:ascii="宋体" w:hAnsi="宋体"/>
                <w:kern w:val="0"/>
                <w:sz w:val="20"/>
                <w:szCs w:val="20"/>
              </w:rPr>
              <w:t>网闸（视频专网</w:t>
            </w:r>
            <w:r>
              <w:rPr>
                <w:rFonts w:eastAsia="等线"/>
                <w:kern w:val="0"/>
                <w:sz w:val="20"/>
                <w:szCs w:val="20"/>
              </w:rPr>
              <w:t>-</w:t>
            </w:r>
            <w:r>
              <w:rPr>
                <w:rFonts w:hint="eastAsia" w:ascii="宋体" w:hAnsi="宋体"/>
                <w:kern w:val="0"/>
                <w:sz w:val="20"/>
                <w:szCs w:val="20"/>
              </w:rPr>
              <w:t>社会资源接入网边界）</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kern w:val="0"/>
                <w:sz w:val="20"/>
                <w:szCs w:val="20"/>
              </w:rPr>
            </w:pPr>
            <w:r>
              <w:rPr>
                <w:rFonts w:hint="eastAsia" w:ascii="宋体" w:hAnsi="宋体"/>
                <w:kern w:val="0"/>
                <w:sz w:val="20"/>
                <w:szCs w:val="20"/>
              </w:rPr>
              <w:t>性能参数：吞吐量≥</w:t>
            </w:r>
            <w:r>
              <w:rPr>
                <w:rFonts w:eastAsia="等线"/>
                <w:kern w:val="0"/>
                <w:sz w:val="20"/>
                <w:szCs w:val="20"/>
              </w:rPr>
              <w:t>5Gbps</w:t>
            </w:r>
            <w:r>
              <w:rPr>
                <w:rFonts w:hint="eastAsia" w:ascii="宋体" w:hAnsi="宋体"/>
                <w:kern w:val="0"/>
                <w:sz w:val="20"/>
                <w:szCs w:val="20"/>
              </w:rPr>
              <w:t>，最大并发连接数≥</w:t>
            </w:r>
            <w:r>
              <w:rPr>
                <w:rFonts w:eastAsia="等线"/>
                <w:kern w:val="0"/>
                <w:sz w:val="20"/>
                <w:szCs w:val="20"/>
              </w:rPr>
              <w:t>50</w:t>
            </w:r>
            <w:r>
              <w:rPr>
                <w:rFonts w:hint="eastAsia" w:ascii="宋体" w:hAnsi="宋体"/>
                <w:kern w:val="0"/>
                <w:sz w:val="20"/>
                <w:szCs w:val="20"/>
              </w:rPr>
              <w:t>万。</w:t>
            </w:r>
            <w:r>
              <w:rPr>
                <w:rFonts w:hint="eastAsia" w:ascii="宋体" w:hAnsi="宋体"/>
                <w:kern w:val="0"/>
                <w:sz w:val="20"/>
                <w:szCs w:val="20"/>
              </w:rPr>
              <w:br w:type="textWrapping"/>
            </w:r>
            <w:r>
              <w:rPr>
                <w:rFonts w:hint="eastAsia" w:ascii="宋体" w:hAnsi="宋体"/>
                <w:kern w:val="0"/>
                <w:sz w:val="20"/>
                <w:szCs w:val="20"/>
              </w:rPr>
              <w:t>尺寸≥</w:t>
            </w:r>
            <w:r>
              <w:rPr>
                <w:rFonts w:eastAsia="等线"/>
                <w:kern w:val="0"/>
                <w:sz w:val="20"/>
                <w:szCs w:val="20"/>
              </w:rPr>
              <w:t>2U</w:t>
            </w:r>
            <w:r>
              <w:rPr>
                <w:rFonts w:hint="eastAsia" w:ascii="宋体" w:hAnsi="宋体"/>
                <w:kern w:val="0"/>
                <w:sz w:val="20"/>
                <w:szCs w:val="20"/>
              </w:rPr>
              <w:t>，</w:t>
            </w:r>
            <w:r>
              <w:rPr>
                <w:rFonts w:eastAsia="等线"/>
                <w:kern w:val="0"/>
                <w:sz w:val="20"/>
                <w:szCs w:val="20"/>
              </w:rPr>
              <w:t>“</w:t>
            </w:r>
            <w:r>
              <w:rPr>
                <w:rFonts w:hint="eastAsia" w:ascii="宋体" w:hAnsi="宋体"/>
                <w:kern w:val="0"/>
                <w:sz w:val="20"/>
                <w:szCs w:val="20"/>
              </w:rPr>
              <w:t>双主机</w:t>
            </w:r>
            <w:r>
              <w:rPr>
                <w:rFonts w:eastAsia="等线"/>
                <w:kern w:val="0"/>
                <w:sz w:val="20"/>
                <w:szCs w:val="20"/>
              </w:rPr>
              <w:t>+</w:t>
            </w:r>
            <w:r>
              <w:rPr>
                <w:rFonts w:hint="eastAsia" w:ascii="宋体" w:hAnsi="宋体"/>
                <w:kern w:val="0"/>
                <w:sz w:val="20"/>
                <w:szCs w:val="20"/>
              </w:rPr>
              <w:t>隔离卡</w:t>
            </w:r>
            <w:r>
              <w:rPr>
                <w:rFonts w:eastAsia="等线"/>
                <w:kern w:val="0"/>
                <w:sz w:val="20"/>
                <w:szCs w:val="20"/>
              </w:rPr>
              <w:t>”</w:t>
            </w:r>
            <w:r>
              <w:rPr>
                <w:rFonts w:hint="eastAsia" w:ascii="宋体" w:hAnsi="宋体"/>
                <w:kern w:val="0"/>
                <w:sz w:val="20"/>
                <w:szCs w:val="20"/>
              </w:rPr>
              <w:t>架构，单主机硬件要求≥</w:t>
            </w:r>
            <w:r>
              <w:rPr>
                <w:rFonts w:eastAsia="等线"/>
                <w:kern w:val="0"/>
                <w:sz w:val="20"/>
                <w:szCs w:val="20"/>
              </w:rPr>
              <w:t>6</w:t>
            </w:r>
            <w:r>
              <w:rPr>
                <w:rFonts w:hint="eastAsia" w:ascii="宋体" w:hAnsi="宋体"/>
                <w:kern w:val="0"/>
                <w:sz w:val="20"/>
                <w:szCs w:val="20"/>
              </w:rPr>
              <w:t>电</w:t>
            </w:r>
            <w:r>
              <w:rPr>
                <w:rFonts w:eastAsia="等线"/>
                <w:kern w:val="0"/>
                <w:sz w:val="20"/>
                <w:szCs w:val="20"/>
              </w:rPr>
              <w:t>4</w:t>
            </w:r>
            <w:r>
              <w:rPr>
                <w:rFonts w:hint="eastAsia" w:ascii="宋体" w:hAnsi="宋体"/>
                <w:kern w:val="0"/>
                <w:sz w:val="20"/>
                <w:szCs w:val="20"/>
              </w:rPr>
              <w:t>光，内存</w:t>
            </w:r>
            <w:r>
              <w:rPr>
                <w:rFonts w:eastAsia="等线"/>
                <w:kern w:val="0"/>
                <w:sz w:val="20"/>
                <w:szCs w:val="20"/>
              </w:rPr>
              <w:t>4GB</w:t>
            </w:r>
            <w:r>
              <w:rPr>
                <w:rFonts w:hint="eastAsia" w:ascii="宋体" w:hAnsi="宋体"/>
                <w:kern w:val="0"/>
                <w:sz w:val="20"/>
                <w:szCs w:val="20"/>
              </w:rPr>
              <w:t>，硬盘</w:t>
            </w:r>
            <w:r>
              <w:rPr>
                <w:rFonts w:eastAsia="等线"/>
                <w:kern w:val="0"/>
                <w:sz w:val="20"/>
                <w:szCs w:val="20"/>
              </w:rPr>
              <w:t>64G SSD</w:t>
            </w:r>
            <w:r>
              <w:rPr>
                <w:rFonts w:hint="eastAsia" w:ascii="宋体" w:hAnsi="宋体"/>
                <w:kern w:val="0"/>
                <w:sz w:val="20"/>
                <w:szCs w:val="20"/>
              </w:rPr>
              <w:t>，冗余电源</w:t>
            </w:r>
            <w:r>
              <w:rPr>
                <w:rFonts w:eastAsia="等线"/>
                <w:kern w:val="0"/>
                <w:sz w:val="20"/>
                <w:szCs w:val="20"/>
              </w:rPr>
              <w:t xml:space="preserve"> 500W</w:t>
            </w:r>
            <w:r>
              <w:rPr>
                <w:rFonts w:hint="eastAsia" w:ascii="宋体" w:hAnsi="宋体"/>
                <w:kern w:val="0"/>
                <w:sz w:val="20"/>
                <w:szCs w:val="20"/>
              </w:rPr>
              <w:t>。</w:t>
            </w:r>
            <w:r>
              <w:rPr>
                <w:rFonts w:hint="eastAsia" w:ascii="宋体" w:hAnsi="宋体"/>
                <w:kern w:val="0"/>
                <w:sz w:val="20"/>
                <w:szCs w:val="20"/>
              </w:rPr>
              <w:br w:type="textWrapping"/>
            </w:r>
            <w:r>
              <w:rPr>
                <w:rFonts w:hint="eastAsia" w:ascii="宋体" w:hAnsi="宋体"/>
                <w:kern w:val="0"/>
                <w:sz w:val="20"/>
                <w:szCs w:val="20"/>
              </w:rPr>
              <w:t>含：</w:t>
            </w:r>
            <w:r>
              <w:rPr>
                <w:rFonts w:hint="eastAsia" w:ascii="宋体" w:hAnsi="宋体"/>
                <w:kern w:val="0"/>
                <w:sz w:val="20"/>
                <w:szCs w:val="20"/>
              </w:rPr>
              <w:br w:type="textWrapping"/>
            </w:r>
            <w:r>
              <w:rPr>
                <w:rFonts w:hint="eastAsia" w:ascii="宋体" w:hAnsi="宋体"/>
                <w:kern w:val="0"/>
                <w:sz w:val="20"/>
                <w:szCs w:val="20"/>
              </w:rPr>
              <w:t>安全隔离与信息交换系统软件</w:t>
            </w:r>
            <w:r>
              <w:rPr>
                <w:rFonts w:eastAsia="等线"/>
                <w:kern w:val="0"/>
                <w:sz w:val="20"/>
                <w:szCs w:val="20"/>
              </w:rPr>
              <w:t>(*1</w:t>
            </w:r>
            <w:r>
              <w:rPr>
                <w:rFonts w:hint="eastAsia" w:ascii="宋体" w:hAnsi="宋体"/>
                <w:kern w:val="0"/>
                <w:sz w:val="20"/>
                <w:szCs w:val="20"/>
              </w:rPr>
              <w:t>套</w:t>
            </w:r>
            <w:r>
              <w:rPr>
                <w:rFonts w:eastAsia="等线"/>
                <w:kern w:val="0"/>
                <w:sz w:val="20"/>
                <w:szCs w:val="20"/>
              </w:rPr>
              <w:t>);</w:t>
            </w:r>
            <w:r>
              <w:rPr>
                <w:rFonts w:eastAsia="等线"/>
                <w:kern w:val="0"/>
                <w:sz w:val="20"/>
                <w:szCs w:val="20"/>
              </w:rPr>
              <w:br w:type="textWrapping"/>
            </w:r>
            <w:r>
              <w:rPr>
                <w:rFonts w:hint="eastAsia" w:ascii="宋体" w:hAnsi="宋体"/>
                <w:kern w:val="0"/>
                <w:sz w:val="20"/>
                <w:szCs w:val="20"/>
              </w:rPr>
              <w:t>产品质保</w:t>
            </w:r>
            <w:r>
              <w:rPr>
                <w:rFonts w:eastAsia="等线"/>
                <w:kern w:val="0"/>
                <w:sz w:val="20"/>
                <w:szCs w:val="20"/>
              </w:rPr>
              <w:t>(*3</w:t>
            </w:r>
            <w:r>
              <w:rPr>
                <w:rFonts w:hint="eastAsia" w:ascii="宋体" w:hAnsi="宋体"/>
                <w:kern w:val="0"/>
                <w:sz w:val="20"/>
                <w:szCs w:val="20"/>
              </w:rPr>
              <w:t>年</w:t>
            </w:r>
            <w:r>
              <w:rPr>
                <w:rFonts w:eastAsia="等线"/>
                <w:kern w:val="0"/>
                <w:sz w:val="20"/>
                <w:szCs w:val="20"/>
              </w:rPr>
              <w:t>);</w:t>
            </w:r>
            <w:r>
              <w:rPr>
                <w:rFonts w:eastAsia="等线"/>
                <w:kern w:val="0"/>
                <w:sz w:val="20"/>
                <w:szCs w:val="20"/>
              </w:rPr>
              <w:br w:type="textWrapping"/>
            </w:r>
            <w:r>
              <w:rPr>
                <w:rFonts w:hint="eastAsia" w:ascii="宋体" w:hAnsi="宋体"/>
                <w:kern w:val="0"/>
                <w:sz w:val="20"/>
                <w:szCs w:val="20"/>
              </w:rPr>
              <w:t>软件升级</w:t>
            </w:r>
            <w:r>
              <w:rPr>
                <w:rFonts w:eastAsia="等线"/>
                <w:kern w:val="0"/>
                <w:sz w:val="20"/>
                <w:szCs w:val="20"/>
              </w:rPr>
              <w:t>(*3</w:t>
            </w:r>
            <w:r>
              <w:rPr>
                <w:rFonts w:hint="eastAsia" w:ascii="宋体" w:hAnsi="宋体"/>
                <w:kern w:val="0"/>
                <w:sz w:val="20"/>
                <w:szCs w:val="20"/>
              </w:rPr>
              <w:t>年</w:t>
            </w:r>
            <w:r>
              <w:rPr>
                <w:rFonts w:eastAsia="等线"/>
                <w:kern w:val="0"/>
                <w:sz w:val="20"/>
                <w:szCs w:val="20"/>
              </w:rPr>
              <w:t>);</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hint="eastAsia" w:ascii="宋体" w:hAnsi="宋体"/>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eastAsia="等线"/>
                <w:kern w:val="0"/>
                <w:sz w:val="20"/>
                <w:szCs w:val="20"/>
              </w:rPr>
              <w:t>1</w:t>
            </w:r>
          </w:p>
        </w:tc>
      </w:tr>
      <w:tr>
        <w:tblPrEx>
          <w:tblCellMar>
            <w:top w:w="0" w:type="dxa"/>
            <w:left w:w="108" w:type="dxa"/>
            <w:bottom w:w="0" w:type="dxa"/>
            <w:right w:w="108" w:type="dxa"/>
          </w:tblCellMar>
        </w:tblPrEx>
        <w:trPr>
          <w:trHeight w:val="2112" w:hRule="atLeast"/>
        </w:trPr>
        <w:tc>
          <w:tcPr>
            <w:tcW w:w="604"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eastAsia="等线"/>
                <w:kern w:val="0"/>
                <w:sz w:val="20"/>
                <w:szCs w:val="20"/>
              </w:rPr>
              <w:t>14</w:t>
            </w:r>
          </w:p>
        </w:tc>
        <w:tc>
          <w:tcPr>
            <w:tcW w:w="74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社会资源接入等保</w:t>
            </w: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hint="eastAsia" w:ascii="宋体" w:hAnsi="宋体"/>
                <w:kern w:val="0"/>
                <w:sz w:val="20"/>
                <w:szCs w:val="20"/>
              </w:rPr>
              <w:t>下一代防火墙（社会资源接入网出口）</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kern w:val="0"/>
                <w:sz w:val="20"/>
                <w:szCs w:val="20"/>
              </w:rPr>
            </w:pPr>
            <w:r>
              <w:rPr>
                <w:rFonts w:hint="eastAsia" w:ascii="宋体" w:hAnsi="宋体"/>
                <w:kern w:val="0"/>
                <w:sz w:val="20"/>
                <w:szCs w:val="20"/>
              </w:rPr>
              <w:t>性能参数：网络层吞吐量≥</w:t>
            </w:r>
            <w:r>
              <w:rPr>
                <w:rFonts w:eastAsia="等线"/>
                <w:kern w:val="0"/>
                <w:sz w:val="20"/>
                <w:szCs w:val="20"/>
              </w:rPr>
              <w:t>35G</w:t>
            </w:r>
            <w:r>
              <w:rPr>
                <w:rFonts w:hint="eastAsia" w:ascii="宋体" w:hAnsi="宋体"/>
                <w:kern w:val="0"/>
                <w:sz w:val="20"/>
                <w:szCs w:val="20"/>
              </w:rPr>
              <w:t>，应用层吞吐量≥</w:t>
            </w:r>
            <w:r>
              <w:rPr>
                <w:rFonts w:eastAsia="等线"/>
                <w:kern w:val="0"/>
                <w:sz w:val="20"/>
                <w:szCs w:val="20"/>
              </w:rPr>
              <w:t>15G</w:t>
            </w:r>
            <w:r>
              <w:rPr>
                <w:rFonts w:hint="eastAsia" w:ascii="宋体" w:hAnsi="宋体"/>
                <w:kern w:val="0"/>
                <w:sz w:val="20"/>
                <w:szCs w:val="20"/>
              </w:rPr>
              <w:t>，防病毒吞吐量≥</w:t>
            </w:r>
            <w:r>
              <w:rPr>
                <w:rFonts w:eastAsia="等线"/>
                <w:kern w:val="0"/>
                <w:sz w:val="20"/>
                <w:szCs w:val="20"/>
              </w:rPr>
              <w:t>3.5G</w:t>
            </w:r>
            <w:r>
              <w:rPr>
                <w:rFonts w:hint="eastAsia" w:ascii="宋体" w:hAnsi="宋体"/>
                <w:kern w:val="0"/>
                <w:sz w:val="20"/>
                <w:szCs w:val="20"/>
              </w:rPr>
              <w:t>，</w:t>
            </w:r>
            <w:r>
              <w:rPr>
                <w:rFonts w:eastAsia="等线"/>
                <w:kern w:val="0"/>
                <w:sz w:val="20"/>
                <w:szCs w:val="20"/>
              </w:rPr>
              <w:t>IPS</w:t>
            </w:r>
            <w:r>
              <w:rPr>
                <w:rFonts w:hint="eastAsia" w:ascii="宋体" w:hAnsi="宋体"/>
                <w:kern w:val="0"/>
                <w:sz w:val="20"/>
                <w:szCs w:val="20"/>
              </w:rPr>
              <w:t>吞吐量≥</w:t>
            </w:r>
            <w:r>
              <w:rPr>
                <w:rFonts w:eastAsia="等线"/>
                <w:kern w:val="0"/>
                <w:sz w:val="20"/>
                <w:szCs w:val="20"/>
              </w:rPr>
              <w:t>2.5G</w:t>
            </w:r>
            <w:r>
              <w:rPr>
                <w:rFonts w:hint="eastAsia" w:ascii="宋体" w:hAnsi="宋体"/>
                <w:kern w:val="0"/>
                <w:sz w:val="20"/>
                <w:szCs w:val="20"/>
              </w:rPr>
              <w:t>，并发连接数≥</w:t>
            </w:r>
            <w:r>
              <w:rPr>
                <w:rFonts w:eastAsia="等线"/>
                <w:kern w:val="0"/>
                <w:sz w:val="20"/>
                <w:szCs w:val="20"/>
              </w:rPr>
              <w:t>410</w:t>
            </w:r>
            <w:r>
              <w:rPr>
                <w:rFonts w:hint="eastAsia" w:ascii="宋体" w:hAnsi="宋体"/>
                <w:kern w:val="0"/>
                <w:sz w:val="20"/>
                <w:szCs w:val="20"/>
              </w:rPr>
              <w:t>万，</w:t>
            </w:r>
            <w:r>
              <w:rPr>
                <w:rFonts w:eastAsia="等线"/>
                <w:kern w:val="0"/>
                <w:sz w:val="20"/>
                <w:szCs w:val="20"/>
              </w:rPr>
              <w:t>HTTP</w:t>
            </w:r>
            <w:r>
              <w:rPr>
                <w:rFonts w:hint="eastAsia" w:ascii="宋体" w:hAnsi="宋体"/>
                <w:kern w:val="0"/>
                <w:sz w:val="20"/>
                <w:szCs w:val="20"/>
              </w:rPr>
              <w:t>新建连接数≥</w:t>
            </w:r>
            <w:r>
              <w:rPr>
                <w:rFonts w:eastAsia="等线"/>
                <w:kern w:val="0"/>
                <w:sz w:val="20"/>
                <w:szCs w:val="20"/>
              </w:rPr>
              <w:t>18</w:t>
            </w:r>
            <w:r>
              <w:rPr>
                <w:rFonts w:hint="eastAsia" w:ascii="宋体" w:hAnsi="宋体"/>
                <w:kern w:val="0"/>
                <w:sz w:val="20"/>
                <w:szCs w:val="20"/>
              </w:rPr>
              <w:t>万；</w:t>
            </w:r>
            <w:r>
              <w:rPr>
                <w:rFonts w:hint="eastAsia" w:ascii="宋体" w:hAnsi="宋体"/>
                <w:kern w:val="0"/>
                <w:sz w:val="20"/>
                <w:szCs w:val="20"/>
              </w:rPr>
              <w:br w:type="textWrapping"/>
            </w:r>
            <w:r>
              <w:rPr>
                <w:rFonts w:hint="eastAsia" w:ascii="宋体" w:hAnsi="宋体"/>
                <w:kern w:val="0"/>
                <w:sz w:val="20"/>
                <w:szCs w:val="20"/>
              </w:rPr>
              <w:t>硬件参数：规格≥</w:t>
            </w:r>
            <w:r>
              <w:rPr>
                <w:rFonts w:eastAsia="等线"/>
                <w:kern w:val="0"/>
                <w:sz w:val="20"/>
                <w:szCs w:val="20"/>
              </w:rPr>
              <w:t>2U</w:t>
            </w:r>
            <w:r>
              <w:rPr>
                <w:rFonts w:hint="eastAsia" w:ascii="宋体" w:hAnsi="宋体"/>
                <w:kern w:val="0"/>
                <w:sz w:val="20"/>
                <w:szCs w:val="20"/>
              </w:rPr>
              <w:t>，内存大小≥</w:t>
            </w:r>
            <w:r>
              <w:rPr>
                <w:rFonts w:eastAsia="等线"/>
                <w:kern w:val="0"/>
                <w:sz w:val="20"/>
                <w:szCs w:val="20"/>
              </w:rPr>
              <w:t>16G</w:t>
            </w:r>
            <w:r>
              <w:rPr>
                <w:rFonts w:hint="eastAsia" w:ascii="宋体" w:hAnsi="宋体"/>
                <w:kern w:val="0"/>
                <w:sz w:val="20"/>
                <w:szCs w:val="20"/>
              </w:rPr>
              <w:t>，硬盘容量≥</w:t>
            </w:r>
            <w:r>
              <w:rPr>
                <w:rFonts w:eastAsia="等线"/>
                <w:kern w:val="0"/>
                <w:sz w:val="20"/>
                <w:szCs w:val="20"/>
              </w:rPr>
              <w:t>64G SSD+480G SSD</w:t>
            </w:r>
            <w:r>
              <w:rPr>
                <w:rFonts w:hint="eastAsia" w:ascii="宋体" w:hAnsi="宋体"/>
                <w:kern w:val="0"/>
                <w:sz w:val="20"/>
                <w:szCs w:val="20"/>
              </w:rPr>
              <w:t>，电源：冗余电源，接口≥</w:t>
            </w:r>
            <w:r>
              <w:rPr>
                <w:rFonts w:eastAsia="等线"/>
                <w:kern w:val="0"/>
                <w:sz w:val="20"/>
                <w:szCs w:val="20"/>
              </w:rPr>
              <w:t>16</w:t>
            </w:r>
            <w:r>
              <w:rPr>
                <w:rFonts w:hint="eastAsia" w:ascii="宋体" w:hAnsi="宋体"/>
                <w:kern w:val="0"/>
                <w:sz w:val="20"/>
                <w:szCs w:val="20"/>
              </w:rPr>
              <w:t>千兆电口</w:t>
            </w:r>
            <w:r>
              <w:rPr>
                <w:rFonts w:eastAsia="等线"/>
                <w:kern w:val="0"/>
                <w:sz w:val="20"/>
                <w:szCs w:val="20"/>
              </w:rPr>
              <w:t>+6</w:t>
            </w:r>
            <w:r>
              <w:rPr>
                <w:rFonts w:hint="eastAsia" w:ascii="宋体" w:hAnsi="宋体"/>
                <w:kern w:val="0"/>
                <w:sz w:val="20"/>
                <w:szCs w:val="20"/>
              </w:rPr>
              <w:t>万兆光口</w:t>
            </w:r>
            <w:r>
              <w:rPr>
                <w:rFonts w:eastAsia="等线"/>
                <w:kern w:val="0"/>
                <w:sz w:val="20"/>
                <w:szCs w:val="20"/>
              </w:rPr>
              <w:t>SFP+</w:t>
            </w:r>
            <w:r>
              <w:rPr>
                <w:rFonts w:hint="eastAsia" w:ascii="宋体" w:hAnsi="宋体"/>
                <w:kern w:val="0"/>
                <w:sz w:val="20"/>
                <w:szCs w:val="20"/>
              </w:rPr>
              <w:t>。</w:t>
            </w:r>
            <w:r>
              <w:rPr>
                <w:rFonts w:hint="eastAsia" w:ascii="宋体" w:hAnsi="宋体"/>
                <w:kern w:val="0"/>
                <w:sz w:val="20"/>
                <w:szCs w:val="20"/>
              </w:rPr>
              <w:br w:type="textWrapping"/>
            </w:r>
            <w:r>
              <w:rPr>
                <w:rFonts w:hint="eastAsia" w:ascii="宋体" w:hAnsi="宋体"/>
                <w:kern w:val="0"/>
                <w:sz w:val="20"/>
                <w:szCs w:val="20"/>
              </w:rPr>
              <w:t>含：</w:t>
            </w:r>
            <w:r>
              <w:rPr>
                <w:rFonts w:eastAsia="等线"/>
                <w:kern w:val="0"/>
                <w:sz w:val="20"/>
                <w:szCs w:val="20"/>
              </w:rPr>
              <w:t>IPS/WAF</w:t>
            </w:r>
            <w:r>
              <w:rPr>
                <w:rFonts w:hint="eastAsia" w:ascii="宋体" w:hAnsi="宋体"/>
                <w:kern w:val="0"/>
                <w:sz w:val="20"/>
                <w:szCs w:val="20"/>
              </w:rPr>
              <w:t>功能模块永久授权，含防火墙软件基础级</w:t>
            </w:r>
            <w:r>
              <w:rPr>
                <w:rFonts w:eastAsia="等线"/>
                <w:kern w:val="0"/>
                <w:sz w:val="20"/>
                <w:szCs w:val="20"/>
              </w:rPr>
              <w:t>(*1</w:t>
            </w:r>
            <w:r>
              <w:rPr>
                <w:rFonts w:hint="eastAsia" w:ascii="宋体" w:hAnsi="宋体"/>
                <w:kern w:val="0"/>
                <w:sz w:val="20"/>
                <w:szCs w:val="20"/>
              </w:rPr>
              <w:t>套</w:t>
            </w:r>
            <w:r>
              <w:rPr>
                <w:rFonts w:eastAsia="等线"/>
                <w:kern w:val="0"/>
                <w:sz w:val="20"/>
                <w:szCs w:val="20"/>
              </w:rPr>
              <w:t>);</w:t>
            </w:r>
            <w:r>
              <w:rPr>
                <w:rFonts w:hint="eastAsia" w:ascii="宋体" w:hAnsi="宋体"/>
                <w:kern w:val="0"/>
                <w:sz w:val="20"/>
                <w:szCs w:val="20"/>
              </w:rPr>
              <w:t>防火墙增强级模块</w:t>
            </w:r>
            <w:r>
              <w:rPr>
                <w:rFonts w:eastAsia="等线"/>
                <w:kern w:val="0"/>
                <w:sz w:val="20"/>
                <w:szCs w:val="20"/>
              </w:rPr>
              <w:t>(*1</w:t>
            </w:r>
            <w:r>
              <w:rPr>
                <w:rFonts w:hint="eastAsia" w:ascii="宋体" w:hAnsi="宋体"/>
                <w:kern w:val="0"/>
                <w:sz w:val="20"/>
                <w:szCs w:val="20"/>
              </w:rPr>
              <w:t>套</w:t>
            </w:r>
            <w:r>
              <w:rPr>
                <w:rFonts w:eastAsia="等线"/>
                <w:kern w:val="0"/>
                <w:sz w:val="20"/>
                <w:szCs w:val="20"/>
              </w:rPr>
              <w:t>);</w:t>
            </w:r>
            <w:r>
              <w:rPr>
                <w:rFonts w:hint="eastAsia" w:ascii="宋体" w:hAnsi="宋体"/>
                <w:kern w:val="0"/>
                <w:sz w:val="20"/>
                <w:szCs w:val="20"/>
              </w:rPr>
              <w:t>防火墙安全规则库更新</w:t>
            </w:r>
            <w:r>
              <w:rPr>
                <w:rFonts w:eastAsia="等线"/>
                <w:kern w:val="0"/>
                <w:sz w:val="20"/>
                <w:szCs w:val="20"/>
              </w:rPr>
              <w:t>(*3</w:t>
            </w:r>
            <w:r>
              <w:rPr>
                <w:rFonts w:hint="eastAsia" w:ascii="宋体" w:hAnsi="宋体"/>
                <w:kern w:val="0"/>
                <w:sz w:val="20"/>
                <w:szCs w:val="20"/>
              </w:rPr>
              <w:t>年</w:t>
            </w:r>
            <w:r>
              <w:rPr>
                <w:rFonts w:eastAsia="等线"/>
                <w:kern w:val="0"/>
                <w:sz w:val="20"/>
                <w:szCs w:val="20"/>
              </w:rPr>
              <w:t>);</w:t>
            </w:r>
            <w:r>
              <w:rPr>
                <w:rFonts w:eastAsia="等线"/>
                <w:kern w:val="0"/>
                <w:sz w:val="20"/>
                <w:szCs w:val="20"/>
              </w:rPr>
              <w:br w:type="textWrapping"/>
            </w:r>
            <w:r>
              <w:rPr>
                <w:rFonts w:hint="eastAsia" w:ascii="宋体" w:hAnsi="宋体"/>
                <w:kern w:val="0"/>
                <w:sz w:val="20"/>
                <w:szCs w:val="20"/>
              </w:rPr>
              <w:t>产品质保</w:t>
            </w:r>
            <w:r>
              <w:rPr>
                <w:rFonts w:eastAsia="等线"/>
                <w:kern w:val="0"/>
                <w:sz w:val="20"/>
                <w:szCs w:val="20"/>
              </w:rPr>
              <w:t>(*3</w:t>
            </w:r>
            <w:r>
              <w:rPr>
                <w:rFonts w:hint="eastAsia" w:ascii="宋体" w:hAnsi="宋体"/>
                <w:kern w:val="0"/>
                <w:sz w:val="20"/>
                <w:szCs w:val="20"/>
              </w:rPr>
              <w:t>年</w:t>
            </w:r>
            <w:r>
              <w:rPr>
                <w:rFonts w:eastAsia="等线"/>
                <w:kern w:val="0"/>
                <w:sz w:val="20"/>
                <w:szCs w:val="20"/>
              </w:rPr>
              <w:t>);</w:t>
            </w:r>
            <w:r>
              <w:rPr>
                <w:rFonts w:eastAsia="等线"/>
                <w:kern w:val="0"/>
                <w:sz w:val="20"/>
                <w:szCs w:val="20"/>
              </w:rPr>
              <w:br w:type="textWrapping"/>
            </w:r>
            <w:r>
              <w:rPr>
                <w:rFonts w:hint="eastAsia" w:ascii="宋体" w:hAnsi="宋体"/>
                <w:kern w:val="0"/>
                <w:sz w:val="20"/>
                <w:szCs w:val="20"/>
              </w:rPr>
              <w:t>软件升级</w:t>
            </w:r>
            <w:r>
              <w:rPr>
                <w:rFonts w:eastAsia="等线"/>
                <w:kern w:val="0"/>
                <w:sz w:val="20"/>
                <w:szCs w:val="20"/>
              </w:rPr>
              <w:t>(*3</w:t>
            </w:r>
            <w:r>
              <w:rPr>
                <w:rFonts w:hint="eastAsia" w:ascii="宋体" w:hAnsi="宋体"/>
                <w:kern w:val="0"/>
                <w:sz w:val="20"/>
                <w:szCs w:val="20"/>
              </w:rPr>
              <w:t>年</w:t>
            </w:r>
            <w:r>
              <w:rPr>
                <w:rFonts w:eastAsia="等线"/>
                <w:kern w:val="0"/>
                <w:sz w:val="20"/>
                <w:szCs w:val="20"/>
              </w:rPr>
              <w:t>);</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hint="eastAsia" w:ascii="宋体" w:hAnsi="宋体"/>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eastAsia="等线"/>
                <w:kern w:val="0"/>
                <w:sz w:val="20"/>
                <w:szCs w:val="20"/>
              </w:rPr>
              <w:t>1</w:t>
            </w:r>
          </w:p>
        </w:tc>
      </w:tr>
      <w:tr>
        <w:tblPrEx>
          <w:tblCellMar>
            <w:top w:w="0" w:type="dxa"/>
            <w:left w:w="108" w:type="dxa"/>
            <w:bottom w:w="0" w:type="dxa"/>
            <w:right w:w="108" w:type="dxa"/>
          </w:tblCellMar>
        </w:tblPrEx>
        <w:trPr>
          <w:trHeight w:val="1824" w:hRule="atLeast"/>
        </w:trPr>
        <w:tc>
          <w:tcPr>
            <w:tcW w:w="604"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eastAsia="等线"/>
                <w:kern w:val="0"/>
                <w:sz w:val="20"/>
                <w:szCs w:val="20"/>
              </w:rPr>
              <w:t>15</w:t>
            </w: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hint="eastAsia" w:ascii="宋体" w:hAnsi="宋体"/>
                <w:kern w:val="0"/>
                <w:sz w:val="20"/>
                <w:szCs w:val="20"/>
              </w:rPr>
              <w:t>日志审计（社会资源接入网区）</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kern w:val="0"/>
                <w:sz w:val="20"/>
                <w:szCs w:val="20"/>
              </w:rPr>
            </w:pPr>
            <w:r>
              <w:rPr>
                <w:rFonts w:hint="eastAsia" w:ascii="宋体" w:hAnsi="宋体"/>
                <w:kern w:val="0"/>
                <w:sz w:val="20"/>
                <w:szCs w:val="20"/>
              </w:rPr>
              <w:t>性能参数：包含主机审计许可证书数量≥</w:t>
            </w:r>
            <w:r>
              <w:rPr>
                <w:rFonts w:eastAsia="等线"/>
                <w:kern w:val="0"/>
                <w:sz w:val="20"/>
                <w:szCs w:val="20"/>
              </w:rPr>
              <w:t>50</w:t>
            </w:r>
            <w:r>
              <w:rPr>
                <w:rFonts w:hint="eastAsia" w:ascii="宋体" w:hAnsi="宋体"/>
                <w:kern w:val="0"/>
                <w:sz w:val="20"/>
                <w:szCs w:val="20"/>
              </w:rPr>
              <w:t>，最大可扩展审计主机许可数≥</w:t>
            </w:r>
            <w:r>
              <w:rPr>
                <w:rFonts w:eastAsia="等线"/>
                <w:kern w:val="0"/>
                <w:sz w:val="20"/>
                <w:szCs w:val="20"/>
              </w:rPr>
              <w:t>150</w:t>
            </w:r>
            <w:r>
              <w:rPr>
                <w:rFonts w:hint="eastAsia" w:ascii="宋体" w:hAnsi="宋体"/>
                <w:kern w:val="0"/>
                <w:sz w:val="20"/>
                <w:szCs w:val="20"/>
              </w:rPr>
              <w:t>，存储量≥</w:t>
            </w:r>
            <w:r>
              <w:rPr>
                <w:rFonts w:eastAsia="等线"/>
                <w:kern w:val="0"/>
                <w:sz w:val="20"/>
                <w:szCs w:val="20"/>
              </w:rPr>
              <w:t>4TB</w:t>
            </w:r>
            <w:r>
              <w:rPr>
                <w:rFonts w:hint="eastAsia" w:ascii="宋体" w:hAnsi="宋体"/>
                <w:kern w:val="0"/>
                <w:sz w:val="20"/>
                <w:szCs w:val="20"/>
              </w:rPr>
              <w:t>，平均每秒处理日志数（</w:t>
            </w:r>
            <w:r>
              <w:rPr>
                <w:rFonts w:eastAsia="等线"/>
                <w:kern w:val="0"/>
                <w:sz w:val="20"/>
                <w:szCs w:val="20"/>
              </w:rPr>
              <w:t>eps</w:t>
            </w:r>
            <w:r>
              <w:rPr>
                <w:rFonts w:hint="eastAsia" w:ascii="宋体" w:hAnsi="宋体"/>
                <w:kern w:val="0"/>
                <w:sz w:val="20"/>
                <w:szCs w:val="20"/>
              </w:rPr>
              <w:t>）最大性能≥</w:t>
            </w:r>
            <w:r>
              <w:rPr>
                <w:rFonts w:eastAsia="等线"/>
                <w:kern w:val="0"/>
                <w:sz w:val="20"/>
                <w:szCs w:val="20"/>
              </w:rPr>
              <w:t>1200</w:t>
            </w:r>
            <w:r>
              <w:rPr>
                <w:rFonts w:hint="eastAsia" w:ascii="宋体" w:hAnsi="宋体"/>
                <w:kern w:val="0"/>
                <w:sz w:val="20"/>
                <w:szCs w:val="20"/>
              </w:rPr>
              <w:t>。</w:t>
            </w:r>
            <w:r>
              <w:rPr>
                <w:rFonts w:hint="eastAsia" w:ascii="宋体" w:hAnsi="宋体"/>
                <w:kern w:val="0"/>
                <w:sz w:val="20"/>
                <w:szCs w:val="20"/>
              </w:rPr>
              <w:br w:type="textWrapping"/>
            </w:r>
            <w:r>
              <w:rPr>
                <w:rFonts w:hint="eastAsia" w:ascii="宋体" w:hAnsi="宋体"/>
                <w:kern w:val="0"/>
                <w:sz w:val="20"/>
                <w:szCs w:val="20"/>
              </w:rPr>
              <w:t>硬件参数：规格≥</w:t>
            </w:r>
            <w:r>
              <w:rPr>
                <w:rFonts w:eastAsia="等线"/>
                <w:kern w:val="0"/>
                <w:sz w:val="20"/>
                <w:szCs w:val="20"/>
              </w:rPr>
              <w:t>2U</w:t>
            </w:r>
            <w:r>
              <w:rPr>
                <w:rFonts w:hint="eastAsia" w:ascii="宋体" w:hAnsi="宋体"/>
                <w:kern w:val="0"/>
                <w:sz w:val="20"/>
                <w:szCs w:val="20"/>
              </w:rPr>
              <w:t>，内存大小≥</w:t>
            </w:r>
            <w:r>
              <w:rPr>
                <w:rFonts w:eastAsia="等线"/>
                <w:kern w:val="0"/>
                <w:sz w:val="20"/>
                <w:szCs w:val="20"/>
              </w:rPr>
              <w:t>16G</w:t>
            </w:r>
            <w:r>
              <w:rPr>
                <w:rFonts w:hint="eastAsia" w:ascii="宋体" w:hAnsi="宋体"/>
                <w:kern w:val="0"/>
                <w:sz w:val="20"/>
                <w:szCs w:val="20"/>
              </w:rPr>
              <w:t>，接口≥</w:t>
            </w:r>
            <w:r>
              <w:rPr>
                <w:rFonts w:eastAsia="等线"/>
                <w:kern w:val="0"/>
                <w:sz w:val="20"/>
                <w:szCs w:val="20"/>
              </w:rPr>
              <w:t>6</w:t>
            </w:r>
            <w:r>
              <w:rPr>
                <w:rFonts w:hint="eastAsia" w:ascii="宋体" w:hAnsi="宋体"/>
                <w:kern w:val="0"/>
                <w:sz w:val="20"/>
                <w:szCs w:val="20"/>
              </w:rPr>
              <w:t>千兆电口</w:t>
            </w:r>
            <w:r>
              <w:rPr>
                <w:rFonts w:eastAsia="等线"/>
                <w:kern w:val="0"/>
                <w:sz w:val="20"/>
                <w:szCs w:val="20"/>
              </w:rPr>
              <w:t>+2</w:t>
            </w:r>
            <w:r>
              <w:rPr>
                <w:rFonts w:hint="eastAsia" w:ascii="宋体" w:hAnsi="宋体"/>
                <w:kern w:val="0"/>
                <w:sz w:val="20"/>
                <w:szCs w:val="20"/>
              </w:rPr>
              <w:t>万兆光口</w:t>
            </w:r>
            <w:r>
              <w:rPr>
                <w:rFonts w:eastAsia="等线"/>
                <w:kern w:val="0"/>
                <w:sz w:val="20"/>
                <w:szCs w:val="20"/>
              </w:rPr>
              <w:t>SFP+</w:t>
            </w:r>
            <w:r>
              <w:rPr>
                <w:rFonts w:hint="eastAsia" w:ascii="宋体" w:hAnsi="宋体"/>
                <w:kern w:val="0"/>
                <w:sz w:val="20"/>
                <w:szCs w:val="20"/>
              </w:rPr>
              <w:t>。</w:t>
            </w:r>
            <w:r>
              <w:rPr>
                <w:rFonts w:hint="eastAsia" w:ascii="宋体" w:hAnsi="宋体"/>
                <w:kern w:val="0"/>
                <w:sz w:val="20"/>
                <w:szCs w:val="20"/>
              </w:rPr>
              <w:br w:type="textWrapping"/>
            </w:r>
            <w:r>
              <w:rPr>
                <w:rFonts w:hint="eastAsia" w:ascii="宋体" w:hAnsi="宋体"/>
                <w:kern w:val="0"/>
                <w:sz w:val="20"/>
                <w:szCs w:val="20"/>
              </w:rPr>
              <w:t>含：</w:t>
            </w:r>
            <w:r>
              <w:rPr>
                <w:rFonts w:hint="eastAsia" w:ascii="宋体" w:hAnsi="宋体"/>
                <w:kern w:val="0"/>
                <w:sz w:val="20"/>
                <w:szCs w:val="20"/>
              </w:rPr>
              <w:br w:type="textWrapping"/>
            </w:r>
            <w:r>
              <w:rPr>
                <w:rFonts w:hint="eastAsia" w:ascii="宋体" w:hAnsi="宋体"/>
                <w:kern w:val="0"/>
                <w:sz w:val="20"/>
                <w:szCs w:val="20"/>
              </w:rPr>
              <w:t>日志审计分析管理系统软件</w:t>
            </w:r>
            <w:r>
              <w:rPr>
                <w:rFonts w:eastAsia="等线"/>
                <w:kern w:val="0"/>
                <w:sz w:val="20"/>
                <w:szCs w:val="20"/>
              </w:rPr>
              <w:t>(*1</w:t>
            </w:r>
            <w:r>
              <w:rPr>
                <w:rFonts w:hint="eastAsia" w:ascii="宋体" w:hAnsi="宋体"/>
                <w:kern w:val="0"/>
                <w:sz w:val="20"/>
                <w:szCs w:val="20"/>
              </w:rPr>
              <w:t>套</w:t>
            </w:r>
            <w:r>
              <w:rPr>
                <w:rFonts w:eastAsia="等线"/>
                <w:kern w:val="0"/>
                <w:sz w:val="20"/>
                <w:szCs w:val="20"/>
              </w:rPr>
              <w:t>);</w:t>
            </w:r>
            <w:r>
              <w:rPr>
                <w:rFonts w:eastAsia="等线"/>
                <w:kern w:val="0"/>
                <w:sz w:val="20"/>
                <w:szCs w:val="20"/>
              </w:rPr>
              <w:br w:type="textWrapping"/>
            </w:r>
            <w:r>
              <w:rPr>
                <w:rFonts w:hint="eastAsia" w:ascii="宋体" w:hAnsi="宋体"/>
                <w:kern w:val="0"/>
                <w:sz w:val="20"/>
                <w:szCs w:val="20"/>
              </w:rPr>
              <w:t>产品质保</w:t>
            </w:r>
            <w:r>
              <w:rPr>
                <w:rFonts w:eastAsia="等线"/>
                <w:kern w:val="0"/>
                <w:sz w:val="20"/>
                <w:szCs w:val="20"/>
              </w:rPr>
              <w:t>(*3</w:t>
            </w:r>
            <w:r>
              <w:rPr>
                <w:rFonts w:hint="eastAsia" w:ascii="宋体" w:hAnsi="宋体"/>
                <w:kern w:val="0"/>
                <w:sz w:val="20"/>
                <w:szCs w:val="20"/>
              </w:rPr>
              <w:t>年</w:t>
            </w:r>
            <w:r>
              <w:rPr>
                <w:rFonts w:eastAsia="等线"/>
                <w:kern w:val="0"/>
                <w:sz w:val="20"/>
                <w:szCs w:val="20"/>
              </w:rPr>
              <w:t>);</w:t>
            </w:r>
            <w:r>
              <w:rPr>
                <w:rFonts w:eastAsia="等线"/>
                <w:kern w:val="0"/>
                <w:sz w:val="20"/>
                <w:szCs w:val="20"/>
              </w:rPr>
              <w:br w:type="textWrapping"/>
            </w:r>
            <w:r>
              <w:rPr>
                <w:rFonts w:hint="eastAsia" w:ascii="宋体" w:hAnsi="宋体"/>
                <w:kern w:val="0"/>
                <w:sz w:val="20"/>
                <w:szCs w:val="20"/>
              </w:rPr>
              <w:t>软件升级</w:t>
            </w:r>
            <w:r>
              <w:rPr>
                <w:rFonts w:eastAsia="等线"/>
                <w:kern w:val="0"/>
                <w:sz w:val="20"/>
                <w:szCs w:val="20"/>
              </w:rPr>
              <w:t>(*3</w:t>
            </w:r>
            <w:r>
              <w:rPr>
                <w:rFonts w:hint="eastAsia" w:ascii="宋体" w:hAnsi="宋体"/>
                <w:kern w:val="0"/>
                <w:sz w:val="20"/>
                <w:szCs w:val="20"/>
              </w:rPr>
              <w:t>年</w:t>
            </w:r>
            <w:r>
              <w:rPr>
                <w:rFonts w:eastAsia="等线"/>
                <w:kern w:val="0"/>
                <w:sz w:val="20"/>
                <w:szCs w:val="20"/>
              </w:rPr>
              <w:t>);</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hint="eastAsia" w:ascii="宋体" w:hAnsi="宋体"/>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eastAsia="等线"/>
                <w:kern w:val="0"/>
                <w:sz w:val="20"/>
                <w:szCs w:val="20"/>
              </w:rPr>
              <w:t>1</w:t>
            </w:r>
          </w:p>
        </w:tc>
      </w:tr>
      <w:tr>
        <w:tblPrEx>
          <w:tblCellMar>
            <w:top w:w="0" w:type="dxa"/>
            <w:left w:w="108" w:type="dxa"/>
            <w:bottom w:w="0" w:type="dxa"/>
            <w:right w:w="108" w:type="dxa"/>
          </w:tblCellMar>
        </w:tblPrEx>
        <w:trPr>
          <w:trHeight w:val="2088" w:hRule="atLeast"/>
        </w:trPr>
        <w:tc>
          <w:tcPr>
            <w:tcW w:w="604"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eastAsia="等线"/>
                <w:kern w:val="0"/>
                <w:sz w:val="20"/>
                <w:szCs w:val="20"/>
              </w:rPr>
              <w:t>16</w:t>
            </w: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hint="eastAsia" w:ascii="宋体" w:hAnsi="宋体"/>
                <w:kern w:val="0"/>
                <w:sz w:val="20"/>
                <w:szCs w:val="20"/>
              </w:rPr>
              <w:t>数据库审计（社会资源接入网区）</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kern w:val="0"/>
                <w:sz w:val="20"/>
                <w:szCs w:val="20"/>
              </w:rPr>
            </w:pPr>
            <w:r>
              <w:rPr>
                <w:rFonts w:hint="eastAsia" w:ascii="宋体" w:hAnsi="宋体"/>
                <w:kern w:val="0"/>
                <w:sz w:val="20"/>
                <w:szCs w:val="20"/>
              </w:rPr>
              <w:t>性能参数：硬件吞吐量≥</w:t>
            </w:r>
            <w:r>
              <w:rPr>
                <w:rFonts w:eastAsia="等线"/>
                <w:kern w:val="0"/>
                <w:sz w:val="20"/>
                <w:szCs w:val="20"/>
              </w:rPr>
              <w:t>2Gbps</w:t>
            </w:r>
            <w:r>
              <w:rPr>
                <w:rFonts w:hint="eastAsia" w:ascii="宋体" w:hAnsi="宋体"/>
                <w:kern w:val="0"/>
                <w:sz w:val="20"/>
                <w:szCs w:val="20"/>
              </w:rPr>
              <w:t>，纯数据库流量≥</w:t>
            </w:r>
            <w:r>
              <w:rPr>
                <w:rFonts w:eastAsia="等线"/>
                <w:kern w:val="0"/>
                <w:sz w:val="20"/>
                <w:szCs w:val="20"/>
              </w:rPr>
              <w:t>400Mb/s</w:t>
            </w:r>
            <w:r>
              <w:rPr>
                <w:rFonts w:hint="eastAsia" w:ascii="宋体" w:hAnsi="宋体"/>
                <w:kern w:val="0"/>
                <w:sz w:val="20"/>
                <w:szCs w:val="20"/>
              </w:rPr>
              <w:t>，数据库实例个数≥</w:t>
            </w:r>
            <w:r>
              <w:rPr>
                <w:rFonts w:eastAsia="等线"/>
                <w:kern w:val="0"/>
                <w:sz w:val="20"/>
                <w:szCs w:val="20"/>
              </w:rPr>
              <w:t>30</w:t>
            </w:r>
            <w:r>
              <w:rPr>
                <w:rFonts w:hint="eastAsia" w:ascii="宋体" w:hAnsi="宋体"/>
                <w:kern w:val="0"/>
                <w:sz w:val="20"/>
                <w:szCs w:val="20"/>
              </w:rPr>
              <w:t>个，</w:t>
            </w:r>
            <w:r>
              <w:rPr>
                <w:rFonts w:eastAsia="等线"/>
                <w:kern w:val="0"/>
                <w:sz w:val="20"/>
                <w:szCs w:val="20"/>
              </w:rPr>
              <w:t>SQL</w:t>
            </w:r>
            <w:r>
              <w:rPr>
                <w:rFonts w:hint="eastAsia" w:ascii="宋体" w:hAnsi="宋体"/>
                <w:kern w:val="0"/>
                <w:sz w:val="20"/>
                <w:szCs w:val="20"/>
              </w:rPr>
              <w:t>处理性能≥</w:t>
            </w:r>
            <w:r>
              <w:rPr>
                <w:rFonts w:eastAsia="等线"/>
                <w:kern w:val="0"/>
                <w:sz w:val="20"/>
                <w:szCs w:val="20"/>
              </w:rPr>
              <w:t>30000</w:t>
            </w:r>
            <w:r>
              <w:rPr>
                <w:rFonts w:hint="eastAsia" w:ascii="宋体" w:hAnsi="宋体"/>
                <w:kern w:val="0"/>
                <w:sz w:val="20"/>
                <w:szCs w:val="20"/>
              </w:rPr>
              <w:t>条</w:t>
            </w:r>
            <w:r>
              <w:rPr>
                <w:rFonts w:eastAsia="等线"/>
                <w:kern w:val="0"/>
                <w:sz w:val="20"/>
                <w:szCs w:val="20"/>
              </w:rPr>
              <w:t>SQL/s</w:t>
            </w:r>
            <w:r>
              <w:rPr>
                <w:rFonts w:hint="eastAsia" w:ascii="宋体" w:hAnsi="宋体"/>
                <w:kern w:val="0"/>
                <w:sz w:val="20"/>
                <w:szCs w:val="20"/>
              </w:rPr>
              <w:t>，日志检索性能≥</w:t>
            </w:r>
            <w:r>
              <w:rPr>
                <w:rFonts w:eastAsia="等线"/>
                <w:kern w:val="0"/>
                <w:sz w:val="20"/>
                <w:szCs w:val="20"/>
              </w:rPr>
              <w:t>500000</w:t>
            </w:r>
            <w:r>
              <w:rPr>
                <w:rFonts w:hint="eastAsia" w:ascii="宋体" w:hAnsi="宋体"/>
                <w:kern w:val="0"/>
                <w:sz w:val="20"/>
                <w:szCs w:val="20"/>
              </w:rPr>
              <w:t>条</w:t>
            </w:r>
            <w:r>
              <w:rPr>
                <w:rFonts w:eastAsia="等线"/>
                <w:kern w:val="0"/>
                <w:sz w:val="20"/>
                <w:szCs w:val="20"/>
              </w:rPr>
              <w:t>/</w:t>
            </w:r>
            <w:r>
              <w:rPr>
                <w:rFonts w:hint="eastAsia" w:ascii="宋体" w:hAnsi="宋体"/>
                <w:kern w:val="0"/>
                <w:sz w:val="20"/>
                <w:szCs w:val="20"/>
              </w:rPr>
              <w:t>秒。</w:t>
            </w:r>
            <w:r>
              <w:rPr>
                <w:rFonts w:hint="eastAsia" w:ascii="宋体" w:hAnsi="宋体"/>
                <w:kern w:val="0"/>
                <w:sz w:val="20"/>
                <w:szCs w:val="20"/>
              </w:rPr>
              <w:br w:type="textWrapping"/>
            </w:r>
            <w:r>
              <w:rPr>
                <w:rFonts w:hint="eastAsia" w:ascii="宋体" w:hAnsi="宋体"/>
                <w:kern w:val="0"/>
                <w:sz w:val="20"/>
                <w:szCs w:val="20"/>
              </w:rPr>
              <w:t>硬件参数：规格≥</w:t>
            </w:r>
            <w:r>
              <w:rPr>
                <w:rFonts w:eastAsia="等线"/>
                <w:kern w:val="0"/>
                <w:sz w:val="20"/>
                <w:szCs w:val="20"/>
              </w:rPr>
              <w:t>1U</w:t>
            </w:r>
            <w:r>
              <w:rPr>
                <w:rFonts w:hint="eastAsia" w:ascii="宋体" w:hAnsi="宋体"/>
                <w:kern w:val="0"/>
                <w:sz w:val="20"/>
                <w:szCs w:val="20"/>
              </w:rPr>
              <w:t>，内存大小≥</w:t>
            </w:r>
            <w:r>
              <w:rPr>
                <w:rFonts w:eastAsia="等线"/>
                <w:kern w:val="0"/>
                <w:sz w:val="20"/>
                <w:szCs w:val="20"/>
              </w:rPr>
              <w:t>8G</w:t>
            </w:r>
            <w:r>
              <w:rPr>
                <w:rFonts w:hint="eastAsia" w:ascii="宋体" w:hAnsi="宋体"/>
                <w:kern w:val="0"/>
                <w:sz w:val="20"/>
                <w:szCs w:val="20"/>
              </w:rPr>
              <w:t>，硬盘容量≥</w:t>
            </w:r>
            <w:r>
              <w:rPr>
                <w:rFonts w:eastAsia="等线"/>
                <w:kern w:val="0"/>
                <w:sz w:val="20"/>
                <w:szCs w:val="20"/>
              </w:rPr>
              <w:t>2T SATA</w:t>
            </w:r>
            <w:r>
              <w:rPr>
                <w:rFonts w:hint="eastAsia" w:ascii="宋体" w:hAnsi="宋体"/>
                <w:kern w:val="0"/>
                <w:sz w:val="20"/>
                <w:szCs w:val="20"/>
              </w:rPr>
              <w:t>，接口≥</w:t>
            </w:r>
            <w:r>
              <w:rPr>
                <w:rFonts w:eastAsia="等线"/>
                <w:kern w:val="0"/>
                <w:sz w:val="20"/>
                <w:szCs w:val="20"/>
              </w:rPr>
              <w:t>6</w:t>
            </w:r>
            <w:r>
              <w:rPr>
                <w:rFonts w:hint="eastAsia" w:ascii="宋体" w:hAnsi="宋体"/>
                <w:kern w:val="0"/>
                <w:sz w:val="20"/>
                <w:szCs w:val="20"/>
              </w:rPr>
              <w:t>千兆电口</w:t>
            </w:r>
            <w:r>
              <w:rPr>
                <w:rFonts w:eastAsia="等线"/>
                <w:kern w:val="0"/>
                <w:sz w:val="20"/>
                <w:szCs w:val="20"/>
              </w:rPr>
              <w:t>+2</w:t>
            </w:r>
            <w:r>
              <w:rPr>
                <w:rFonts w:hint="eastAsia" w:ascii="宋体" w:hAnsi="宋体"/>
                <w:kern w:val="0"/>
                <w:sz w:val="20"/>
                <w:szCs w:val="20"/>
              </w:rPr>
              <w:t>万兆光口</w:t>
            </w:r>
            <w:r>
              <w:rPr>
                <w:rFonts w:eastAsia="等线"/>
                <w:kern w:val="0"/>
                <w:sz w:val="20"/>
                <w:szCs w:val="20"/>
              </w:rPr>
              <w:t>SFP+</w:t>
            </w:r>
            <w:r>
              <w:rPr>
                <w:rFonts w:hint="eastAsia" w:ascii="宋体" w:hAnsi="宋体"/>
                <w:kern w:val="0"/>
                <w:sz w:val="20"/>
                <w:szCs w:val="20"/>
              </w:rPr>
              <w:t>。</w:t>
            </w:r>
            <w:r>
              <w:rPr>
                <w:rFonts w:hint="eastAsia" w:ascii="宋体" w:hAnsi="宋体"/>
                <w:kern w:val="0"/>
                <w:sz w:val="20"/>
                <w:szCs w:val="20"/>
              </w:rPr>
              <w:br w:type="textWrapping"/>
            </w:r>
            <w:r>
              <w:rPr>
                <w:rFonts w:hint="eastAsia" w:ascii="宋体" w:hAnsi="宋体"/>
                <w:kern w:val="0"/>
                <w:sz w:val="20"/>
                <w:szCs w:val="20"/>
              </w:rPr>
              <w:t>含：</w:t>
            </w:r>
            <w:r>
              <w:rPr>
                <w:rFonts w:hint="eastAsia" w:ascii="宋体" w:hAnsi="宋体"/>
                <w:kern w:val="0"/>
                <w:sz w:val="20"/>
                <w:szCs w:val="20"/>
              </w:rPr>
              <w:br w:type="textWrapping"/>
            </w:r>
            <w:r>
              <w:rPr>
                <w:rFonts w:hint="eastAsia" w:ascii="宋体" w:hAnsi="宋体"/>
                <w:kern w:val="0"/>
                <w:sz w:val="20"/>
                <w:szCs w:val="20"/>
              </w:rPr>
              <w:t>数据库安全审计系统软件</w:t>
            </w:r>
            <w:r>
              <w:rPr>
                <w:rFonts w:eastAsia="等线"/>
                <w:kern w:val="0"/>
                <w:sz w:val="20"/>
                <w:szCs w:val="20"/>
              </w:rPr>
              <w:t>(*1</w:t>
            </w:r>
            <w:r>
              <w:rPr>
                <w:rFonts w:hint="eastAsia" w:ascii="宋体" w:hAnsi="宋体"/>
                <w:kern w:val="0"/>
                <w:sz w:val="20"/>
                <w:szCs w:val="20"/>
              </w:rPr>
              <w:t>套</w:t>
            </w:r>
            <w:r>
              <w:rPr>
                <w:rFonts w:eastAsia="等线"/>
                <w:kern w:val="0"/>
                <w:sz w:val="20"/>
                <w:szCs w:val="20"/>
              </w:rPr>
              <w:t>);</w:t>
            </w:r>
            <w:r>
              <w:rPr>
                <w:rFonts w:eastAsia="等线"/>
                <w:kern w:val="0"/>
                <w:sz w:val="20"/>
                <w:szCs w:val="20"/>
              </w:rPr>
              <w:br w:type="textWrapping"/>
            </w:r>
            <w:r>
              <w:rPr>
                <w:rFonts w:hint="eastAsia" w:ascii="宋体" w:hAnsi="宋体"/>
                <w:kern w:val="0"/>
                <w:sz w:val="20"/>
                <w:szCs w:val="20"/>
              </w:rPr>
              <w:t>产品质保</w:t>
            </w:r>
            <w:r>
              <w:rPr>
                <w:rFonts w:eastAsia="等线"/>
                <w:kern w:val="0"/>
                <w:sz w:val="20"/>
                <w:szCs w:val="20"/>
              </w:rPr>
              <w:t>(*3</w:t>
            </w:r>
            <w:r>
              <w:rPr>
                <w:rFonts w:hint="eastAsia" w:ascii="宋体" w:hAnsi="宋体"/>
                <w:kern w:val="0"/>
                <w:sz w:val="20"/>
                <w:szCs w:val="20"/>
              </w:rPr>
              <w:t>年</w:t>
            </w:r>
            <w:r>
              <w:rPr>
                <w:rFonts w:eastAsia="等线"/>
                <w:kern w:val="0"/>
                <w:sz w:val="20"/>
                <w:szCs w:val="20"/>
              </w:rPr>
              <w:t>);</w:t>
            </w:r>
            <w:r>
              <w:rPr>
                <w:rFonts w:eastAsia="等线"/>
                <w:kern w:val="0"/>
                <w:sz w:val="20"/>
                <w:szCs w:val="20"/>
              </w:rPr>
              <w:br w:type="textWrapping"/>
            </w:r>
            <w:r>
              <w:rPr>
                <w:rFonts w:hint="eastAsia" w:ascii="宋体" w:hAnsi="宋体"/>
                <w:kern w:val="0"/>
                <w:sz w:val="20"/>
                <w:szCs w:val="20"/>
              </w:rPr>
              <w:t>软件升级</w:t>
            </w:r>
            <w:r>
              <w:rPr>
                <w:rFonts w:eastAsia="等线"/>
                <w:kern w:val="0"/>
                <w:sz w:val="20"/>
                <w:szCs w:val="20"/>
              </w:rPr>
              <w:t>(*3</w:t>
            </w:r>
            <w:r>
              <w:rPr>
                <w:rFonts w:hint="eastAsia" w:ascii="宋体" w:hAnsi="宋体"/>
                <w:kern w:val="0"/>
                <w:sz w:val="20"/>
                <w:szCs w:val="20"/>
              </w:rPr>
              <w:t>年</w:t>
            </w:r>
            <w:r>
              <w:rPr>
                <w:rFonts w:eastAsia="等线"/>
                <w:kern w:val="0"/>
                <w:sz w:val="20"/>
                <w:szCs w:val="20"/>
              </w:rPr>
              <w:t>);</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hint="eastAsia" w:ascii="宋体" w:hAnsi="宋体"/>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eastAsia="等线"/>
                <w:kern w:val="0"/>
                <w:sz w:val="20"/>
                <w:szCs w:val="20"/>
              </w:rPr>
              <w:t>1</w:t>
            </w:r>
          </w:p>
        </w:tc>
      </w:tr>
      <w:tr>
        <w:tblPrEx>
          <w:tblCellMar>
            <w:top w:w="0" w:type="dxa"/>
            <w:left w:w="108" w:type="dxa"/>
            <w:bottom w:w="0" w:type="dxa"/>
            <w:right w:w="108" w:type="dxa"/>
          </w:tblCellMar>
        </w:tblPrEx>
        <w:trPr>
          <w:trHeight w:val="1584" w:hRule="atLeast"/>
        </w:trPr>
        <w:tc>
          <w:tcPr>
            <w:tcW w:w="604"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eastAsia="等线"/>
                <w:kern w:val="0"/>
                <w:sz w:val="20"/>
                <w:szCs w:val="20"/>
              </w:rPr>
              <w:t>17</w:t>
            </w: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hint="eastAsia" w:ascii="宋体" w:hAnsi="宋体"/>
                <w:kern w:val="0"/>
                <w:sz w:val="20"/>
                <w:szCs w:val="20"/>
              </w:rPr>
              <w:t>漏洞扫描（社会资源接入网区）</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kern w:val="0"/>
                <w:sz w:val="20"/>
                <w:szCs w:val="20"/>
              </w:rPr>
            </w:pPr>
            <w:r>
              <w:rPr>
                <w:rFonts w:hint="eastAsia" w:ascii="宋体" w:hAnsi="宋体"/>
                <w:kern w:val="0"/>
                <w:sz w:val="20"/>
                <w:szCs w:val="20"/>
              </w:rPr>
              <w:t>系统漏扫授权</w:t>
            </w:r>
            <w:r>
              <w:rPr>
                <w:rFonts w:eastAsia="等线"/>
                <w:kern w:val="0"/>
                <w:sz w:val="20"/>
                <w:szCs w:val="20"/>
              </w:rPr>
              <w:t>IP</w:t>
            </w:r>
            <w:r>
              <w:rPr>
                <w:rFonts w:hint="eastAsia" w:ascii="宋体" w:hAnsi="宋体"/>
                <w:kern w:val="0"/>
                <w:sz w:val="20"/>
                <w:szCs w:val="20"/>
              </w:rPr>
              <w:t>数≥</w:t>
            </w:r>
            <w:r>
              <w:rPr>
                <w:rFonts w:eastAsia="等线"/>
                <w:kern w:val="0"/>
                <w:sz w:val="20"/>
                <w:szCs w:val="20"/>
              </w:rPr>
              <w:t>100</w:t>
            </w:r>
            <w:r>
              <w:rPr>
                <w:rFonts w:hint="eastAsia" w:ascii="宋体" w:hAnsi="宋体"/>
                <w:kern w:val="0"/>
                <w:sz w:val="20"/>
                <w:szCs w:val="20"/>
              </w:rPr>
              <w:t>，</w:t>
            </w:r>
            <w:r>
              <w:rPr>
                <w:rFonts w:eastAsia="等线"/>
                <w:kern w:val="0"/>
                <w:sz w:val="20"/>
                <w:szCs w:val="20"/>
              </w:rPr>
              <w:t>WEB</w:t>
            </w:r>
            <w:r>
              <w:rPr>
                <w:rFonts w:hint="eastAsia" w:ascii="宋体" w:hAnsi="宋体"/>
                <w:kern w:val="0"/>
                <w:sz w:val="20"/>
                <w:szCs w:val="20"/>
              </w:rPr>
              <w:t>漏扫授权</w:t>
            </w:r>
            <w:r>
              <w:rPr>
                <w:rFonts w:eastAsia="等线"/>
                <w:kern w:val="0"/>
                <w:sz w:val="20"/>
                <w:szCs w:val="20"/>
              </w:rPr>
              <w:t>URL</w:t>
            </w:r>
            <w:r>
              <w:rPr>
                <w:rFonts w:hint="eastAsia" w:ascii="宋体" w:hAnsi="宋体"/>
                <w:kern w:val="0"/>
                <w:sz w:val="20"/>
                <w:szCs w:val="20"/>
              </w:rPr>
              <w:t>数≥</w:t>
            </w:r>
            <w:r>
              <w:rPr>
                <w:rFonts w:eastAsia="等线"/>
                <w:kern w:val="0"/>
                <w:sz w:val="20"/>
                <w:szCs w:val="20"/>
              </w:rPr>
              <w:t>20</w:t>
            </w:r>
            <w:r>
              <w:rPr>
                <w:rFonts w:hint="eastAsia" w:ascii="宋体" w:hAnsi="宋体"/>
                <w:kern w:val="0"/>
                <w:sz w:val="20"/>
                <w:szCs w:val="20"/>
              </w:rPr>
              <w:t>；性能指标：主机漏扫最大并发</w:t>
            </w:r>
            <w:r>
              <w:rPr>
                <w:rFonts w:eastAsia="等线"/>
                <w:kern w:val="0"/>
                <w:sz w:val="20"/>
                <w:szCs w:val="20"/>
              </w:rPr>
              <w:t>IP</w:t>
            </w:r>
            <w:r>
              <w:rPr>
                <w:rFonts w:hint="eastAsia" w:ascii="宋体" w:hAnsi="宋体"/>
                <w:kern w:val="0"/>
                <w:sz w:val="20"/>
                <w:szCs w:val="20"/>
              </w:rPr>
              <w:t>数≥</w:t>
            </w:r>
            <w:r>
              <w:rPr>
                <w:rFonts w:eastAsia="等线"/>
                <w:kern w:val="0"/>
                <w:sz w:val="20"/>
                <w:szCs w:val="20"/>
              </w:rPr>
              <w:t>150</w:t>
            </w:r>
            <w:r>
              <w:rPr>
                <w:rFonts w:hint="eastAsia" w:ascii="宋体" w:hAnsi="宋体"/>
                <w:kern w:val="0"/>
                <w:sz w:val="20"/>
                <w:szCs w:val="20"/>
              </w:rPr>
              <w:t>，</w:t>
            </w:r>
            <w:r>
              <w:rPr>
                <w:rFonts w:eastAsia="等线"/>
                <w:kern w:val="0"/>
                <w:sz w:val="20"/>
                <w:szCs w:val="20"/>
              </w:rPr>
              <w:t>WEB</w:t>
            </w:r>
            <w:r>
              <w:rPr>
                <w:rFonts w:hint="eastAsia" w:ascii="宋体" w:hAnsi="宋体"/>
                <w:kern w:val="0"/>
                <w:sz w:val="20"/>
                <w:szCs w:val="20"/>
              </w:rPr>
              <w:t>漏扫最大并发</w:t>
            </w:r>
            <w:r>
              <w:rPr>
                <w:rFonts w:eastAsia="等线"/>
                <w:kern w:val="0"/>
                <w:sz w:val="20"/>
                <w:szCs w:val="20"/>
              </w:rPr>
              <w:t>URL</w:t>
            </w:r>
            <w:r>
              <w:rPr>
                <w:rFonts w:hint="eastAsia" w:ascii="宋体" w:hAnsi="宋体"/>
                <w:kern w:val="0"/>
                <w:sz w:val="20"/>
                <w:szCs w:val="20"/>
              </w:rPr>
              <w:t>数≥</w:t>
            </w:r>
            <w:r>
              <w:rPr>
                <w:rFonts w:eastAsia="等线"/>
                <w:kern w:val="0"/>
                <w:sz w:val="20"/>
                <w:szCs w:val="20"/>
              </w:rPr>
              <w:t>5</w:t>
            </w:r>
            <w:r>
              <w:rPr>
                <w:rFonts w:hint="eastAsia" w:ascii="宋体" w:hAnsi="宋体"/>
                <w:kern w:val="0"/>
                <w:sz w:val="20"/>
                <w:szCs w:val="20"/>
              </w:rPr>
              <w:t>。</w:t>
            </w:r>
            <w:r>
              <w:rPr>
                <w:rFonts w:hint="eastAsia" w:ascii="宋体" w:hAnsi="宋体"/>
                <w:kern w:val="0"/>
                <w:sz w:val="20"/>
                <w:szCs w:val="20"/>
              </w:rPr>
              <w:br w:type="textWrapping"/>
            </w:r>
            <w:r>
              <w:rPr>
                <w:rFonts w:hint="eastAsia" w:ascii="宋体" w:hAnsi="宋体"/>
                <w:kern w:val="0"/>
                <w:sz w:val="20"/>
                <w:szCs w:val="20"/>
              </w:rPr>
              <w:t>硬件参数：规格≥</w:t>
            </w:r>
            <w:r>
              <w:rPr>
                <w:rFonts w:eastAsia="等线"/>
                <w:kern w:val="0"/>
                <w:sz w:val="20"/>
                <w:szCs w:val="20"/>
              </w:rPr>
              <w:t>1U</w:t>
            </w:r>
            <w:r>
              <w:rPr>
                <w:rFonts w:hint="eastAsia" w:ascii="宋体" w:hAnsi="宋体"/>
                <w:kern w:val="0"/>
                <w:sz w:val="20"/>
                <w:szCs w:val="20"/>
              </w:rPr>
              <w:t>，内存大小≥</w:t>
            </w:r>
            <w:r>
              <w:rPr>
                <w:rFonts w:eastAsia="等线"/>
                <w:kern w:val="0"/>
                <w:sz w:val="20"/>
                <w:szCs w:val="20"/>
              </w:rPr>
              <w:t>8G</w:t>
            </w:r>
            <w:r>
              <w:rPr>
                <w:rFonts w:hint="eastAsia" w:ascii="宋体" w:hAnsi="宋体"/>
                <w:kern w:val="0"/>
                <w:sz w:val="20"/>
                <w:szCs w:val="20"/>
              </w:rPr>
              <w:t>，接口≥</w:t>
            </w:r>
            <w:r>
              <w:rPr>
                <w:rFonts w:eastAsia="等线"/>
                <w:kern w:val="0"/>
                <w:sz w:val="20"/>
                <w:szCs w:val="20"/>
              </w:rPr>
              <w:t>6</w:t>
            </w:r>
            <w:r>
              <w:rPr>
                <w:rFonts w:hint="eastAsia" w:ascii="宋体" w:hAnsi="宋体"/>
                <w:kern w:val="0"/>
                <w:sz w:val="20"/>
                <w:szCs w:val="20"/>
              </w:rPr>
              <w:t>千兆电口</w:t>
            </w:r>
            <w:r>
              <w:rPr>
                <w:rFonts w:eastAsia="等线"/>
                <w:kern w:val="0"/>
                <w:sz w:val="20"/>
                <w:szCs w:val="20"/>
              </w:rPr>
              <w:t>+2</w:t>
            </w:r>
            <w:r>
              <w:rPr>
                <w:rFonts w:hint="eastAsia" w:ascii="宋体" w:hAnsi="宋体"/>
                <w:kern w:val="0"/>
                <w:sz w:val="20"/>
                <w:szCs w:val="20"/>
              </w:rPr>
              <w:t>千兆光口</w:t>
            </w:r>
            <w:r>
              <w:rPr>
                <w:rFonts w:eastAsia="等线"/>
                <w:kern w:val="0"/>
                <w:sz w:val="20"/>
                <w:szCs w:val="20"/>
              </w:rPr>
              <w:t>SFP</w:t>
            </w:r>
            <w:r>
              <w:rPr>
                <w:rFonts w:hint="eastAsia" w:ascii="宋体" w:hAnsi="宋体"/>
                <w:kern w:val="0"/>
                <w:sz w:val="20"/>
                <w:szCs w:val="20"/>
              </w:rPr>
              <w:t>。</w:t>
            </w:r>
            <w:r>
              <w:rPr>
                <w:rFonts w:hint="eastAsia" w:ascii="宋体" w:hAnsi="宋体"/>
                <w:kern w:val="0"/>
                <w:sz w:val="20"/>
                <w:szCs w:val="20"/>
              </w:rPr>
              <w:br w:type="textWrapping"/>
            </w:r>
            <w:r>
              <w:rPr>
                <w:rFonts w:hint="eastAsia" w:ascii="宋体" w:hAnsi="宋体"/>
                <w:kern w:val="0"/>
                <w:sz w:val="20"/>
                <w:szCs w:val="20"/>
              </w:rPr>
              <w:t>含：网络资产脆弱性扫描系统软件</w:t>
            </w:r>
            <w:r>
              <w:rPr>
                <w:rFonts w:eastAsia="等线"/>
                <w:kern w:val="0"/>
                <w:sz w:val="20"/>
                <w:szCs w:val="20"/>
              </w:rPr>
              <w:t>(*1</w:t>
            </w:r>
            <w:r>
              <w:rPr>
                <w:rFonts w:hint="eastAsia" w:ascii="宋体" w:hAnsi="宋体"/>
                <w:kern w:val="0"/>
                <w:sz w:val="20"/>
                <w:szCs w:val="20"/>
              </w:rPr>
              <w:t>套</w:t>
            </w:r>
            <w:r>
              <w:rPr>
                <w:rFonts w:eastAsia="等线"/>
                <w:kern w:val="0"/>
                <w:sz w:val="20"/>
                <w:szCs w:val="20"/>
              </w:rPr>
              <w:t>);</w:t>
            </w:r>
            <w:r>
              <w:rPr>
                <w:rFonts w:eastAsia="等线"/>
                <w:kern w:val="0"/>
                <w:sz w:val="20"/>
                <w:szCs w:val="20"/>
              </w:rPr>
              <w:br w:type="textWrapping"/>
            </w:r>
            <w:r>
              <w:rPr>
                <w:rFonts w:hint="eastAsia" w:ascii="宋体" w:hAnsi="宋体"/>
                <w:kern w:val="0"/>
                <w:sz w:val="20"/>
                <w:szCs w:val="20"/>
              </w:rPr>
              <w:t>产品质保</w:t>
            </w:r>
            <w:r>
              <w:rPr>
                <w:rFonts w:eastAsia="等线"/>
                <w:kern w:val="0"/>
                <w:sz w:val="20"/>
                <w:szCs w:val="20"/>
              </w:rPr>
              <w:t>(*3</w:t>
            </w:r>
            <w:r>
              <w:rPr>
                <w:rFonts w:hint="eastAsia" w:ascii="宋体" w:hAnsi="宋体"/>
                <w:kern w:val="0"/>
                <w:sz w:val="20"/>
                <w:szCs w:val="20"/>
              </w:rPr>
              <w:t>年</w:t>
            </w:r>
            <w:r>
              <w:rPr>
                <w:rFonts w:eastAsia="等线"/>
                <w:kern w:val="0"/>
                <w:sz w:val="20"/>
                <w:szCs w:val="20"/>
              </w:rPr>
              <w:t>);</w:t>
            </w:r>
            <w:r>
              <w:rPr>
                <w:rFonts w:eastAsia="等线"/>
                <w:kern w:val="0"/>
                <w:sz w:val="20"/>
                <w:szCs w:val="20"/>
              </w:rPr>
              <w:br w:type="textWrapping"/>
            </w:r>
            <w:r>
              <w:rPr>
                <w:rFonts w:hint="eastAsia" w:ascii="宋体" w:hAnsi="宋体"/>
                <w:kern w:val="0"/>
                <w:sz w:val="20"/>
                <w:szCs w:val="20"/>
              </w:rPr>
              <w:t>软件升级</w:t>
            </w:r>
            <w:r>
              <w:rPr>
                <w:rFonts w:eastAsia="等线"/>
                <w:kern w:val="0"/>
                <w:sz w:val="20"/>
                <w:szCs w:val="20"/>
              </w:rPr>
              <w:t>(*3</w:t>
            </w:r>
            <w:r>
              <w:rPr>
                <w:rFonts w:hint="eastAsia" w:ascii="宋体" w:hAnsi="宋体"/>
                <w:kern w:val="0"/>
                <w:sz w:val="20"/>
                <w:szCs w:val="20"/>
              </w:rPr>
              <w:t>年</w:t>
            </w:r>
            <w:r>
              <w:rPr>
                <w:rFonts w:eastAsia="等线"/>
                <w:kern w:val="0"/>
                <w:sz w:val="20"/>
                <w:szCs w:val="20"/>
              </w:rPr>
              <w:t>);</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hint="eastAsia" w:ascii="宋体" w:hAnsi="宋体"/>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eastAsia="等线"/>
                <w:kern w:val="0"/>
                <w:sz w:val="20"/>
                <w:szCs w:val="20"/>
              </w:rPr>
              <w:t>1</w:t>
            </w:r>
          </w:p>
        </w:tc>
      </w:tr>
      <w:tr>
        <w:tblPrEx>
          <w:tblCellMar>
            <w:top w:w="0" w:type="dxa"/>
            <w:left w:w="108" w:type="dxa"/>
            <w:bottom w:w="0" w:type="dxa"/>
            <w:right w:w="108" w:type="dxa"/>
          </w:tblCellMar>
        </w:tblPrEx>
        <w:trPr>
          <w:trHeight w:val="2088" w:hRule="atLeast"/>
        </w:trPr>
        <w:tc>
          <w:tcPr>
            <w:tcW w:w="604"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eastAsia="等线"/>
                <w:kern w:val="0"/>
                <w:sz w:val="20"/>
                <w:szCs w:val="20"/>
              </w:rPr>
              <w:t>18</w:t>
            </w: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hint="eastAsia" w:ascii="宋体" w:hAnsi="宋体"/>
                <w:kern w:val="0"/>
                <w:sz w:val="20"/>
                <w:szCs w:val="20"/>
              </w:rPr>
              <w:t>终端安全管理系统</w:t>
            </w:r>
            <w:r>
              <w:rPr>
                <w:rFonts w:eastAsia="等线"/>
                <w:kern w:val="0"/>
                <w:sz w:val="20"/>
                <w:szCs w:val="20"/>
              </w:rPr>
              <w:t>(EDR</w:t>
            </w:r>
            <w:r>
              <w:rPr>
                <w:rFonts w:hint="eastAsia" w:ascii="宋体" w:hAnsi="宋体"/>
                <w:kern w:val="0"/>
                <w:sz w:val="20"/>
                <w:szCs w:val="20"/>
              </w:rPr>
              <w:t>社会资源接入网区</w:t>
            </w:r>
            <w:r>
              <w:rPr>
                <w:rFonts w:eastAsia="等线"/>
                <w:kern w:val="0"/>
                <w:sz w:val="20"/>
                <w:szCs w:val="20"/>
              </w:rPr>
              <w:t>)</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kern w:val="0"/>
                <w:sz w:val="20"/>
                <w:szCs w:val="20"/>
              </w:rPr>
            </w:pPr>
            <w:r>
              <w:rPr>
                <w:rFonts w:hint="eastAsia" w:ascii="宋体" w:hAnsi="宋体"/>
                <w:kern w:val="0"/>
                <w:sz w:val="20"/>
                <w:szCs w:val="20"/>
              </w:rPr>
              <w:t>性能参数：最大支持管控</w:t>
            </w:r>
            <w:r>
              <w:rPr>
                <w:rFonts w:eastAsia="等线"/>
                <w:kern w:val="0"/>
                <w:sz w:val="20"/>
                <w:szCs w:val="20"/>
              </w:rPr>
              <w:t>EDR</w:t>
            </w:r>
            <w:r>
              <w:rPr>
                <w:rFonts w:hint="eastAsia" w:ascii="宋体" w:hAnsi="宋体"/>
                <w:kern w:val="0"/>
                <w:sz w:val="20"/>
                <w:szCs w:val="20"/>
              </w:rPr>
              <w:t>客户端数量≥</w:t>
            </w:r>
            <w:r>
              <w:rPr>
                <w:rFonts w:eastAsia="等线"/>
                <w:kern w:val="0"/>
                <w:sz w:val="20"/>
                <w:szCs w:val="20"/>
              </w:rPr>
              <w:t>2000</w:t>
            </w:r>
            <w:r>
              <w:rPr>
                <w:rFonts w:hint="eastAsia" w:ascii="宋体" w:hAnsi="宋体"/>
                <w:kern w:val="0"/>
                <w:sz w:val="20"/>
                <w:szCs w:val="20"/>
              </w:rPr>
              <w:t>点；</w:t>
            </w:r>
            <w:r>
              <w:rPr>
                <w:rFonts w:hint="eastAsia" w:ascii="宋体" w:hAnsi="宋体"/>
                <w:kern w:val="0"/>
                <w:sz w:val="20"/>
                <w:szCs w:val="20"/>
              </w:rPr>
              <w:br w:type="textWrapping"/>
            </w:r>
            <w:r>
              <w:rPr>
                <w:rFonts w:hint="eastAsia" w:ascii="宋体" w:hAnsi="宋体"/>
                <w:kern w:val="0"/>
                <w:sz w:val="20"/>
                <w:szCs w:val="20"/>
              </w:rPr>
              <w:t>硬件参数：规格≥</w:t>
            </w:r>
            <w:r>
              <w:rPr>
                <w:rFonts w:eastAsia="等线"/>
                <w:kern w:val="0"/>
                <w:sz w:val="20"/>
                <w:szCs w:val="20"/>
              </w:rPr>
              <w:t>1U</w:t>
            </w:r>
            <w:r>
              <w:rPr>
                <w:rFonts w:hint="eastAsia" w:ascii="宋体" w:hAnsi="宋体"/>
                <w:kern w:val="0"/>
                <w:sz w:val="20"/>
                <w:szCs w:val="20"/>
              </w:rPr>
              <w:t>，内存大小≥</w:t>
            </w:r>
            <w:r>
              <w:rPr>
                <w:rFonts w:eastAsia="等线"/>
                <w:kern w:val="0"/>
                <w:sz w:val="20"/>
                <w:szCs w:val="20"/>
              </w:rPr>
              <w:t>8G</w:t>
            </w:r>
            <w:r>
              <w:rPr>
                <w:rFonts w:hint="eastAsia" w:ascii="宋体" w:hAnsi="宋体"/>
                <w:kern w:val="0"/>
                <w:sz w:val="20"/>
                <w:szCs w:val="20"/>
              </w:rPr>
              <w:t>，硬盘容量≥</w:t>
            </w:r>
            <w:r>
              <w:rPr>
                <w:rFonts w:eastAsia="等线"/>
                <w:kern w:val="0"/>
                <w:sz w:val="20"/>
                <w:szCs w:val="20"/>
              </w:rPr>
              <w:t>960GB SSD</w:t>
            </w:r>
            <w:r>
              <w:rPr>
                <w:rFonts w:hint="eastAsia" w:ascii="宋体" w:hAnsi="宋体"/>
                <w:kern w:val="0"/>
                <w:sz w:val="20"/>
                <w:szCs w:val="20"/>
              </w:rPr>
              <w:t>，接口≥</w:t>
            </w:r>
            <w:r>
              <w:rPr>
                <w:rFonts w:eastAsia="等线"/>
                <w:kern w:val="0"/>
                <w:sz w:val="20"/>
                <w:szCs w:val="20"/>
              </w:rPr>
              <w:t>6</w:t>
            </w:r>
            <w:r>
              <w:rPr>
                <w:rFonts w:hint="eastAsia" w:ascii="宋体" w:hAnsi="宋体"/>
                <w:kern w:val="0"/>
                <w:sz w:val="20"/>
                <w:szCs w:val="20"/>
              </w:rPr>
              <w:t>千兆电口。</w:t>
            </w:r>
            <w:r>
              <w:rPr>
                <w:rFonts w:hint="eastAsia" w:ascii="宋体" w:hAnsi="宋体"/>
                <w:kern w:val="0"/>
                <w:sz w:val="20"/>
                <w:szCs w:val="20"/>
              </w:rPr>
              <w:br w:type="textWrapping"/>
            </w:r>
            <w:r>
              <w:rPr>
                <w:rFonts w:hint="eastAsia" w:ascii="宋体" w:hAnsi="宋体"/>
                <w:kern w:val="0"/>
                <w:sz w:val="20"/>
                <w:szCs w:val="20"/>
              </w:rPr>
              <w:t>含：</w:t>
            </w:r>
            <w:r>
              <w:rPr>
                <w:rFonts w:hint="eastAsia" w:ascii="宋体" w:hAnsi="宋体"/>
                <w:kern w:val="0"/>
                <w:sz w:val="20"/>
                <w:szCs w:val="20"/>
              </w:rPr>
              <w:br w:type="textWrapping"/>
            </w:r>
            <w:r>
              <w:rPr>
                <w:rFonts w:hint="eastAsia" w:ascii="宋体" w:hAnsi="宋体"/>
                <w:kern w:val="0"/>
                <w:sz w:val="20"/>
                <w:szCs w:val="20"/>
              </w:rPr>
              <w:t>终端病毒检测与响应平台软件</w:t>
            </w:r>
            <w:r>
              <w:rPr>
                <w:rFonts w:eastAsia="等线"/>
                <w:kern w:val="0"/>
                <w:sz w:val="20"/>
                <w:szCs w:val="20"/>
              </w:rPr>
              <w:t>(*1</w:t>
            </w:r>
            <w:r>
              <w:rPr>
                <w:rFonts w:hint="eastAsia" w:ascii="宋体" w:hAnsi="宋体"/>
                <w:kern w:val="0"/>
                <w:sz w:val="20"/>
                <w:szCs w:val="20"/>
              </w:rPr>
              <w:t>套</w:t>
            </w:r>
            <w:r>
              <w:rPr>
                <w:rFonts w:eastAsia="等线"/>
                <w:kern w:val="0"/>
                <w:sz w:val="20"/>
                <w:szCs w:val="20"/>
              </w:rPr>
              <w:t>);</w:t>
            </w:r>
            <w:r>
              <w:rPr>
                <w:rFonts w:eastAsia="等线"/>
                <w:kern w:val="0"/>
                <w:sz w:val="20"/>
                <w:szCs w:val="20"/>
              </w:rPr>
              <w:br w:type="textWrapping"/>
            </w:r>
            <w:r>
              <w:rPr>
                <w:rFonts w:eastAsia="等线"/>
                <w:kern w:val="0"/>
                <w:sz w:val="20"/>
                <w:szCs w:val="20"/>
              </w:rPr>
              <w:t>PC</w:t>
            </w:r>
            <w:r>
              <w:rPr>
                <w:rFonts w:hint="eastAsia" w:ascii="宋体" w:hAnsi="宋体"/>
                <w:kern w:val="0"/>
                <w:sz w:val="20"/>
                <w:szCs w:val="20"/>
              </w:rPr>
              <w:t>版终端安全软件</w:t>
            </w:r>
            <w:r>
              <w:rPr>
                <w:rFonts w:eastAsia="等线"/>
                <w:kern w:val="0"/>
                <w:sz w:val="20"/>
                <w:szCs w:val="20"/>
              </w:rPr>
              <w:t>(*100</w:t>
            </w:r>
            <w:r>
              <w:rPr>
                <w:rFonts w:hint="eastAsia" w:ascii="宋体" w:hAnsi="宋体"/>
                <w:kern w:val="0"/>
                <w:sz w:val="20"/>
                <w:szCs w:val="20"/>
              </w:rPr>
              <w:t>套</w:t>
            </w:r>
            <w:r>
              <w:rPr>
                <w:rFonts w:eastAsia="等线"/>
                <w:kern w:val="0"/>
                <w:sz w:val="20"/>
                <w:szCs w:val="20"/>
              </w:rPr>
              <w:t>);</w:t>
            </w:r>
            <w:r>
              <w:rPr>
                <w:rFonts w:eastAsia="等线"/>
                <w:kern w:val="0"/>
                <w:sz w:val="20"/>
                <w:szCs w:val="20"/>
              </w:rPr>
              <w:br w:type="textWrapping"/>
            </w:r>
            <w:r>
              <w:rPr>
                <w:rFonts w:hint="eastAsia" w:ascii="宋体" w:hAnsi="宋体"/>
                <w:kern w:val="0"/>
                <w:sz w:val="20"/>
                <w:szCs w:val="20"/>
              </w:rPr>
              <w:t>服务器版终端安全软件</w:t>
            </w:r>
            <w:r>
              <w:rPr>
                <w:rFonts w:eastAsia="等线"/>
                <w:kern w:val="0"/>
                <w:sz w:val="20"/>
                <w:szCs w:val="20"/>
              </w:rPr>
              <w:t>(*10</w:t>
            </w:r>
            <w:r>
              <w:rPr>
                <w:rFonts w:hint="eastAsia" w:ascii="宋体" w:hAnsi="宋体"/>
                <w:kern w:val="0"/>
                <w:sz w:val="20"/>
                <w:szCs w:val="20"/>
              </w:rPr>
              <w:t>套</w:t>
            </w:r>
            <w:r>
              <w:rPr>
                <w:rFonts w:eastAsia="等线"/>
                <w:kern w:val="0"/>
                <w:sz w:val="20"/>
                <w:szCs w:val="20"/>
              </w:rPr>
              <w:t>);</w:t>
            </w:r>
            <w:r>
              <w:rPr>
                <w:rFonts w:eastAsia="等线"/>
                <w:kern w:val="0"/>
                <w:sz w:val="20"/>
                <w:szCs w:val="20"/>
              </w:rPr>
              <w:br w:type="textWrapping"/>
            </w:r>
            <w:r>
              <w:rPr>
                <w:rFonts w:hint="eastAsia" w:ascii="宋体" w:hAnsi="宋体"/>
                <w:kern w:val="0"/>
                <w:sz w:val="20"/>
                <w:szCs w:val="20"/>
              </w:rPr>
              <w:t>产品质保</w:t>
            </w:r>
            <w:r>
              <w:rPr>
                <w:rFonts w:eastAsia="等线"/>
                <w:kern w:val="0"/>
                <w:sz w:val="20"/>
                <w:szCs w:val="20"/>
              </w:rPr>
              <w:t>(*3</w:t>
            </w:r>
            <w:r>
              <w:rPr>
                <w:rFonts w:hint="eastAsia" w:ascii="宋体" w:hAnsi="宋体"/>
                <w:kern w:val="0"/>
                <w:sz w:val="20"/>
                <w:szCs w:val="20"/>
              </w:rPr>
              <w:t>年</w:t>
            </w:r>
            <w:r>
              <w:rPr>
                <w:rFonts w:eastAsia="等线"/>
                <w:kern w:val="0"/>
                <w:sz w:val="20"/>
                <w:szCs w:val="20"/>
              </w:rPr>
              <w:t>);</w:t>
            </w:r>
            <w:r>
              <w:rPr>
                <w:rFonts w:eastAsia="等线"/>
                <w:kern w:val="0"/>
                <w:sz w:val="20"/>
                <w:szCs w:val="20"/>
              </w:rPr>
              <w:br w:type="textWrapping"/>
            </w:r>
            <w:r>
              <w:rPr>
                <w:rFonts w:hint="eastAsia" w:ascii="宋体" w:hAnsi="宋体"/>
                <w:kern w:val="0"/>
                <w:sz w:val="20"/>
                <w:szCs w:val="20"/>
              </w:rPr>
              <w:t>软件升级</w:t>
            </w:r>
            <w:r>
              <w:rPr>
                <w:rFonts w:eastAsia="等线"/>
                <w:kern w:val="0"/>
                <w:sz w:val="20"/>
                <w:szCs w:val="20"/>
              </w:rPr>
              <w:t>(*3</w:t>
            </w:r>
            <w:r>
              <w:rPr>
                <w:rFonts w:hint="eastAsia" w:ascii="宋体" w:hAnsi="宋体"/>
                <w:kern w:val="0"/>
                <w:sz w:val="20"/>
                <w:szCs w:val="20"/>
              </w:rPr>
              <w:t>年</w:t>
            </w:r>
            <w:r>
              <w:rPr>
                <w:rFonts w:eastAsia="等线"/>
                <w:kern w:val="0"/>
                <w:sz w:val="20"/>
                <w:szCs w:val="20"/>
              </w:rPr>
              <w:t>);</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hint="eastAsia" w:ascii="宋体" w:hAnsi="宋体"/>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eastAsia="等线"/>
                <w:kern w:val="0"/>
                <w:sz w:val="20"/>
                <w:szCs w:val="20"/>
              </w:rPr>
              <w:t>1</w:t>
            </w:r>
          </w:p>
        </w:tc>
      </w:tr>
      <w:tr>
        <w:tblPrEx>
          <w:tblCellMar>
            <w:top w:w="0" w:type="dxa"/>
            <w:left w:w="108" w:type="dxa"/>
            <w:bottom w:w="0" w:type="dxa"/>
            <w:right w:w="108" w:type="dxa"/>
          </w:tblCellMar>
        </w:tblPrEx>
        <w:trPr>
          <w:trHeight w:val="288" w:hRule="atLeast"/>
        </w:trPr>
        <w:tc>
          <w:tcPr>
            <w:tcW w:w="604"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b/>
                <w:bCs/>
                <w:color w:val="000000"/>
                <w:kern w:val="0"/>
                <w:sz w:val="20"/>
                <w:szCs w:val="20"/>
              </w:rPr>
            </w:pPr>
            <w:r>
              <w:rPr>
                <w:rFonts w:hint="eastAsia" w:ascii="宋体" w:hAnsi="宋体" w:cs="宋体"/>
                <w:b/>
                <w:bCs/>
                <w:color w:val="000000"/>
                <w:kern w:val="0"/>
                <w:sz w:val="20"/>
                <w:szCs w:val="20"/>
              </w:rPr>
              <w:t>三</w:t>
            </w:r>
          </w:p>
        </w:tc>
        <w:tc>
          <w:tcPr>
            <w:tcW w:w="8865"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b/>
                <w:bCs/>
                <w:color w:val="000000"/>
                <w:kern w:val="0"/>
                <w:sz w:val="20"/>
                <w:szCs w:val="20"/>
              </w:rPr>
            </w:pPr>
            <w:r>
              <w:rPr>
                <w:rFonts w:hint="eastAsia" w:ascii="宋体" w:hAnsi="宋体" w:cs="宋体"/>
                <w:b/>
                <w:bCs/>
                <w:color w:val="000000"/>
                <w:kern w:val="0"/>
                <w:sz w:val="20"/>
                <w:szCs w:val="20"/>
              </w:rPr>
              <w:t>机房及配套服务</w:t>
            </w:r>
          </w:p>
        </w:tc>
      </w:tr>
      <w:tr>
        <w:tblPrEx>
          <w:tblCellMar>
            <w:top w:w="0" w:type="dxa"/>
            <w:left w:w="108" w:type="dxa"/>
            <w:bottom w:w="0" w:type="dxa"/>
            <w:right w:w="108" w:type="dxa"/>
          </w:tblCellMar>
        </w:tblPrEx>
        <w:trPr>
          <w:trHeight w:val="1584" w:hRule="atLeast"/>
        </w:trPr>
        <w:tc>
          <w:tcPr>
            <w:tcW w:w="60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c>
          <w:tcPr>
            <w:tcW w:w="74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机房及供电系统</w:t>
            </w: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精密列头柜</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eastAsia="等线"/>
                <w:color w:val="000000"/>
                <w:kern w:val="0"/>
                <w:sz w:val="20"/>
                <w:szCs w:val="20"/>
              </w:rPr>
              <w:t>1</w:t>
            </w:r>
            <w:r>
              <w:rPr>
                <w:rFonts w:hint="eastAsia" w:ascii="宋体" w:hAnsi="宋体"/>
                <w:color w:val="000000"/>
                <w:kern w:val="0"/>
                <w:sz w:val="20"/>
                <w:szCs w:val="20"/>
              </w:rPr>
              <w:t>、采用</w:t>
            </w:r>
            <w:r>
              <w:rPr>
                <w:rFonts w:eastAsia="等线"/>
                <w:color w:val="000000"/>
                <w:kern w:val="0"/>
                <w:sz w:val="20"/>
                <w:szCs w:val="20"/>
              </w:rPr>
              <w:t>19</w:t>
            </w:r>
            <w:r>
              <w:rPr>
                <w:rFonts w:hint="eastAsia" w:ascii="宋体" w:hAnsi="宋体"/>
                <w:color w:val="000000"/>
                <w:kern w:val="0"/>
                <w:sz w:val="20"/>
                <w:szCs w:val="20"/>
              </w:rPr>
              <w:t>英寸</w:t>
            </w:r>
            <w:r>
              <w:rPr>
                <w:rFonts w:eastAsia="等线"/>
                <w:color w:val="000000"/>
                <w:kern w:val="0"/>
                <w:sz w:val="20"/>
                <w:szCs w:val="20"/>
              </w:rPr>
              <w:t>42U</w:t>
            </w:r>
            <w:r>
              <w:rPr>
                <w:rFonts w:hint="eastAsia" w:ascii="宋体" w:hAnsi="宋体"/>
                <w:color w:val="000000"/>
                <w:kern w:val="0"/>
                <w:sz w:val="20"/>
                <w:szCs w:val="20"/>
              </w:rPr>
              <w:t>标准机柜，柜体尺寸（宽</w:t>
            </w:r>
            <w:r>
              <w:rPr>
                <w:rFonts w:eastAsia="等线"/>
                <w:color w:val="000000"/>
                <w:kern w:val="0"/>
                <w:sz w:val="20"/>
                <w:szCs w:val="20"/>
              </w:rPr>
              <w:t>*</w:t>
            </w:r>
            <w:r>
              <w:rPr>
                <w:rFonts w:hint="eastAsia" w:ascii="宋体" w:hAnsi="宋体"/>
                <w:color w:val="000000"/>
                <w:kern w:val="0"/>
                <w:sz w:val="20"/>
                <w:szCs w:val="20"/>
              </w:rPr>
              <w:t>深</w:t>
            </w:r>
            <w:r>
              <w:rPr>
                <w:rFonts w:eastAsia="等线"/>
                <w:color w:val="000000"/>
                <w:kern w:val="0"/>
                <w:sz w:val="20"/>
                <w:szCs w:val="20"/>
              </w:rPr>
              <w:t>*</w:t>
            </w:r>
            <w:r>
              <w:rPr>
                <w:rFonts w:hint="eastAsia" w:ascii="宋体" w:hAnsi="宋体"/>
                <w:color w:val="000000"/>
                <w:kern w:val="0"/>
                <w:sz w:val="20"/>
                <w:szCs w:val="20"/>
              </w:rPr>
              <w:t>高）</w:t>
            </w:r>
            <w:r>
              <w:rPr>
                <w:rFonts w:eastAsia="等线"/>
                <w:color w:val="000000"/>
                <w:kern w:val="0"/>
                <w:sz w:val="20"/>
                <w:szCs w:val="20"/>
              </w:rPr>
              <w:t>600*1200*2000mm</w:t>
            </w:r>
            <w:r>
              <w:rPr>
                <w:rFonts w:hint="eastAsia" w:ascii="宋体" w:hAnsi="宋体"/>
                <w:color w:val="000000"/>
                <w:kern w:val="0"/>
                <w:sz w:val="20"/>
                <w:szCs w:val="20"/>
              </w:rPr>
              <w:t>；</w:t>
            </w:r>
            <w:r>
              <w:rPr>
                <w:rFonts w:hint="eastAsia" w:ascii="宋体" w:hAnsi="宋体"/>
                <w:color w:val="000000"/>
                <w:kern w:val="0"/>
                <w:sz w:val="20"/>
                <w:szCs w:val="20"/>
              </w:rPr>
              <w:br w:type="textWrapping"/>
            </w:r>
            <w:r>
              <w:rPr>
                <w:rFonts w:eastAsia="等线"/>
                <w:color w:val="000000"/>
                <w:kern w:val="0"/>
                <w:sz w:val="20"/>
                <w:szCs w:val="20"/>
              </w:rPr>
              <w:t>2</w:t>
            </w:r>
            <w:r>
              <w:rPr>
                <w:rFonts w:hint="eastAsia" w:ascii="宋体" w:hAnsi="宋体"/>
                <w:color w:val="000000"/>
                <w:kern w:val="0"/>
                <w:sz w:val="20"/>
                <w:szCs w:val="20"/>
              </w:rPr>
              <w:t>、配电输入：双路</w:t>
            </w:r>
            <w:r>
              <w:rPr>
                <w:rFonts w:eastAsia="等线"/>
                <w:color w:val="000000"/>
                <w:kern w:val="0"/>
                <w:sz w:val="20"/>
                <w:szCs w:val="20"/>
              </w:rPr>
              <w:t>MCCB</w:t>
            </w:r>
            <w:r>
              <w:rPr>
                <w:rFonts w:hint="eastAsia" w:ascii="宋体" w:hAnsi="宋体"/>
                <w:color w:val="000000"/>
                <w:kern w:val="0"/>
                <w:sz w:val="20"/>
                <w:szCs w:val="20"/>
              </w:rPr>
              <w:t>输入，额定电流</w:t>
            </w:r>
            <w:r>
              <w:rPr>
                <w:rFonts w:eastAsia="等线"/>
                <w:color w:val="000000"/>
                <w:kern w:val="0"/>
                <w:sz w:val="20"/>
                <w:szCs w:val="20"/>
              </w:rPr>
              <w:t>250A/3P</w:t>
            </w:r>
            <w:r>
              <w:rPr>
                <w:rFonts w:hint="eastAsia" w:ascii="宋体" w:hAnsi="宋体"/>
                <w:color w:val="000000"/>
                <w:kern w:val="0"/>
                <w:sz w:val="20"/>
                <w:szCs w:val="20"/>
              </w:rPr>
              <w:t>；</w:t>
            </w:r>
            <w:r>
              <w:rPr>
                <w:rFonts w:hint="eastAsia" w:ascii="宋体" w:hAnsi="宋体"/>
                <w:color w:val="000000"/>
                <w:kern w:val="0"/>
                <w:sz w:val="20"/>
                <w:szCs w:val="20"/>
              </w:rPr>
              <w:br w:type="textWrapping"/>
            </w:r>
            <w:r>
              <w:rPr>
                <w:rFonts w:eastAsia="等线"/>
                <w:color w:val="000000"/>
                <w:kern w:val="0"/>
                <w:sz w:val="20"/>
                <w:szCs w:val="20"/>
              </w:rPr>
              <w:t>3</w:t>
            </w:r>
            <w:r>
              <w:rPr>
                <w:rFonts w:hint="eastAsia" w:ascii="宋体" w:hAnsi="宋体"/>
                <w:color w:val="000000"/>
                <w:kern w:val="0"/>
                <w:sz w:val="20"/>
                <w:szCs w:val="20"/>
              </w:rPr>
              <w:t>、</w:t>
            </w:r>
            <w:r>
              <w:rPr>
                <w:rFonts w:eastAsia="等线"/>
                <w:color w:val="000000"/>
                <w:kern w:val="0"/>
                <w:sz w:val="20"/>
                <w:szCs w:val="20"/>
              </w:rPr>
              <w:t>IT</w:t>
            </w:r>
            <w:r>
              <w:rPr>
                <w:rFonts w:hint="eastAsia" w:ascii="宋体" w:hAnsi="宋体"/>
                <w:color w:val="000000"/>
                <w:kern w:val="0"/>
                <w:sz w:val="20"/>
                <w:szCs w:val="20"/>
              </w:rPr>
              <w:t>配电输出：</w:t>
            </w:r>
            <w:r>
              <w:rPr>
                <w:rFonts w:eastAsia="等线"/>
                <w:color w:val="000000"/>
                <w:kern w:val="0"/>
                <w:sz w:val="20"/>
                <w:szCs w:val="20"/>
              </w:rPr>
              <w:t>2</w:t>
            </w:r>
            <w:r>
              <w:rPr>
                <w:rFonts w:hint="eastAsia" w:ascii="宋体" w:hAnsi="宋体"/>
                <w:color w:val="000000"/>
                <w:kern w:val="0"/>
                <w:sz w:val="20"/>
                <w:szCs w:val="20"/>
              </w:rPr>
              <w:t>路</w:t>
            </w:r>
            <w:r>
              <w:rPr>
                <w:rFonts w:eastAsia="等线"/>
                <w:color w:val="000000"/>
                <w:kern w:val="0"/>
                <w:sz w:val="20"/>
                <w:szCs w:val="20"/>
              </w:rPr>
              <w:t>IT</w:t>
            </w:r>
            <w:r>
              <w:rPr>
                <w:rFonts w:hint="eastAsia" w:ascii="宋体" w:hAnsi="宋体"/>
                <w:color w:val="000000"/>
                <w:kern w:val="0"/>
                <w:sz w:val="20"/>
                <w:szCs w:val="20"/>
              </w:rPr>
              <w:t>配电，每路支持单相</w:t>
            </w:r>
            <w:r>
              <w:rPr>
                <w:rFonts w:eastAsia="等线"/>
                <w:color w:val="000000"/>
                <w:kern w:val="0"/>
                <w:sz w:val="20"/>
                <w:szCs w:val="20"/>
              </w:rPr>
              <w:t>24</w:t>
            </w:r>
            <w:r>
              <w:rPr>
                <w:rFonts w:hint="eastAsia" w:ascii="宋体" w:hAnsi="宋体"/>
                <w:color w:val="000000"/>
                <w:kern w:val="0"/>
                <w:sz w:val="20"/>
                <w:szCs w:val="20"/>
              </w:rPr>
              <w:t>路输出，满足</w:t>
            </w:r>
            <w:r>
              <w:rPr>
                <w:rFonts w:eastAsia="等线"/>
                <w:color w:val="000000"/>
                <w:kern w:val="0"/>
                <w:sz w:val="20"/>
                <w:szCs w:val="20"/>
              </w:rPr>
              <w:t>2N</w:t>
            </w:r>
            <w:r>
              <w:rPr>
                <w:rFonts w:hint="eastAsia" w:ascii="宋体" w:hAnsi="宋体"/>
                <w:color w:val="000000"/>
                <w:kern w:val="0"/>
                <w:sz w:val="20"/>
                <w:szCs w:val="20"/>
              </w:rPr>
              <w:t>配电架构；标配输出接线排；</w:t>
            </w:r>
            <w:r>
              <w:rPr>
                <w:rFonts w:hint="eastAsia" w:ascii="宋体" w:hAnsi="宋体"/>
                <w:color w:val="000000"/>
                <w:kern w:val="0"/>
                <w:sz w:val="20"/>
                <w:szCs w:val="20"/>
              </w:rPr>
              <w:br w:type="textWrapping"/>
            </w:r>
            <w:r>
              <w:rPr>
                <w:rFonts w:eastAsia="等线"/>
                <w:color w:val="000000"/>
                <w:kern w:val="0"/>
                <w:sz w:val="20"/>
                <w:szCs w:val="20"/>
              </w:rPr>
              <w:t>4</w:t>
            </w:r>
            <w:r>
              <w:rPr>
                <w:rFonts w:hint="eastAsia" w:ascii="宋体" w:hAnsi="宋体"/>
                <w:color w:val="000000"/>
                <w:kern w:val="0"/>
                <w:sz w:val="20"/>
                <w:szCs w:val="20"/>
              </w:rPr>
              <w:t>、标配</w:t>
            </w:r>
            <w:r>
              <w:rPr>
                <w:rFonts w:eastAsia="等线"/>
                <w:color w:val="000000"/>
                <w:kern w:val="0"/>
                <w:sz w:val="20"/>
                <w:szCs w:val="20"/>
              </w:rPr>
              <w:t>C</w:t>
            </w:r>
            <w:r>
              <w:rPr>
                <w:rFonts w:hint="eastAsia" w:ascii="宋体" w:hAnsi="宋体"/>
                <w:color w:val="000000"/>
                <w:kern w:val="0"/>
                <w:sz w:val="20"/>
                <w:szCs w:val="20"/>
              </w:rPr>
              <w:t>级防雷；</w:t>
            </w:r>
            <w:r>
              <w:rPr>
                <w:rFonts w:hint="eastAsia" w:ascii="宋体" w:hAnsi="宋体"/>
                <w:color w:val="000000"/>
                <w:kern w:val="0"/>
                <w:sz w:val="20"/>
                <w:szCs w:val="20"/>
              </w:rPr>
              <w:br w:type="textWrapping"/>
            </w:r>
            <w:r>
              <w:rPr>
                <w:rFonts w:eastAsia="等线"/>
                <w:color w:val="000000"/>
                <w:kern w:val="0"/>
                <w:sz w:val="20"/>
                <w:szCs w:val="20"/>
              </w:rPr>
              <w:t>5</w:t>
            </w:r>
            <w:r>
              <w:rPr>
                <w:rFonts w:hint="eastAsia" w:ascii="宋体" w:hAnsi="宋体"/>
                <w:color w:val="000000"/>
                <w:kern w:val="0"/>
                <w:sz w:val="20"/>
                <w:szCs w:val="20"/>
              </w:rPr>
              <w:t>、标配</w:t>
            </w:r>
            <w:r>
              <w:rPr>
                <w:rFonts w:eastAsia="等线"/>
                <w:color w:val="000000"/>
                <w:kern w:val="0"/>
                <w:sz w:val="20"/>
                <w:szCs w:val="20"/>
              </w:rPr>
              <w:t>7</w:t>
            </w:r>
            <w:r>
              <w:rPr>
                <w:rFonts w:hint="eastAsia" w:ascii="宋体" w:hAnsi="宋体"/>
                <w:color w:val="000000"/>
                <w:kern w:val="0"/>
                <w:sz w:val="20"/>
                <w:szCs w:val="20"/>
              </w:rPr>
              <w:t>寸触摸屏（中文）；</w:t>
            </w:r>
            <w:r>
              <w:rPr>
                <w:rFonts w:hint="eastAsia" w:ascii="宋体" w:hAnsi="宋体"/>
                <w:color w:val="000000"/>
                <w:kern w:val="0"/>
                <w:sz w:val="20"/>
                <w:szCs w:val="20"/>
              </w:rPr>
              <w:br w:type="textWrapping"/>
            </w:r>
            <w:r>
              <w:rPr>
                <w:rFonts w:eastAsia="等线"/>
                <w:color w:val="000000"/>
                <w:kern w:val="0"/>
                <w:sz w:val="20"/>
                <w:szCs w:val="20"/>
              </w:rPr>
              <w:t>6</w:t>
            </w:r>
            <w:r>
              <w:rPr>
                <w:rFonts w:hint="eastAsia" w:ascii="宋体" w:hAnsi="宋体"/>
                <w:color w:val="000000"/>
                <w:kern w:val="0"/>
                <w:sz w:val="20"/>
                <w:szCs w:val="20"/>
              </w:rPr>
              <w:t>、标配主路、支路配电监控（电压、电流、功率、开关状态等）</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台</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23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一体化</w:t>
            </w:r>
            <w:r>
              <w:rPr>
                <w:rFonts w:eastAsia="等线"/>
                <w:color w:val="000000"/>
                <w:kern w:val="0"/>
                <w:sz w:val="20"/>
                <w:szCs w:val="20"/>
              </w:rPr>
              <w:t>UPS</w:t>
            </w:r>
            <w:r>
              <w:rPr>
                <w:rFonts w:hint="eastAsia" w:ascii="宋体" w:hAnsi="宋体"/>
                <w:color w:val="000000"/>
                <w:kern w:val="0"/>
                <w:sz w:val="20"/>
                <w:szCs w:val="20"/>
              </w:rPr>
              <w:t>（双路市电，</w:t>
            </w:r>
            <w:r>
              <w:rPr>
                <w:rFonts w:eastAsia="等线"/>
                <w:color w:val="000000"/>
                <w:kern w:val="0"/>
                <w:sz w:val="20"/>
                <w:szCs w:val="20"/>
              </w:rPr>
              <w:t>UPS</w:t>
            </w:r>
            <w:r>
              <w:rPr>
                <w:rFonts w:hint="eastAsia" w:ascii="宋体" w:hAnsi="宋体"/>
                <w:color w:val="000000"/>
                <w:kern w:val="0"/>
                <w:sz w:val="20"/>
                <w:szCs w:val="20"/>
              </w:rPr>
              <w:t>不入列，放置负一层配电室）</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eastAsia="等线"/>
                <w:color w:val="000000"/>
                <w:kern w:val="0"/>
                <w:sz w:val="20"/>
                <w:szCs w:val="20"/>
              </w:rPr>
              <w:t>1</w:t>
            </w:r>
            <w:r>
              <w:rPr>
                <w:rFonts w:hint="eastAsia" w:ascii="宋体" w:hAnsi="宋体"/>
                <w:color w:val="000000"/>
                <w:kern w:val="0"/>
                <w:sz w:val="20"/>
                <w:szCs w:val="20"/>
              </w:rPr>
              <w:t>、满足双路电源输入，含</w:t>
            </w:r>
            <w:r>
              <w:rPr>
                <w:rFonts w:eastAsia="等线"/>
                <w:color w:val="000000"/>
                <w:kern w:val="0"/>
                <w:sz w:val="20"/>
                <w:szCs w:val="20"/>
              </w:rPr>
              <w:t>ATS</w:t>
            </w:r>
            <w:r>
              <w:rPr>
                <w:rFonts w:hint="eastAsia" w:ascii="宋体" w:hAnsi="宋体"/>
                <w:color w:val="000000"/>
                <w:kern w:val="0"/>
                <w:sz w:val="20"/>
                <w:szCs w:val="20"/>
              </w:rPr>
              <w:t>（</w:t>
            </w:r>
            <w:r>
              <w:rPr>
                <w:rFonts w:eastAsia="等线"/>
                <w:color w:val="000000"/>
                <w:kern w:val="0"/>
                <w:sz w:val="20"/>
                <w:szCs w:val="20"/>
              </w:rPr>
              <w:t>4P/400A</w:t>
            </w:r>
            <w:r>
              <w:rPr>
                <w:rFonts w:hint="eastAsia" w:ascii="宋体" w:hAnsi="宋体"/>
                <w:color w:val="000000"/>
                <w:kern w:val="0"/>
                <w:sz w:val="20"/>
                <w:szCs w:val="20"/>
              </w:rPr>
              <w:t>）双路切换开关；</w:t>
            </w:r>
            <w:r>
              <w:rPr>
                <w:rFonts w:hint="eastAsia" w:ascii="宋体" w:hAnsi="宋体"/>
                <w:color w:val="000000"/>
                <w:kern w:val="0"/>
                <w:sz w:val="20"/>
                <w:szCs w:val="20"/>
              </w:rPr>
              <w:br w:type="textWrapping"/>
            </w:r>
            <w:r>
              <w:rPr>
                <w:rFonts w:eastAsia="等线"/>
                <w:color w:val="000000"/>
                <w:kern w:val="0"/>
                <w:sz w:val="20"/>
                <w:szCs w:val="20"/>
              </w:rPr>
              <w:t>2</w:t>
            </w:r>
            <w:r>
              <w:rPr>
                <w:rFonts w:hint="eastAsia" w:ascii="宋体" w:hAnsi="宋体"/>
                <w:color w:val="000000"/>
                <w:kern w:val="0"/>
                <w:sz w:val="20"/>
                <w:szCs w:val="20"/>
              </w:rPr>
              <w:t>、标配主输入</w:t>
            </w:r>
            <w:r>
              <w:rPr>
                <w:rFonts w:eastAsia="等线"/>
                <w:color w:val="000000"/>
                <w:kern w:val="0"/>
                <w:sz w:val="20"/>
                <w:szCs w:val="20"/>
              </w:rPr>
              <w:t>C</w:t>
            </w:r>
            <w:r>
              <w:rPr>
                <w:rFonts w:hint="eastAsia" w:ascii="宋体" w:hAnsi="宋体"/>
                <w:color w:val="000000"/>
                <w:kern w:val="0"/>
                <w:sz w:val="20"/>
                <w:szCs w:val="20"/>
              </w:rPr>
              <w:t>级防雷</w:t>
            </w:r>
            <w:r>
              <w:rPr>
                <w:rFonts w:eastAsia="等线"/>
                <w:color w:val="000000"/>
                <w:kern w:val="0"/>
                <w:sz w:val="20"/>
                <w:szCs w:val="20"/>
              </w:rPr>
              <w:t>,</w:t>
            </w:r>
            <w:r>
              <w:rPr>
                <w:rFonts w:hint="eastAsia" w:ascii="宋体" w:hAnsi="宋体"/>
                <w:color w:val="000000"/>
                <w:kern w:val="0"/>
                <w:sz w:val="20"/>
                <w:szCs w:val="20"/>
              </w:rPr>
              <w:t>带防雷开关</w:t>
            </w:r>
            <w:r>
              <w:rPr>
                <w:rFonts w:eastAsia="等线"/>
                <w:color w:val="000000"/>
                <w:kern w:val="0"/>
                <w:sz w:val="20"/>
                <w:szCs w:val="20"/>
              </w:rPr>
              <w:t>32A/4P</w:t>
            </w:r>
            <w:r>
              <w:rPr>
                <w:rFonts w:eastAsia="等线"/>
                <w:color w:val="000000"/>
                <w:kern w:val="0"/>
                <w:sz w:val="20"/>
                <w:szCs w:val="20"/>
              </w:rPr>
              <w:br w:type="textWrapping"/>
            </w:r>
            <w:r>
              <w:rPr>
                <w:rFonts w:eastAsia="等线"/>
                <w:color w:val="000000"/>
                <w:kern w:val="0"/>
                <w:sz w:val="20"/>
                <w:szCs w:val="20"/>
              </w:rPr>
              <w:t>3</w:t>
            </w:r>
            <w:r>
              <w:rPr>
                <w:rFonts w:hint="eastAsia" w:ascii="宋体" w:hAnsi="宋体"/>
                <w:color w:val="000000"/>
                <w:kern w:val="0"/>
                <w:sz w:val="20"/>
                <w:szCs w:val="20"/>
              </w:rPr>
              <w:t>、标配</w:t>
            </w:r>
            <w:r>
              <w:rPr>
                <w:rFonts w:eastAsia="等线"/>
                <w:color w:val="000000"/>
                <w:kern w:val="0"/>
                <w:sz w:val="20"/>
                <w:szCs w:val="20"/>
              </w:rPr>
              <w:t>UPS</w:t>
            </w:r>
            <w:r>
              <w:rPr>
                <w:rFonts w:hint="eastAsia" w:ascii="宋体" w:hAnsi="宋体"/>
                <w:color w:val="000000"/>
                <w:kern w:val="0"/>
                <w:sz w:val="20"/>
                <w:szCs w:val="20"/>
              </w:rPr>
              <w:t>输入</w:t>
            </w:r>
            <w:r>
              <w:rPr>
                <w:rFonts w:eastAsia="等线"/>
                <w:color w:val="000000"/>
                <w:kern w:val="0"/>
                <w:sz w:val="20"/>
                <w:szCs w:val="20"/>
              </w:rPr>
              <w:t>(320A)</w:t>
            </w:r>
            <w:r>
              <w:rPr>
                <w:rFonts w:hint="eastAsia" w:ascii="宋体" w:hAnsi="宋体"/>
                <w:color w:val="000000"/>
                <w:kern w:val="0"/>
                <w:sz w:val="20"/>
                <w:szCs w:val="20"/>
              </w:rPr>
              <w:t>、</w:t>
            </w:r>
            <w:r>
              <w:rPr>
                <w:rFonts w:eastAsia="等线"/>
                <w:color w:val="000000"/>
                <w:kern w:val="0"/>
                <w:sz w:val="20"/>
                <w:szCs w:val="20"/>
              </w:rPr>
              <w:t>UPS</w:t>
            </w:r>
            <w:r>
              <w:rPr>
                <w:rFonts w:hint="eastAsia" w:ascii="宋体" w:hAnsi="宋体"/>
                <w:color w:val="000000"/>
                <w:kern w:val="0"/>
                <w:sz w:val="20"/>
                <w:szCs w:val="20"/>
              </w:rPr>
              <w:t>输出</w:t>
            </w:r>
            <w:r>
              <w:rPr>
                <w:rFonts w:eastAsia="等线"/>
                <w:color w:val="000000"/>
                <w:kern w:val="0"/>
                <w:sz w:val="20"/>
                <w:szCs w:val="20"/>
              </w:rPr>
              <w:t>(250A)</w:t>
            </w:r>
            <w:r>
              <w:rPr>
                <w:rFonts w:hint="eastAsia" w:ascii="宋体" w:hAnsi="宋体"/>
                <w:color w:val="000000"/>
                <w:kern w:val="0"/>
                <w:sz w:val="20"/>
                <w:szCs w:val="20"/>
              </w:rPr>
              <w:t>、维护旁路空开（</w:t>
            </w:r>
            <w:r>
              <w:rPr>
                <w:rFonts w:eastAsia="等线"/>
                <w:color w:val="000000"/>
                <w:kern w:val="0"/>
                <w:sz w:val="20"/>
                <w:szCs w:val="20"/>
              </w:rPr>
              <w:t>250A</w:t>
            </w:r>
            <w:r>
              <w:rPr>
                <w:rFonts w:hint="eastAsia" w:ascii="宋体" w:hAnsi="宋体"/>
                <w:color w:val="000000"/>
                <w:kern w:val="0"/>
                <w:sz w:val="20"/>
                <w:szCs w:val="20"/>
              </w:rPr>
              <w:t>），含</w:t>
            </w:r>
            <w:r>
              <w:rPr>
                <w:rFonts w:eastAsia="等线"/>
                <w:color w:val="000000"/>
                <w:kern w:val="0"/>
                <w:sz w:val="20"/>
                <w:szCs w:val="20"/>
              </w:rPr>
              <w:t>1</w:t>
            </w:r>
            <w:r>
              <w:rPr>
                <w:rFonts w:hint="eastAsia" w:ascii="宋体" w:hAnsi="宋体"/>
                <w:color w:val="000000"/>
                <w:kern w:val="0"/>
                <w:sz w:val="20"/>
                <w:szCs w:val="20"/>
              </w:rPr>
              <w:t>个旁路模块（；</w:t>
            </w:r>
            <w:r>
              <w:rPr>
                <w:rFonts w:hint="eastAsia" w:ascii="宋体" w:hAnsi="宋体"/>
                <w:color w:val="000000"/>
                <w:kern w:val="0"/>
                <w:sz w:val="20"/>
                <w:szCs w:val="20"/>
              </w:rPr>
              <w:br w:type="textWrapping"/>
            </w:r>
            <w:r>
              <w:rPr>
                <w:rFonts w:eastAsia="等线"/>
                <w:color w:val="000000"/>
                <w:kern w:val="0"/>
                <w:sz w:val="20"/>
                <w:szCs w:val="20"/>
              </w:rPr>
              <w:t>4</w:t>
            </w:r>
            <w:r>
              <w:rPr>
                <w:rFonts w:hint="eastAsia" w:ascii="宋体" w:hAnsi="宋体"/>
                <w:color w:val="000000"/>
                <w:kern w:val="0"/>
                <w:sz w:val="20"/>
                <w:szCs w:val="20"/>
              </w:rPr>
              <w:t>、机框配电容量按</w:t>
            </w:r>
            <w:r>
              <w:rPr>
                <w:rFonts w:eastAsia="等线"/>
                <w:color w:val="000000"/>
                <w:kern w:val="0"/>
                <w:sz w:val="20"/>
                <w:szCs w:val="20"/>
              </w:rPr>
              <w:t>150KVA</w:t>
            </w:r>
            <w:r>
              <w:rPr>
                <w:rFonts w:hint="eastAsia" w:ascii="宋体" w:hAnsi="宋体"/>
                <w:color w:val="000000"/>
                <w:kern w:val="0"/>
                <w:sz w:val="20"/>
                <w:szCs w:val="20"/>
              </w:rPr>
              <w:t>满载配置；</w:t>
            </w:r>
            <w:r>
              <w:rPr>
                <w:rFonts w:hint="eastAsia" w:ascii="宋体" w:hAnsi="宋体"/>
                <w:color w:val="000000"/>
                <w:kern w:val="0"/>
                <w:sz w:val="20"/>
                <w:szCs w:val="20"/>
              </w:rPr>
              <w:br w:type="textWrapping"/>
            </w:r>
            <w:r>
              <w:rPr>
                <w:rFonts w:eastAsia="等线"/>
                <w:color w:val="000000"/>
                <w:kern w:val="0"/>
                <w:sz w:val="20"/>
                <w:szCs w:val="20"/>
              </w:rPr>
              <w:t>5</w:t>
            </w:r>
            <w:r>
              <w:rPr>
                <w:rFonts w:hint="eastAsia" w:ascii="宋体" w:hAnsi="宋体"/>
                <w:color w:val="000000"/>
                <w:kern w:val="0"/>
                <w:sz w:val="20"/>
                <w:szCs w:val="20"/>
              </w:rPr>
              <w:t>、满足市电分路</w:t>
            </w:r>
            <w:r>
              <w:rPr>
                <w:rFonts w:eastAsia="等线"/>
                <w:color w:val="000000"/>
                <w:kern w:val="0"/>
                <w:sz w:val="20"/>
                <w:szCs w:val="20"/>
              </w:rPr>
              <w:t>+UPS</w:t>
            </w:r>
            <w:r>
              <w:rPr>
                <w:rFonts w:hint="eastAsia" w:ascii="宋体" w:hAnsi="宋体"/>
                <w:color w:val="000000"/>
                <w:kern w:val="0"/>
                <w:sz w:val="20"/>
                <w:szCs w:val="20"/>
              </w:rPr>
              <w:t>分路配电双输出架构；</w:t>
            </w:r>
            <w:r>
              <w:rPr>
                <w:rFonts w:hint="eastAsia" w:ascii="宋体" w:hAnsi="宋体"/>
                <w:color w:val="000000"/>
                <w:kern w:val="0"/>
                <w:sz w:val="20"/>
                <w:szCs w:val="20"/>
              </w:rPr>
              <w:br w:type="textWrapping"/>
            </w:r>
            <w:r>
              <w:rPr>
                <w:rFonts w:eastAsia="等线"/>
                <w:color w:val="000000"/>
                <w:kern w:val="0"/>
                <w:sz w:val="20"/>
                <w:szCs w:val="20"/>
              </w:rPr>
              <w:t>6</w:t>
            </w:r>
            <w:r>
              <w:rPr>
                <w:rFonts w:hint="eastAsia" w:ascii="宋体" w:hAnsi="宋体"/>
                <w:color w:val="000000"/>
                <w:kern w:val="0"/>
                <w:sz w:val="20"/>
                <w:szCs w:val="20"/>
              </w:rPr>
              <w:t>、不含功率模块，最大支持</w:t>
            </w:r>
            <w:r>
              <w:rPr>
                <w:rFonts w:eastAsia="等线"/>
                <w:color w:val="000000"/>
                <w:kern w:val="0"/>
                <w:sz w:val="20"/>
                <w:szCs w:val="20"/>
              </w:rPr>
              <w:t>5+1</w:t>
            </w:r>
            <w:r>
              <w:rPr>
                <w:rFonts w:hint="eastAsia" w:ascii="宋体" w:hAnsi="宋体"/>
                <w:color w:val="000000"/>
                <w:kern w:val="0"/>
                <w:sz w:val="20"/>
                <w:szCs w:val="20"/>
              </w:rPr>
              <w:t>个</w:t>
            </w:r>
            <w:r>
              <w:rPr>
                <w:rFonts w:eastAsia="等线"/>
                <w:color w:val="000000"/>
                <w:kern w:val="0"/>
                <w:sz w:val="20"/>
                <w:szCs w:val="20"/>
              </w:rPr>
              <w:t>30K</w:t>
            </w:r>
            <w:r>
              <w:rPr>
                <w:rFonts w:hint="eastAsia" w:ascii="宋体" w:hAnsi="宋体"/>
                <w:color w:val="000000"/>
                <w:kern w:val="0"/>
                <w:sz w:val="20"/>
                <w:szCs w:val="20"/>
              </w:rPr>
              <w:t>功率模块，</w:t>
            </w:r>
            <w:r>
              <w:rPr>
                <w:rFonts w:eastAsia="等线"/>
                <w:color w:val="000000"/>
                <w:kern w:val="0"/>
                <w:sz w:val="20"/>
                <w:szCs w:val="20"/>
              </w:rPr>
              <w:t>N+1</w:t>
            </w:r>
            <w:r>
              <w:rPr>
                <w:rFonts w:hint="eastAsia" w:ascii="宋体" w:hAnsi="宋体"/>
                <w:color w:val="000000"/>
                <w:kern w:val="0"/>
                <w:sz w:val="20"/>
                <w:szCs w:val="20"/>
              </w:rPr>
              <w:t>供电架构（单个功率模块高度</w:t>
            </w:r>
            <w:r>
              <w:rPr>
                <w:rFonts w:eastAsia="等线"/>
                <w:color w:val="000000"/>
                <w:kern w:val="0"/>
                <w:sz w:val="20"/>
                <w:szCs w:val="20"/>
              </w:rPr>
              <w:t>2U</w:t>
            </w:r>
            <w:r>
              <w:rPr>
                <w:rFonts w:hint="eastAsia" w:ascii="宋体" w:hAnsi="宋体"/>
                <w:color w:val="000000"/>
                <w:kern w:val="0"/>
                <w:sz w:val="20"/>
                <w:szCs w:val="20"/>
              </w:rPr>
              <w:t>）；</w:t>
            </w:r>
            <w:r>
              <w:rPr>
                <w:rFonts w:hint="eastAsia" w:ascii="宋体" w:hAnsi="宋体"/>
                <w:color w:val="000000"/>
                <w:kern w:val="0"/>
                <w:sz w:val="20"/>
                <w:szCs w:val="20"/>
              </w:rPr>
              <w:br w:type="textWrapping"/>
            </w:r>
            <w:r>
              <w:rPr>
                <w:rFonts w:eastAsia="等线"/>
                <w:color w:val="000000"/>
                <w:kern w:val="0"/>
                <w:sz w:val="20"/>
                <w:szCs w:val="20"/>
              </w:rPr>
              <w:t>7</w:t>
            </w:r>
            <w:r>
              <w:rPr>
                <w:rFonts w:hint="eastAsia" w:ascii="宋体" w:hAnsi="宋体"/>
                <w:color w:val="000000"/>
                <w:kern w:val="0"/>
                <w:sz w:val="20"/>
                <w:szCs w:val="20"/>
              </w:rPr>
              <w:t>、柜体尺寸（宽</w:t>
            </w:r>
            <w:r>
              <w:rPr>
                <w:rFonts w:eastAsia="等线"/>
                <w:color w:val="000000"/>
                <w:kern w:val="0"/>
                <w:sz w:val="20"/>
                <w:szCs w:val="20"/>
              </w:rPr>
              <w:t>*</w:t>
            </w:r>
            <w:r>
              <w:rPr>
                <w:rFonts w:hint="eastAsia" w:ascii="宋体" w:hAnsi="宋体"/>
                <w:color w:val="000000"/>
                <w:kern w:val="0"/>
                <w:sz w:val="20"/>
                <w:szCs w:val="20"/>
              </w:rPr>
              <w:t>深</w:t>
            </w:r>
            <w:r>
              <w:rPr>
                <w:rFonts w:eastAsia="等线"/>
                <w:color w:val="000000"/>
                <w:kern w:val="0"/>
                <w:sz w:val="20"/>
                <w:szCs w:val="20"/>
              </w:rPr>
              <w:t>*</w:t>
            </w:r>
            <w:r>
              <w:rPr>
                <w:rFonts w:hint="eastAsia" w:ascii="宋体" w:hAnsi="宋体"/>
                <w:color w:val="000000"/>
                <w:kern w:val="0"/>
                <w:sz w:val="20"/>
                <w:szCs w:val="20"/>
              </w:rPr>
              <w:t>高）：</w:t>
            </w:r>
            <w:r>
              <w:rPr>
                <w:rFonts w:eastAsia="等线"/>
                <w:color w:val="000000"/>
                <w:kern w:val="0"/>
                <w:sz w:val="20"/>
                <w:szCs w:val="20"/>
              </w:rPr>
              <w:t>600*1200*2000mm</w:t>
            </w:r>
            <w:r>
              <w:rPr>
                <w:rFonts w:hint="eastAsia" w:ascii="宋体" w:hAnsi="宋体"/>
                <w:color w:val="000000"/>
                <w:kern w:val="0"/>
                <w:sz w:val="20"/>
                <w:szCs w:val="20"/>
              </w:rPr>
              <w:t>；</w:t>
            </w:r>
            <w:r>
              <w:rPr>
                <w:rFonts w:hint="eastAsia" w:ascii="宋体" w:hAnsi="宋体"/>
                <w:color w:val="000000"/>
                <w:kern w:val="0"/>
                <w:sz w:val="20"/>
                <w:szCs w:val="20"/>
              </w:rPr>
              <w:br w:type="textWrapping"/>
            </w:r>
            <w:r>
              <w:rPr>
                <w:rFonts w:eastAsia="等线"/>
                <w:color w:val="000000"/>
                <w:kern w:val="0"/>
                <w:sz w:val="20"/>
                <w:szCs w:val="20"/>
              </w:rPr>
              <w:t>8</w:t>
            </w:r>
            <w:r>
              <w:rPr>
                <w:rFonts w:hint="eastAsia" w:ascii="宋体" w:hAnsi="宋体"/>
                <w:color w:val="000000"/>
                <w:kern w:val="0"/>
                <w:sz w:val="20"/>
                <w:szCs w:val="20"/>
              </w:rPr>
              <w:t>、前门单开网孔门，右开门，后门双开网孔门；进出线方式：上进上出线；</w:t>
            </w:r>
            <w:r>
              <w:rPr>
                <w:rFonts w:hint="eastAsia" w:ascii="宋体" w:hAnsi="宋体"/>
                <w:color w:val="000000"/>
                <w:kern w:val="0"/>
                <w:sz w:val="20"/>
                <w:szCs w:val="20"/>
              </w:rPr>
              <w:br w:type="textWrapping"/>
            </w:r>
            <w:r>
              <w:rPr>
                <w:rFonts w:eastAsia="等线"/>
                <w:color w:val="000000"/>
                <w:kern w:val="0"/>
                <w:sz w:val="20"/>
                <w:szCs w:val="20"/>
              </w:rPr>
              <w:t>9</w:t>
            </w:r>
            <w:r>
              <w:rPr>
                <w:rFonts w:hint="eastAsia" w:ascii="宋体" w:hAnsi="宋体"/>
                <w:color w:val="000000"/>
                <w:kern w:val="0"/>
                <w:sz w:val="20"/>
                <w:szCs w:val="20"/>
              </w:rPr>
              <w:t>、</w:t>
            </w:r>
            <w:r>
              <w:rPr>
                <w:rFonts w:eastAsia="等线"/>
                <w:color w:val="000000"/>
                <w:kern w:val="0"/>
                <w:sz w:val="20"/>
                <w:szCs w:val="20"/>
              </w:rPr>
              <w:t>RS485</w:t>
            </w:r>
            <w:r>
              <w:rPr>
                <w:rFonts w:hint="eastAsia" w:ascii="宋体" w:hAnsi="宋体"/>
                <w:color w:val="000000"/>
                <w:kern w:val="0"/>
                <w:sz w:val="20"/>
                <w:szCs w:val="20"/>
              </w:rPr>
              <w:t>通讯，彩色</w:t>
            </w:r>
            <w:r>
              <w:rPr>
                <w:rFonts w:eastAsia="等线"/>
                <w:color w:val="000000"/>
                <w:kern w:val="0"/>
                <w:sz w:val="20"/>
                <w:szCs w:val="20"/>
              </w:rPr>
              <w:t>LCD</w:t>
            </w:r>
            <w:r>
              <w:rPr>
                <w:rFonts w:hint="eastAsia" w:ascii="宋体" w:hAnsi="宋体"/>
                <w:color w:val="000000"/>
                <w:kern w:val="0"/>
                <w:sz w:val="20"/>
                <w:szCs w:val="20"/>
              </w:rPr>
              <w:t>触摸屏中文显示，集成显示</w:t>
            </w:r>
            <w:r>
              <w:rPr>
                <w:rFonts w:eastAsia="等线"/>
                <w:color w:val="000000"/>
                <w:kern w:val="0"/>
                <w:sz w:val="20"/>
                <w:szCs w:val="20"/>
              </w:rPr>
              <w:t>UPS</w:t>
            </w:r>
            <w:r>
              <w:rPr>
                <w:rFonts w:hint="eastAsia" w:ascii="宋体" w:hAnsi="宋体"/>
                <w:color w:val="000000"/>
                <w:kern w:val="0"/>
                <w:sz w:val="20"/>
                <w:szCs w:val="20"/>
              </w:rPr>
              <w:t>及配电信息</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台</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528"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UPS</w:t>
            </w:r>
            <w:r>
              <w:rPr>
                <w:rFonts w:hint="eastAsia" w:ascii="宋体" w:hAnsi="宋体"/>
                <w:color w:val="000000"/>
                <w:kern w:val="0"/>
                <w:sz w:val="20"/>
                <w:szCs w:val="20"/>
              </w:rPr>
              <w:t>功率模块</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eastAsia="等线"/>
                <w:color w:val="000000"/>
                <w:kern w:val="0"/>
                <w:sz w:val="20"/>
                <w:szCs w:val="20"/>
              </w:rPr>
              <w:t>1</w:t>
            </w:r>
            <w:r>
              <w:rPr>
                <w:rFonts w:hint="eastAsia" w:ascii="宋体" w:hAnsi="宋体"/>
                <w:color w:val="000000"/>
                <w:kern w:val="0"/>
                <w:sz w:val="20"/>
                <w:szCs w:val="20"/>
              </w:rPr>
              <w:t>、功率</w:t>
            </w:r>
            <w:r>
              <w:rPr>
                <w:rFonts w:eastAsia="等线"/>
                <w:color w:val="000000"/>
                <w:kern w:val="0"/>
                <w:sz w:val="20"/>
                <w:szCs w:val="20"/>
              </w:rPr>
              <w:t>30kVA</w:t>
            </w:r>
            <w:r>
              <w:rPr>
                <w:rFonts w:hint="eastAsia" w:ascii="宋体" w:hAnsi="宋体"/>
                <w:color w:val="000000"/>
                <w:kern w:val="0"/>
                <w:sz w:val="20"/>
                <w:szCs w:val="20"/>
              </w:rPr>
              <w:t>，支持热拔插</w:t>
            </w:r>
            <w:r>
              <w:rPr>
                <w:rFonts w:hint="eastAsia" w:ascii="宋体" w:hAnsi="宋体"/>
                <w:color w:val="000000"/>
                <w:kern w:val="0"/>
                <w:sz w:val="20"/>
                <w:szCs w:val="20"/>
              </w:rPr>
              <w:br w:type="textWrapping"/>
            </w:r>
            <w:r>
              <w:rPr>
                <w:rFonts w:eastAsia="等线"/>
                <w:color w:val="000000"/>
                <w:kern w:val="0"/>
                <w:sz w:val="20"/>
                <w:szCs w:val="20"/>
              </w:rPr>
              <w:t>2</w:t>
            </w:r>
            <w:r>
              <w:rPr>
                <w:rFonts w:hint="eastAsia" w:ascii="宋体" w:hAnsi="宋体"/>
                <w:color w:val="000000"/>
                <w:kern w:val="0"/>
                <w:sz w:val="20"/>
                <w:szCs w:val="20"/>
              </w:rPr>
              <w:t>、标准机架尺寸，高度</w:t>
            </w:r>
            <w:r>
              <w:rPr>
                <w:rFonts w:eastAsia="等线"/>
                <w:color w:val="000000"/>
                <w:kern w:val="0"/>
                <w:sz w:val="20"/>
                <w:szCs w:val="20"/>
              </w:rPr>
              <w:t>2U</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台</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3</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蓄电池</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eastAsia="等线"/>
                <w:color w:val="000000"/>
                <w:kern w:val="0"/>
                <w:sz w:val="20"/>
                <w:szCs w:val="20"/>
              </w:rPr>
              <w:t>100AH/12V</w:t>
            </w:r>
            <w:r>
              <w:rPr>
                <w:rFonts w:hint="eastAsia" w:ascii="宋体" w:hAnsi="宋体"/>
                <w:color w:val="000000"/>
                <w:kern w:val="0"/>
                <w:sz w:val="20"/>
                <w:szCs w:val="20"/>
              </w:rPr>
              <w:t>，铅酸蓄电池；含防漏液托盘，配套铅酸蓄电池</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个</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192</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电池架</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可放置</w:t>
            </w:r>
            <w:r>
              <w:rPr>
                <w:rFonts w:eastAsia="等线"/>
                <w:color w:val="000000"/>
                <w:kern w:val="0"/>
                <w:sz w:val="20"/>
                <w:szCs w:val="20"/>
              </w:rPr>
              <w:t>40</w:t>
            </w:r>
            <w:r>
              <w:rPr>
                <w:rFonts w:hint="eastAsia" w:ascii="宋体" w:hAnsi="宋体"/>
                <w:color w:val="000000"/>
                <w:kern w:val="0"/>
                <w:sz w:val="20"/>
                <w:szCs w:val="20"/>
              </w:rPr>
              <w:t>节，</w:t>
            </w:r>
            <w:r>
              <w:rPr>
                <w:rFonts w:eastAsia="等线"/>
                <w:color w:val="000000"/>
                <w:kern w:val="0"/>
                <w:sz w:val="20"/>
                <w:szCs w:val="20"/>
              </w:rPr>
              <w:t>6-GFM-100-YT</w:t>
            </w:r>
            <w:r>
              <w:rPr>
                <w:rFonts w:hint="eastAsia" w:ascii="宋体" w:hAnsi="宋体"/>
                <w:color w:val="000000"/>
                <w:kern w:val="0"/>
                <w:sz w:val="20"/>
                <w:szCs w:val="20"/>
              </w:rPr>
              <w:t>铅酸蓄电池</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6</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开关箱</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电池保护开关盒</w:t>
            </w:r>
            <w:r>
              <w:rPr>
                <w:rFonts w:eastAsia="等线"/>
                <w:color w:val="000000"/>
                <w:kern w:val="0"/>
                <w:sz w:val="20"/>
                <w:szCs w:val="20"/>
              </w:rPr>
              <w:t>-</w:t>
            </w:r>
            <w:r>
              <w:rPr>
                <w:rFonts w:hint="eastAsia" w:ascii="宋体" w:hAnsi="宋体"/>
                <w:color w:val="000000"/>
                <w:kern w:val="0"/>
                <w:sz w:val="20"/>
                <w:szCs w:val="20"/>
              </w:rPr>
              <w:t>匹配</w:t>
            </w:r>
            <w:r>
              <w:rPr>
                <w:rFonts w:eastAsia="等线"/>
                <w:color w:val="000000"/>
                <w:kern w:val="0"/>
                <w:sz w:val="20"/>
                <w:szCs w:val="20"/>
              </w:rPr>
              <w:t>UPS</w:t>
            </w:r>
            <w:r>
              <w:rPr>
                <w:rFonts w:hint="eastAsia" w:ascii="宋体" w:hAnsi="宋体"/>
                <w:color w:val="000000"/>
                <w:kern w:val="0"/>
                <w:sz w:val="20"/>
                <w:szCs w:val="20"/>
              </w:rPr>
              <w:t>蓄电池使用</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直流输出线</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含电池连接线及连接配件，标配电池柜之间及到电池开关箱的连接线及连接配件</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4</w:t>
            </w:r>
          </w:p>
        </w:tc>
      </w:tr>
      <w:tr>
        <w:tblPrEx>
          <w:tblCellMar>
            <w:top w:w="0" w:type="dxa"/>
            <w:left w:w="108" w:type="dxa"/>
            <w:bottom w:w="0" w:type="dxa"/>
            <w:right w:w="108" w:type="dxa"/>
          </w:tblCellMar>
        </w:tblPrEx>
        <w:trPr>
          <w:trHeight w:val="504"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配电柜（</w:t>
            </w:r>
            <w:r>
              <w:rPr>
                <w:rFonts w:eastAsia="等线"/>
                <w:color w:val="000000"/>
                <w:kern w:val="0"/>
                <w:sz w:val="20"/>
                <w:szCs w:val="20"/>
              </w:rPr>
              <w:t>UPS+</w:t>
            </w:r>
            <w:r>
              <w:rPr>
                <w:rFonts w:hint="eastAsia" w:ascii="宋体" w:hAnsi="宋体"/>
                <w:color w:val="000000"/>
                <w:kern w:val="0"/>
                <w:sz w:val="20"/>
                <w:szCs w:val="20"/>
              </w:rPr>
              <w:t>市电输出）</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eastAsia="等线"/>
                <w:color w:val="000000"/>
                <w:kern w:val="0"/>
                <w:sz w:val="20"/>
                <w:szCs w:val="20"/>
              </w:rPr>
              <w:t>320A/3P*1</w:t>
            </w:r>
            <w:r>
              <w:rPr>
                <w:rFonts w:hint="eastAsia" w:ascii="宋体" w:hAnsi="宋体"/>
                <w:color w:val="000000"/>
                <w:kern w:val="0"/>
                <w:sz w:val="20"/>
                <w:szCs w:val="20"/>
              </w:rPr>
              <w:t>塑壳，</w:t>
            </w:r>
            <w:r>
              <w:rPr>
                <w:rFonts w:eastAsia="等线"/>
                <w:color w:val="000000"/>
                <w:kern w:val="0"/>
                <w:sz w:val="20"/>
                <w:szCs w:val="20"/>
              </w:rPr>
              <w:t>250A/3P*3</w:t>
            </w:r>
            <w:r>
              <w:rPr>
                <w:rFonts w:hint="eastAsia" w:ascii="宋体" w:hAnsi="宋体"/>
                <w:color w:val="000000"/>
                <w:kern w:val="0"/>
                <w:sz w:val="20"/>
                <w:szCs w:val="20"/>
              </w:rPr>
              <w:t>塑壳，柜体定制，配套指示灯，接地排、零排</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台</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1560" w:hRule="atLeast"/>
        </w:trPr>
        <w:tc>
          <w:tcPr>
            <w:tcW w:w="60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2</w:t>
            </w:r>
          </w:p>
        </w:tc>
        <w:tc>
          <w:tcPr>
            <w:tcW w:w="74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空调系统</w:t>
            </w: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列间空调室内机</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eastAsia="等线"/>
                <w:color w:val="000000"/>
                <w:kern w:val="0"/>
                <w:sz w:val="20"/>
                <w:szCs w:val="20"/>
              </w:rPr>
              <w:t>1</w:t>
            </w:r>
            <w:r>
              <w:rPr>
                <w:rFonts w:hint="eastAsia" w:ascii="宋体" w:hAnsi="宋体"/>
                <w:color w:val="000000"/>
                <w:kern w:val="0"/>
                <w:sz w:val="20"/>
                <w:szCs w:val="20"/>
              </w:rPr>
              <w:t>、含室内机和室外机；</w:t>
            </w:r>
            <w:r>
              <w:rPr>
                <w:rFonts w:hint="eastAsia" w:ascii="宋体" w:hAnsi="宋体"/>
                <w:color w:val="000000"/>
                <w:kern w:val="0"/>
                <w:sz w:val="20"/>
                <w:szCs w:val="20"/>
              </w:rPr>
              <w:br w:type="textWrapping"/>
            </w:r>
            <w:r>
              <w:rPr>
                <w:rFonts w:eastAsia="等线"/>
                <w:color w:val="000000"/>
                <w:kern w:val="0"/>
                <w:sz w:val="20"/>
                <w:szCs w:val="20"/>
              </w:rPr>
              <w:t>2</w:t>
            </w:r>
            <w:r>
              <w:rPr>
                <w:rFonts w:hint="eastAsia" w:ascii="宋体" w:hAnsi="宋体"/>
                <w:color w:val="000000"/>
                <w:kern w:val="0"/>
                <w:sz w:val="20"/>
                <w:szCs w:val="20"/>
              </w:rPr>
              <w:t>、制冷量≥</w:t>
            </w:r>
            <w:r>
              <w:rPr>
                <w:rFonts w:eastAsia="等线"/>
                <w:color w:val="000000"/>
                <w:kern w:val="0"/>
                <w:sz w:val="20"/>
                <w:szCs w:val="20"/>
              </w:rPr>
              <w:t>40kW</w:t>
            </w:r>
            <w:r>
              <w:rPr>
                <w:rFonts w:hint="eastAsia" w:ascii="宋体" w:hAnsi="宋体"/>
                <w:color w:val="000000"/>
                <w:kern w:val="0"/>
                <w:sz w:val="20"/>
                <w:szCs w:val="20"/>
              </w:rPr>
              <w:t>，风量≥</w:t>
            </w:r>
            <w:r>
              <w:rPr>
                <w:rFonts w:eastAsia="等线"/>
                <w:color w:val="000000"/>
                <w:kern w:val="0"/>
                <w:sz w:val="20"/>
                <w:szCs w:val="20"/>
              </w:rPr>
              <w:t>8000m³/h</w:t>
            </w:r>
            <w:r>
              <w:rPr>
                <w:rFonts w:eastAsia="等线"/>
                <w:color w:val="000000"/>
                <w:kern w:val="0"/>
                <w:sz w:val="20"/>
                <w:szCs w:val="20"/>
              </w:rPr>
              <w:br w:type="textWrapping"/>
            </w:r>
            <w:r>
              <w:rPr>
                <w:rFonts w:eastAsia="等线"/>
                <w:color w:val="000000"/>
                <w:kern w:val="0"/>
                <w:sz w:val="20"/>
                <w:szCs w:val="20"/>
              </w:rPr>
              <w:t>3</w:t>
            </w:r>
            <w:r>
              <w:rPr>
                <w:rFonts w:hint="eastAsia" w:ascii="宋体" w:hAnsi="宋体"/>
                <w:color w:val="000000"/>
                <w:kern w:val="0"/>
                <w:sz w:val="20"/>
                <w:szCs w:val="20"/>
              </w:rPr>
              <w:t>、采用环保制冷剂，标配加热加湿、电子膨胀阀、</w:t>
            </w:r>
            <w:r>
              <w:rPr>
                <w:rFonts w:eastAsia="等线"/>
                <w:color w:val="000000"/>
                <w:kern w:val="0"/>
                <w:sz w:val="20"/>
                <w:szCs w:val="20"/>
              </w:rPr>
              <w:t>EC</w:t>
            </w:r>
            <w:r>
              <w:rPr>
                <w:rFonts w:hint="eastAsia" w:ascii="宋体" w:hAnsi="宋体"/>
                <w:color w:val="000000"/>
                <w:kern w:val="0"/>
                <w:sz w:val="20"/>
                <w:szCs w:val="20"/>
              </w:rPr>
              <w:t>风机、直流变频压缩机、漏水传感器（带式）</w:t>
            </w:r>
            <w:r>
              <w:rPr>
                <w:rFonts w:hint="eastAsia" w:ascii="宋体" w:hAnsi="宋体"/>
                <w:color w:val="000000"/>
                <w:kern w:val="0"/>
                <w:sz w:val="20"/>
                <w:szCs w:val="20"/>
              </w:rPr>
              <w:br w:type="textWrapping"/>
            </w:r>
            <w:r>
              <w:rPr>
                <w:rFonts w:eastAsia="等线"/>
                <w:color w:val="000000"/>
                <w:kern w:val="0"/>
                <w:sz w:val="20"/>
                <w:szCs w:val="20"/>
              </w:rPr>
              <w:t>4</w:t>
            </w:r>
            <w:r>
              <w:rPr>
                <w:rFonts w:hint="eastAsia" w:ascii="宋体" w:hAnsi="宋体"/>
                <w:color w:val="000000"/>
                <w:kern w:val="0"/>
                <w:sz w:val="20"/>
                <w:szCs w:val="20"/>
              </w:rPr>
              <w:t>、加湿量</w:t>
            </w:r>
            <w:r>
              <w:rPr>
                <w:rFonts w:eastAsia="等线"/>
                <w:color w:val="000000"/>
                <w:kern w:val="0"/>
                <w:sz w:val="20"/>
                <w:szCs w:val="20"/>
              </w:rPr>
              <w:t>3Kg/h</w:t>
            </w:r>
            <w:r>
              <w:rPr>
                <w:rFonts w:eastAsia="等线"/>
                <w:color w:val="000000"/>
                <w:kern w:val="0"/>
                <w:sz w:val="20"/>
                <w:szCs w:val="20"/>
              </w:rPr>
              <w:br w:type="textWrapping"/>
            </w:r>
            <w:r>
              <w:rPr>
                <w:rFonts w:eastAsia="等线"/>
                <w:color w:val="000000"/>
                <w:kern w:val="0"/>
                <w:sz w:val="20"/>
                <w:szCs w:val="20"/>
              </w:rPr>
              <w:t>5</w:t>
            </w:r>
            <w:r>
              <w:rPr>
                <w:rFonts w:hint="eastAsia" w:ascii="宋体" w:hAnsi="宋体"/>
                <w:color w:val="000000"/>
                <w:kern w:val="0"/>
                <w:sz w:val="20"/>
                <w:szCs w:val="20"/>
              </w:rPr>
              <w:t>、走管方式：下走管</w:t>
            </w:r>
          </w:p>
        </w:tc>
        <w:tc>
          <w:tcPr>
            <w:tcW w:w="462"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台</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2</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列间空调室外机</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室外机尺寸应符合现场情况</w:t>
            </w:r>
          </w:p>
        </w:tc>
        <w:tc>
          <w:tcPr>
            <w:tcW w:w="462"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台</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2</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空调配件</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空调配件</w:t>
            </w:r>
            <w:r>
              <w:rPr>
                <w:rFonts w:eastAsia="等线"/>
                <w:color w:val="000000"/>
                <w:kern w:val="0"/>
                <w:sz w:val="20"/>
                <w:szCs w:val="20"/>
              </w:rPr>
              <w:t>|</w:t>
            </w:r>
            <w:r>
              <w:rPr>
                <w:rFonts w:hint="eastAsia" w:ascii="宋体" w:hAnsi="宋体"/>
                <w:color w:val="000000"/>
                <w:kern w:val="0"/>
                <w:sz w:val="20"/>
                <w:szCs w:val="20"/>
              </w:rPr>
              <w:t>低温组件</w:t>
            </w:r>
            <w:r>
              <w:rPr>
                <w:rFonts w:eastAsia="等线"/>
                <w:color w:val="000000"/>
                <w:kern w:val="0"/>
                <w:sz w:val="20"/>
                <w:szCs w:val="20"/>
              </w:rPr>
              <w:t>|</w:t>
            </w:r>
            <w:r>
              <w:rPr>
                <w:rFonts w:hint="eastAsia" w:ascii="宋体" w:hAnsi="宋体"/>
                <w:color w:val="000000"/>
                <w:kern w:val="0"/>
                <w:sz w:val="20"/>
                <w:szCs w:val="20"/>
              </w:rPr>
              <w:t>其他配套</w:t>
            </w:r>
          </w:p>
        </w:tc>
        <w:tc>
          <w:tcPr>
            <w:tcW w:w="462"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2</w:t>
            </w:r>
          </w:p>
        </w:tc>
      </w:tr>
      <w:tr>
        <w:tblPrEx>
          <w:tblCellMar>
            <w:top w:w="0" w:type="dxa"/>
            <w:left w:w="108" w:type="dxa"/>
            <w:bottom w:w="0" w:type="dxa"/>
            <w:right w:w="108" w:type="dxa"/>
          </w:tblCellMar>
        </w:tblPrEx>
        <w:trPr>
          <w:trHeight w:val="528" w:hRule="atLeast"/>
        </w:trPr>
        <w:tc>
          <w:tcPr>
            <w:tcW w:w="60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3</w:t>
            </w:r>
          </w:p>
        </w:tc>
        <w:tc>
          <w:tcPr>
            <w:tcW w:w="74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机柜系统</w:t>
            </w: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600</w:t>
            </w:r>
            <w:r>
              <w:rPr>
                <w:rFonts w:hint="eastAsia" w:ascii="宋体" w:hAnsi="宋体"/>
                <w:color w:val="000000"/>
                <w:kern w:val="0"/>
                <w:sz w:val="20"/>
                <w:szCs w:val="20"/>
              </w:rPr>
              <w:t>宽机柜</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尺寸</w:t>
            </w:r>
            <w:r>
              <w:rPr>
                <w:rFonts w:eastAsia="等线"/>
                <w:color w:val="000000"/>
                <w:kern w:val="0"/>
                <w:sz w:val="20"/>
                <w:szCs w:val="20"/>
              </w:rPr>
              <w:t>(</w:t>
            </w:r>
            <w:r>
              <w:rPr>
                <w:rFonts w:hint="eastAsia" w:ascii="宋体" w:hAnsi="宋体"/>
                <w:color w:val="000000"/>
                <w:kern w:val="0"/>
                <w:sz w:val="20"/>
                <w:szCs w:val="20"/>
              </w:rPr>
              <w:t>宽</w:t>
            </w:r>
            <w:r>
              <w:rPr>
                <w:rFonts w:eastAsia="等线"/>
                <w:color w:val="000000"/>
                <w:kern w:val="0"/>
                <w:sz w:val="20"/>
                <w:szCs w:val="20"/>
              </w:rPr>
              <w:t>*</w:t>
            </w:r>
            <w:r>
              <w:rPr>
                <w:rFonts w:hint="eastAsia" w:ascii="宋体" w:hAnsi="宋体"/>
                <w:color w:val="000000"/>
                <w:kern w:val="0"/>
                <w:sz w:val="20"/>
                <w:szCs w:val="20"/>
              </w:rPr>
              <w:t>深</w:t>
            </w:r>
            <w:r>
              <w:rPr>
                <w:rFonts w:eastAsia="等线"/>
                <w:color w:val="000000"/>
                <w:kern w:val="0"/>
                <w:sz w:val="20"/>
                <w:szCs w:val="20"/>
              </w:rPr>
              <w:t>*</w:t>
            </w:r>
            <w:r>
              <w:rPr>
                <w:rFonts w:hint="eastAsia" w:ascii="宋体" w:hAnsi="宋体"/>
                <w:color w:val="000000"/>
                <w:kern w:val="0"/>
                <w:sz w:val="20"/>
                <w:szCs w:val="20"/>
              </w:rPr>
              <w:t>高</w:t>
            </w:r>
            <w:r>
              <w:rPr>
                <w:rFonts w:eastAsia="等线"/>
                <w:color w:val="000000"/>
                <w:kern w:val="0"/>
                <w:sz w:val="20"/>
                <w:szCs w:val="20"/>
              </w:rPr>
              <w:t>)600*1200*2000mm,</w:t>
            </w:r>
            <w:r>
              <w:rPr>
                <w:rFonts w:hint="eastAsia" w:ascii="宋体" w:hAnsi="宋体"/>
                <w:color w:val="000000"/>
                <w:kern w:val="0"/>
                <w:sz w:val="20"/>
                <w:szCs w:val="20"/>
              </w:rPr>
              <w:t>平板网孔门，前门单开，后门双开，不含边板、活动轮、支撑脚，标准配置有：配套螺钉螺母；标配垂直理线板；标配</w:t>
            </w:r>
            <w:r>
              <w:rPr>
                <w:rFonts w:eastAsia="等线"/>
                <w:color w:val="000000"/>
                <w:kern w:val="0"/>
                <w:sz w:val="20"/>
                <w:szCs w:val="20"/>
              </w:rPr>
              <w:t>PDU</w:t>
            </w:r>
            <w:r>
              <w:rPr>
                <w:rFonts w:hint="eastAsia" w:ascii="宋体" w:hAnsi="宋体"/>
                <w:color w:val="000000"/>
                <w:kern w:val="0"/>
                <w:sz w:val="20"/>
                <w:szCs w:val="20"/>
              </w:rPr>
              <w:t>安装板；标配挡风板；</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台</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14</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侧板</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机柜侧面封板，含上下两块</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侧</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6</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1U</w:t>
            </w:r>
            <w:r>
              <w:rPr>
                <w:rFonts w:hint="eastAsia" w:ascii="宋体" w:hAnsi="宋体"/>
                <w:color w:val="000000"/>
                <w:kern w:val="0"/>
                <w:sz w:val="20"/>
                <w:szCs w:val="20"/>
              </w:rPr>
              <w:t>封板</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eastAsia="等线"/>
                <w:color w:val="000000"/>
                <w:kern w:val="0"/>
                <w:sz w:val="20"/>
                <w:szCs w:val="20"/>
              </w:rPr>
              <w:t>1U</w:t>
            </w:r>
            <w:r>
              <w:rPr>
                <w:rFonts w:hint="eastAsia" w:ascii="宋体" w:hAnsi="宋体"/>
                <w:color w:val="000000"/>
                <w:kern w:val="0"/>
                <w:sz w:val="20"/>
                <w:szCs w:val="20"/>
              </w:rPr>
              <w:t>封板，用于机柜冷热风道隔离，免工具、快拆设计</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个</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130</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轻载层板</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承载</w:t>
            </w:r>
            <w:r>
              <w:rPr>
                <w:rFonts w:eastAsia="等线"/>
                <w:color w:val="000000"/>
                <w:kern w:val="0"/>
                <w:sz w:val="20"/>
                <w:szCs w:val="20"/>
              </w:rPr>
              <w:t>IT</w:t>
            </w:r>
            <w:r>
              <w:rPr>
                <w:rFonts w:hint="eastAsia" w:ascii="宋体" w:hAnsi="宋体"/>
                <w:color w:val="000000"/>
                <w:kern w:val="0"/>
                <w:sz w:val="20"/>
                <w:szCs w:val="20"/>
              </w:rPr>
              <w:t>设备承重不少于</w:t>
            </w:r>
            <w:r>
              <w:rPr>
                <w:rFonts w:eastAsia="等线"/>
                <w:color w:val="000000"/>
                <w:kern w:val="0"/>
                <w:sz w:val="20"/>
                <w:szCs w:val="20"/>
              </w:rPr>
              <w:t>100KG,</w:t>
            </w:r>
            <w:r>
              <w:rPr>
                <w:rFonts w:hint="eastAsia" w:ascii="宋体" w:hAnsi="宋体"/>
                <w:color w:val="000000"/>
                <w:kern w:val="0"/>
                <w:sz w:val="20"/>
                <w:szCs w:val="20"/>
              </w:rPr>
              <w:t>适用于</w:t>
            </w:r>
            <w:r>
              <w:rPr>
                <w:rFonts w:eastAsia="等线"/>
                <w:color w:val="000000"/>
                <w:kern w:val="0"/>
                <w:sz w:val="20"/>
                <w:szCs w:val="20"/>
              </w:rPr>
              <w:t>1200mm</w:t>
            </w:r>
            <w:r>
              <w:rPr>
                <w:rFonts w:hint="eastAsia" w:ascii="宋体" w:hAnsi="宋体"/>
                <w:color w:val="000000"/>
                <w:kern w:val="0"/>
                <w:sz w:val="20"/>
                <w:szCs w:val="20"/>
              </w:rPr>
              <w:t>深的服务器机柜</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个</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13</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L</w:t>
            </w:r>
            <w:r>
              <w:rPr>
                <w:rFonts w:hint="eastAsia" w:ascii="宋体" w:hAnsi="宋体"/>
                <w:color w:val="000000"/>
                <w:kern w:val="0"/>
                <w:sz w:val="20"/>
                <w:szCs w:val="20"/>
              </w:rPr>
              <w:t>型导轨</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承载没有导轨的设备</w:t>
            </w:r>
            <w:r>
              <w:rPr>
                <w:rFonts w:eastAsia="等线"/>
                <w:color w:val="000000"/>
                <w:kern w:val="0"/>
                <w:sz w:val="20"/>
                <w:szCs w:val="20"/>
              </w:rPr>
              <w:t>,</w:t>
            </w:r>
            <w:r>
              <w:rPr>
                <w:rFonts w:hint="eastAsia" w:ascii="宋体" w:hAnsi="宋体"/>
                <w:color w:val="000000"/>
                <w:kern w:val="0"/>
                <w:sz w:val="20"/>
                <w:szCs w:val="20"/>
              </w:rPr>
              <w:t>承重不少于</w:t>
            </w:r>
            <w:r>
              <w:rPr>
                <w:rFonts w:eastAsia="等线"/>
                <w:color w:val="000000"/>
                <w:kern w:val="0"/>
                <w:sz w:val="20"/>
                <w:szCs w:val="20"/>
              </w:rPr>
              <w:t>50KG</w:t>
            </w:r>
            <w:r>
              <w:rPr>
                <w:rFonts w:hint="eastAsia" w:ascii="宋体" w:hAnsi="宋体"/>
                <w:color w:val="000000"/>
                <w:kern w:val="0"/>
                <w:sz w:val="20"/>
                <w:szCs w:val="20"/>
              </w:rPr>
              <w:t>，适用于</w:t>
            </w:r>
            <w:r>
              <w:rPr>
                <w:rFonts w:eastAsia="等线"/>
                <w:color w:val="000000"/>
                <w:kern w:val="0"/>
                <w:sz w:val="20"/>
                <w:szCs w:val="20"/>
              </w:rPr>
              <w:t>1200mm</w:t>
            </w:r>
            <w:r>
              <w:rPr>
                <w:rFonts w:hint="eastAsia" w:ascii="宋体" w:hAnsi="宋体"/>
                <w:color w:val="000000"/>
                <w:kern w:val="0"/>
                <w:sz w:val="20"/>
                <w:szCs w:val="20"/>
              </w:rPr>
              <w:t>深的服务器机柜</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付</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13</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1U</w:t>
            </w:r>
            <w:r>
              <w:rPr>
                <w:rFonts w:hint="eastAsia" w:ascii="宋体" w:hAnsi="宋体"/>
                <w:color w:val="000000"/>
                <w:kern w:val="0"/>
                <w:sz w:val="20"/>
                <w:szCs w:val="20"/>
              </w:rPr>
              <w:t>水平理线架</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水平安装在</w:t>
            </w:r>
            <w:r>
              <w:rPr>
                <w:rFonts w:eastAsia="等线"/>
                <w:color w:val="000000"/>
                <w:kern w:val="0"/>
                <w:sz w:val="20"/>
                <w:szCs w:val="20"/>
              </w:rPr>
              <w:t>U</w:t>
            </w:r>
            <w:r>
              <w:rPr>
                <w:rFonts w:hint="eastAsia" w:ascii="宋体" w:hAnsi="宋体"/>
                <w:color w:val="000000"/>
                <w:kern w:val="0"/>
                <w:sz w:val="20"/>
                <w:szCs w:val="20"/>
              </w:rPr>
              <w:t>立柱安装孔上，用于网络设备前端理线</w:t>
            </w:r>
            <w:r>
              <w:rPr>
                <w:rFonts w:eastAsia="等线"/>
                <w:color w:val="000000"/>
                <w:kern w:val="0"/>
                <w:sz w:val="20"/>
                <w:szCs w:val="20"/>
              </w:rPr>
              <w:t>,</w:t>
            </w:r>
            <w:r>
              <w:rPr>
                <w:rFonts w:hint="eastAsia" w:ascii="宋体" w:hAnsi="宋体"/>
                <w:color w:val="000000"/>
                <w:kern w:val="0"/>
                <w:sz w:val="20"/>
                <w:szCs w:val="20"/>
              </w:rPr>
              <w:t>钣金喷粉黑色，高度</w:t>
            </w:r>
            <w:r>
              <w:rPr>
                <w:rFonts w:eastAsia="等线"/>
                <w:color w:val="000000"/>
                <w:kern w:val="0"/>
                <w:sz w:val="20"/>
                <w:szCs w:val="20"/>
              </w:rPr>
              <w:t>1U</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个</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13</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20</w:t>
            </w:r>
            <w:r>
              <w:rPr>
                <w:rFonts w:hint="eastAsia" w:ascii="宋体" w:hAnsi="宋体"/>
                <w:color w:val="000000"/>
                <w:kern w:val="0"/>
                <w:sz w:val="20"/>
                <w:szCs w:val="20"/>
              </w:rPr>
              <w:t>口</w:t>
            </w:r>
            <w:r>
              <w:rPr>
                <w:rFonts w:eastAsia="等线"/>
                <w:color w:val="000000"/>
                <w:kern w:val="0"/>
                <w:sz w:val="20"/>
                <w:szCs w:val="20"/>
              </w:rPr>
              <w:t>32A</w:t>
            </w:r>
            <w:r>
              <w:rPr>
                <w:rFonts w:hint="eastAsia" w:ascii="宋体" w:hAnsi="宋体"/>
                <w:color w:val="000000"/>
                <w:kern w:val="0"/>
                <w:sz w:val="20"/>
                <w:szCs w:val="20"/>
              </w:rPr>
              <w:t>竖装</w:t>
            </w:r>
            <w:r>
              <w:rPr>
                <w:rFonts w:eastAsia="等线"/>
                <w:color w:val="000000"/>
                <w:kern w:val="0"/>
                <w:sz w:val="20"/>
                <w:szCs w:val="20"/>
              </w:rPr>
              <w:t>PDU</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输入</w:t>
            </w:r>
            <w:r>
              <w:rPr>
                <w:rFonts w:eastAsia="等线"/>
                <w:color w:val="000000"/>
                <w:kern w:val="0"/>
                <w:sz w:val="20"/>
                <w:szCs w:val="20"/>
              </w:rPr>
              <w:t>32A</w:t>
            </w:r>
            <w:r>
              <w:rPr>
                <w:rFonts w:hint="eastAsia" w:ascii="宋体" w:hAnsi="宋体"/>
                <w:color w:val="000000"/>
                <w:kern w:val="0"/>
                <w:sz w:val="20"/>
                <w:szCs w:val="20"/>
              </w:rPr>
              <w:t>，输出</w:t>
            </w:r>
            <w:r>
              <w:rPr>
                <w:rFonts w:eastAsia="等线"/>
                <w:color w:val="000000"/>
                <w:kern w:val="0"/>
                <w:sz w:val="20"/>
                <w:szCs w:val="20"/>
              </w:rPr>
              <w:t>16</w:t>
            </w:r>
            <w:r>
              <w:rPr>
                <w:rFonts w:hint="eastAsia" w:ascii="宋体" w:hAnsi="宋体"/>
                <w:color w:val="000000"/>
                <w:kern w:val="0"/>
                <w:sz w:val="20"/>
                <w:szCs w:val="20"/>
              </w:rPr>
              <w:t>位国标</w:t>
            </w:r>
            <w:r>
              <w:rPr>
                <w:rFonts w:eastAsia="等线"/>
                <w:color w:val="000000"/>
                <w:kern w:val="0"/>
                <w:sz w:val="20"/>
                <w:szCs w:val="20"/>
              </w:rPr>
              <w:t>10A+4</w:t>
            </w:r>
            <w:r>
              <w:rPr>
                <w:rFonts w:hint="eastAsia" w:ascii="宋体" w:hAnsi="宋体"/>
                <w:color w:val="000000"/>
                <w:kern w:val="0"/>
                <w:sz w:val="20"/>
                <w:szCs w:val="20"/>
              </w:rPr>
              <w:t>位国标</w:t>
            </w:r>
            <w:r>
              <w:rPr>
                <w:rFonts w:eastAsia="等线"/>
                <w:color w:val="000000"/>
                <w:kern w:val="0"/>
                <w:sz w:val="20"/>
                <w:szCs w:val="20"/>
              </w:rPr>
              <w:t>16A</w:t>
            </w:r>
            <w:r>
              <w:rPr>
                <w:rFonts w:hint="eastAsia" w:ascii="宋体" w:hAnsi="宋体"/>
                <w:color w:val="000000"/>
                <w:kern w:val="0"/>
                <w:sz w:val="20"/>
                <w:szCs w:val="20"/>
              </w:rPr>
              <w:t>、接线盒、指示灯、右侧安装、蓝色、上进线</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个</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14</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20</w:t>
            </w:r>
            <w:r>
              <w:rPr>
                <w:rFonts w:hint="eastAsia" w:ascii="宋体" w:hAnsi="宋体"/>
                <w:color w:val="000000"/>
                <w:kern w:val="0"/>
                <w:sz w:val="20"/>
                <w:szCs w:val="20"/>
              </w:rPr>
              <w:t>口</w:t>
            </w:r>
            <w:r>
              <w:rPr>
                <w:rFonts w:eastAsia="等线"/>
                <w:color w:val="000000"/>
                <w:kern w:val="0"/>
                <w:sz w:val="20"/>
                <w:szCs w:val="20"/>
              </w:rPr>
              <w:t>32A</w:t>
            </w:r>
            <w:r>
              <w:rPr>
                <w:rFonts w:hint="eastAsia" w:ascii="宋体" w:hAnsi="宋体"/>
                <w:color w:val="000000"/>
                <w:kern w:val="0"/>
                <w:sz w:val="20"/>
                <w:szCs w:val="20"/>
              </w:rPr>
              <w:t>竖装</w:t>
            </w:r>
            <w:r>
              <w:rPr>
                <w:rFonts w:eastAsia="等线"/>
                <w:color w:val="000000"/>
                <w:kern w:val="0"/>
                <w:sz w:val="20"/>
                <w:szCs w:val="20"/>
              </w:rPr>
              <w:t>PDU</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输入</w:t>
            </w:r>
            <w:r>
              <w:rPr>
                <w:rFonts w:eastAsia="等线"/>
                <w:color w:val="000000"/>
                <w:kern w:val="0"/>
                <w:sz w:val="20"/>
                <w:szCs w:val="20"/>
              </w:rPr>
              <w:t>32A</w:t>
            </w:r>
            <w:r>
              <w:rPr>
                <w:rFonts w:hint="eastAsia" w:ascii="宋体" w:hAnsi="宋体"/>
                <w:color w:val="000000"/>
                <w:kern w:val="0"/>
                <w:sz w:val="20"/>
                <w:szCs w:val="20"/>
              </w:rPr>
              <w:t>，输出</w:t>
            </w:r>
            <w:r>
              <w:rPr>
                <w:rFonts w:eastAsia="等线"/>
                <w:color w:val="000000"/>
                <w:kern w:val="0"/>
                <w:sz w:val="20"/>
                <w:szCs w:val="20"/>
              </w:rPr>
              <w:t>16</w:t>
            </w:r>
            <w:r>
              <w:rPr>
                <w:rFonts w:hint="eastAsia" w:ascii="宋体" w:hAnsi="宋体"/>
                <w:color w:val="000000"/>
                <w:kern w:val="0"/>
                <w:sz w:val="20"/>
                <w:szCs w:val="20"/>
              </w:rPr>
              <w:t>位国标</w:t>
            </w:r>
            <w:r>
              <w:rPr>
                <w:rFonts w:eastAsia="等线"/>
                <w:color w:val="000000"/>
                <w:kern w:val="0"/>
                <w:sz w:val="20"/>
                <w:szCs w:val="20"/>
              </w:rPr>
              <w:t>10A+4</w:t>
            </w:r>
            <w:r>
              <w:rPr>
                <w:rFonts w:hint="eastAsia" w:ascii="宋体" w:hAnsi="宋体"/>
                <w:color w:val="000000"/>
                <w:kern w:val="0"/>
                <w:sz w:val="20"/>
                <w:szCs w:val="20"/>
              </w:rPr>
              <w:t>位国标</w:t>
            </w:r>
            <w:r>
              <w:rPr>
                <w:rFonts w:eastAsia="等线"/>
                <w:color w:val="000000"/>
                <w:kern w:val="0"/>
                <w:sz w:val="20"/>
                <w:szCs w:val="20"/>
              </w:rPr>
              <w:t>16A</w:t>
            </w:r>
            <w:r>
              <w:rPr>
                <w:rFonts w:hint="eastAsia" w:ascii="宋体" w:hAnsi="宋体"/>
                <w:color w:val="000000"/>
                <w:kern w:val="0"/>
                <w:sz w:val="20"/>
                <w:szCs w:val="20"/>
              </w:rPr>
              <w:t>、接线盒、指示灯、左侧安装、黑色、上进线</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个</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14</w:t>
            </w:r>
          </w:p>
        </w:tc>
      </w:tr>
      <w:tr>
        <w:tblPrEx>
          <w:tblCellMar>
            <w:top w:w="0" w:type="dxa"/>
            <w:left w:w="108" w:type="dxa"/>
            <w:bottom w:w="0" w:type="dxa"/>
            <w:right w:w="108" w:type="dxa"/>
          </w:tblCellMar>
        </w:tblPrEx>
        <w:trPr>
          <w:trHeight w:val="768" w:hRule="atLeast"/>
        </w:trPr>
        <w:tc>
          <w:tcPr>
            <w:tcW w:w="60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4</w:t>
            </w:r>
          </w:p>
        </w:tc>
        <w:tc>
          <w:tcPr>
            <w:tcW w:w="74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微模块封闭通道系统</w:t>
            </w: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全封闭自动平移门</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含左右两侧</w:t>
            </w:r>
            <w:r>
              <w:rPr>
                <w:rFonts w:eastAsia="等线"/>
                <w:color w:val="000000"/>
                <w:kern w:val="0"/>
                <w:sz w:val="20"/>
                <w:szCs w:val="20"/>
              </w:rPr>
              <w:t>2</w:t>
            </w:r>
            <w:r>
              <w:rPr>
                <w:rFonts w:hint="eastAsia" w:ascii="宋体" w:hAnsi="宋体"/>
                <w:color w:val="000000"/>
                <w:kern w:val="0"/>
                <w:sz w:val="20"/>
                <w:szCs w:val="20"/>
              </w:rPr>
              <w:t>个自动平移门，含内部框架，</w:t>
            </w:r>
            <w:r>
              <w:rPr>
                <w:rFonts w:eastAsia="等线"/>
                <w:color w:val="000000"/>
                <w:kern w:val="0"/>
                <w:sz w:val="20"/>
                <w:szCs w:val="20"/>
              </w:rPr>
              <w:t>12mm</w:t>
            </w:r>
            <w:r>
              <w:rPr>
                <w:rFonts w:hint="eastAsia" w:ascii="宋体" w:hAnsi="宋体"/>
                <w:color w:val="000000"/>
                <w:kern w:val="0"/>
                <w:sz w:val="20"/>
                <w:szCs w:val="20"/>
              </w:rPr>
              <w:t>厚钢化玻璃；标准配置有：出门按钮、紧急出门按钮、防夹功能、玻璃门可隐藏于端门、集成人体感应</w:t>
            </w:r>
            <w:r>
              <w:rPr>
                <w:rFonts w:eastAsia="等线"/>
                <w:color w:val="000000"/>
                <w:kern w:val="0"/>
                <w:sz w:val="20"/>
                <w:szCs w:val="20"/>
              </w:rPr>
              <w:t>+</w:t>
            </w:r>
            <w:r>
              <w:rPr>
                <w:rFonts w:hint="eastAsia" w:ascii="宋体" w:hAnsi="宋体"/>
                <w:color w:val="000000"/>
                <w:kern w:val="0"/>
                <w:sz w:val="20"/>
                <w:szCs w:val="20"/>
              </w:rPr>
              <w:t>门楣氛围灯（</w:t>
            </w:r>
            <w:r>
              <w:rPr>
                <w:rFonts w:eastAsia="等线"/>
                <w:color w:val="000000"/>
                <w:kern w:val="0"/>
                <w:sz w:val="20"/>
                <w:szCs w:val="20"/>
              </w:rPr>
              <w:t>LOGO</w:t>
            </w:r>
            <w:r>
              <w:rPr>
                <w:rFonts w:hint="eastAsia" w:ascii="宋体" w:hAnsi="宋体"/>
                <w:color w:val="000000"/>
                <w:kern w:val="0"/>
                <w:sz w:val="20"/>
                <w:szCs w:val="20"/>
              </w:rPr>
              <w:t>灯与蓝色点阵氛围灯）、配置触摸屏；</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2</w:t>
            </w:r>
          </w:p>
        </w:tc>
      </w:tr>
      <w:tr>
        <w:tblPrEx>
          <w:tblCellMar>
            <w:top w:w="0" w:type="dxa"/>
            <w:left w:w="108" w:type="dxa"/>
            <w:bottom w:w="0" w:type="dxa"/>
            <w:right w:w="108" w:type="dxa"/>
          </w:tblCellMar>
        </w:tblPrEx>
        <w:trPr>
          <w:trHeight w:val="528"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固定天窗</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装在冷通道两端，控制天窗</w:t>
            </w:r>
            <w:r>
              <w:rPr>
                <w:rFonts w:eastAsia="等线"/>
                <w:color w:val="000000"/>
                <w:kern w:val="0"/>
                <w:sz w:val="20"/>
                <w:szCs w:val="20"/>
              </w:rPr>
              <w:t>-</w:t>
            </w:r>
            <w:r>
              <w:rPr>
                <w:rFonts w:hint="eastAsia" w:ascii="宋体" w:hAnsi="宋体"/>
                <w:color w:val="000000"/>
                <w:kern w:val="0"/>
                <w:sz w:val="20"/>
                <w:szCs w:val="20"/>
              </w:rPr>
              <w:t>用于</w:t>
            </w:r>
            <w:r>
              <w:rPr>
                <w:rFonts w:eastAsia="等线"/>
                <w:color w:val="000000"/>
                <w:kern w:val="0"/>
                <w:sz w:val="20"/>
                <w:szCs w:val="20"/>
              </w:rPr>
              <w:t>600mm</w:t>
            </w:r>
            <w:r>
              <w:rPr>
                <w:rFonts w:hint="eastAsia" w:ascii="宋体" w:hAnsi="宋体"/>
                <w:color w:val="000000"/>
                <w:kern w:val="0"/>
                <w:sz w:val="20"/>
                <w:szCs w:val="20"/>
              </w:rPr>
              <w:t>宽机柜</w:t>
            </w:r>
            <w:r>
              <w:rPr>
                <w:rFonts w:eastAsia="等线"/>
                <w:color w:val="000000"/>
                <w:kern w:val="0"/>
                <w:sz w:val="20"/>
                <w:szCs w:val="20"/>
              </w:rPr>
              <w:t>1200mm</w:t>
            </w:r>
            <w:r>
              <w:rPr>
                <w:rFonts w:hint="eastAsia" w:ascii="宋体" w:hAnsi="宋体"/>
                <w:color w:val="000000"/>
                <w:kern w:val="0"/>
                <w:sz w:val="20"/>
                <w:szCs w:val="20"/>
              </w:rPr>
              <w:t>宽密封通道，宽度可选</w:t>
            </w:r>
            <w:r>
              <w:rPr>
                <w:rFonts w:eastAsia="等线"/>
                <w:color w:val="000000"/>
                <w:kern w:val="0"/>
                <w:sz w:val="20"/>
                <w:szCs w:val="20"/>
              </w:rPr>
              <w:t>:</w:t>
            </w:r>
            <w:r>
              <w:rPr>
                <w:rFonts w:hint="eastAsia" w:ascii="宋体" w:hAnsi="宋体"/>
                <w:color w:val="000000"/>
                <w:kern w:val="0"/>
                <w:sz w:val="20"/>
                <w:szCs w:val="20"/>
              </w:rPr>
              <w:t>（</w:t>
            </w:r>
            <w:r>
              <w:rPr>
                <w:rFonts w:eastAsia="等线"/>
                <w:color w:val="000000"/>
                <w:kern w:val="0"/>
                <w:sz w:val="20"/>
                <w:szCs w:val="20"/>
              </w:rPr>
              <w:t>300~600mm</w:t>
            </w:r>
            <w:r>
              <w:rPr>
                <w:rFonts w:hint="eastAsia" w:ascii="宋体" w:hAnsi="宋体"/>
                <w:color w:val="000000"/>
                <w:kern w:val="0"/>
                <w:sz w:val="20"/>
                <w:szCs w:val="20"/>
              </w:rPr>
              <w:t>）</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2</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单翻活动天窗</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eastAsia="等线"/>
                <w:color w:val="000000"/>
                <w:kern w:val="0"/>
                <w:sz w:val="20"/>
                <w:szCs w:val="20"/>
              </w:rPr>
              <w:t>600mm</w:t>
            </w:r>
            <w:r>
              <w:rPr>
                <w:rFonts w:hint="eastAsia" w:ascii="宋体" w:hAnsi="宋体"/>
                <w:color w:val="000000"/>
                <w:kern w:val="0"/>
                <w:sz w:val="20"/>
                <w:szCs w:val="20"/>
              </w:rPr>
              <w:t>宽单开，用于</w:t>
            </w:r>
            <w:r>
              <w:rPr>
                <w:rFonts w:eastAsia="等线"/>
                <w:color w:val="000000"/>
                <w:kern w:val="0"/>
                <w:sz w:val="20"/>
                <w:szCs w:val="20"/>
              </w:rPr>
              <w:t>1200mm</w:t>
            </w:r>
            <w:r>
              <w:rPr>
                <w:rFonts w:hint="eastAsia" w:ascii="宋体" w:hAnsi="宋体"/>
                <w:color w:val="000000"/>
                <w:kern w:val="0"/>
                <w:sz w:val="20"/>
                <w:szCs w:val="20"/>
              </w:rPr>
              <w:t>密封通道</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6</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天窗支撑板</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支撑天窗，高度</w:t>
            </w:r>
            <w:r>
              <w:rPr>
                <w:rFonts w:eastAsia="等线"/>
                <w:color w:val="000000"/>
                <w:kern w:val="0"/>
                <w:sz w:val="20"/>
                <w:szCs w:val="20"/>
              </w:rPr>
              <w:t>200mm</w:t>
            </w:r>
            <w:r>
              <w:rPr>
                <w:rFonts w:hint="eastAsia" w:ascii="宋体" w:hAnsi="宋体"/>
                <w:color w:val="000000"/>
                <w:kern w:val="0"/>
                <w:sz w:val="20"/>
                <w:szCs w:val="20"/>
              </w:rPr>
              <w:t>，按冷通道长度计算</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米</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4.8</w:t>
            </w:r>
          </w:p>
        </w:tc>
      </w:tr>
      <w:tr>
        <w:tblPrEx>
          <w:tblCellMar>
            <w:top w:w="0" w:type="dxa"/>
            <w:left w:w="108" w:type="dxa"/>
            <w:bottom w:w="0" w:type="dxa"/>
            <w:right w:w="108" w:type="dxa"/>
          </w:tblCellMar>
        </w:tblPrEx>
        <w:trPr>
          <w:trHeight w:val="528"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强电梯型桥架</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eastAsia="等线"/>
                <w:color w:val="000000"/>
                <w:kern w:val="0"/>
                <w:sz w:val="20"/>
                <w:szCs w:val="20"/>
              </w:rPr>
              <w:t>1</w:t>
            </w:r>
            <w:r>
              <w:rPr>
                <w:rFonts w:hint="eastAsia" w:ascii="宋体" w:hAnsi="宋体"/>
                <w:color w:val="000000"/>
                <w:kern w:val="0"/>
                <w:sz w:val="20"/>
                <w:szCs w:val="20"/>
              </w:rPr>
              <w:t>、线槽</w:t>
            </w:r>
            <w:r>
              <w:rPr>
                <w:rFonts w:eastAsia="等线"/>
                <w:color w:val="000000"/>
                <w:kern w:val="0"/>
                <w:sz w:val="20"/>
                <w:szCs w:val="20"/>
              </w:rPr>
              <w:t>-</w:t>
            </w:r>
            <w:r>
              <w:rPr>
                <w:rFonts w:hint="eastAsia" w:ascii="宋体" w:hAnsi="宋体"/>
                <w:color w:val="000000"/>
                <w:kern w:val="0"/>
                <w:sz w:val="20"/>
                <w:szCs w:val="20"/>
              </w:rPr>
              <w:t>装在机柜顶部用于强电布线，含中间隔板，配套安装支架。</w:t>
            </w:r>
            <w:r>
              <w:rPr>
                <w:rFonts w:hint="eastAsia" w:ascii="宋体" w:hAnsi="宋体"/>
                <w:color w:val="000000"/>
                <w:kern w:val="0"/>
                <w:sz w:val="20"/>
                <w:szCs w:val="20"/>
              </w:rPr>
              <w:br w:type="textWrapping"/>
            </w:r>
            <w:r>
              <w:rPr>
                <w:rFonts w:eastAsia="等线"/>
                <w:color w:val="000000"/>
                <w:kern w:val="0"/>
                <w:sz w:val="20"/>
                <w:szCs w:val="20"/>
              </w:rPr>
              <w:t>2</w:t>
            </w:r>
            <w:r>
              <w:rPr>
                <w:rFonts w:hint="eastAsia" w:ascii="宋体" w:hAnsi="宋体"/>
                <w:color w:val="000000"/>
                <w:kern w:val="0"/>
                <w:sz w:val="20"/>
                <w:szCs w:val="20"/>
              </w:rPr>
              <w:t>、含</w:t>
            </w:r>
            <w:r>
              <w:rPr>
                <w:rFonts w:eastAsia="等线"/>
                <w:color w:val="000000"/>
                <w:kern w:val="0"/>
                <w:sz w:val="20"/>
                <w:szCs w:val="20"/>
              </w:rPr>
              <w:t>3</w:t>
            </w:r>
            <w:r>
              <w:rPr>
                <w:rFonts w:hint="eastAsia" w:ascii="宋体" w:hAnsi="宋体"/>
                <w:color w:val="000000"/>
                <w:kern w:val="0"/>
                <w:sz w:val="20"/>
                <w:szCs w:val="20"/>
              </w:rPr>
              <w:t>米强电桥架，用于顶部强电跨通道过线。</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米</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4.8</w:t>
            </w:r>
          </w:p>
        </w:tc>
      </w:tr>
      <w:tr>
        <w:tblPrEx>
          <w:tblCellMar>
            <w:top w:w="0" w:type="dxa"/>
            <w:left w:w="108" w:type="dxa"/>
            <w:bottom w:w="0" w:type="dxa"/>
            <w:right w:w="108" w:type="dxa"/>
          </w:tblCellMar>
        </w:tblPrEx>
        <w:trPr>
          <w:trHeight w:val="528"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弱电梯型桥架</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eastAsia="等线"/>
                <w:color w:val="000000"/>
                <w:kern w:val="0"/>
                <w:sz w:val="20"/>
                <w:szCs w:val="20"/>
              </w:rPr>
              <w:t>1</w:t>
            </w:r>
            <w:r>
              <w:rPr>
                <w:rFonts w:hint="eastAsia" w:ascii="宋体" w:hAnsi="宋体"/>
                <w:color w:val="000000"/>
                <w:kern w:val="0"/>
                <w:sz w:val="20"/>
                <w:szCs w:val="20"/>
              </w:rPr>
              <w:t>、线槽</w:t>
            </w:r>
            <w:r>
              <w:rPr>
                <w:rFonts w:eastAsia="等线"/>
                <w:color w:val="000000"/>
                <w:kern w:val="0"/>
                <w:sz w:val="20"/>
                <w:szCs w:val="20"/>
              </w:rPr>
              <w:t>-</w:t>
            </w:r>
            <w:r>
              <w:rPr>
                <w:rFonts w:hint="eastAsia" w:ascii="宋体" w:hAnsi="宋体"/>
                <w:color w:val="000000"/>
                <w:kern w:val="0"/>
                <w:sz w:val="20"/>
                <w:szCs w:val="20"/>
              </w:rPr>
              <w:t>装在机柜顶部，用于弱电布线，配套安装支架。</w:t>
            </w:r>
            <w:r>
              <w:rPr>
                <w:rFonts w:hint="eastAsia" w:ascii="宋体" w:hAnsi="宋体"/>
                <w:color w:val="000000"/>
                <w:kern w:val="0"/>
                <w:sz w:val="20"/>
                <w:szCs w:val="20"/>
              </w:rPr>
              <w:br w:type="textWrapping"/>
            </w:r>
            <w:r>
              <w:rPr>
                <w:rFonts w:eastAsia="等线"/>
                <w:color w:val="000000"/>
                <w:kern w:val="0"/>
                <w:sz w:val="20"/>
                <w:szCs w:val="20"/>
              </w:rPr>
              <w:t>2</w:t>
            </w:r>
            <w:r>
              <w:rPr>
                <w:rFonts w:hint="eastAsia" w:ascii="宋体" w:hAnsi="宋体"/>
                <w:color w:val="000000"/>
                <w:kern w:val="0"/>
                <w:sz w:val="20"/>
                <w:szCs w:val="20"/>
              </w:rPr>
              <w:t>、含</w:t>
            </w:r>
            <w:r>
              <w:rPr>
                <w:rFonts w:eastAsia="等线"/>
                <w:color w:val="000000"/>
                <w:kern w:val="0"/>
                <w:sz w:val="20"/>
                <w:szCs w:val="20"/>
              </w:rPr>
              <w:t>1.5</w:t>
            </w:r>
            <w:r>
              <w:rPr>
                <w:rFonts w:hint="eastAsia" w:ascii="宋体" w:hAnsi="宋体"/>
                <w:color w:val="000000"/>
                <w:kern w:val="0"/>
                <w:sz w:val="20"/>
                <w:szCs w:val="20"/>
              </w:rPr>
              <w:t>米弱电桥架，用于顶部弱电跨通道过线。</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米</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4.8</w:t>
            </w:r>
          </w:p>
        </w:tc>
      </w:tr>
      <w:tr>
        <w:tblPrEx>
          <w:tblCellMar>
            <w:top w:w="0" w:type="dxa"/>
            <w:left w:w="108" w:type="dxa"/>
            <w:bottom w:w="0" w:type="dxa"/>
            <w:right w:w="108" w:type="dxa"/>
          </w:tblCellMar>
        </w:tblPrEx>
        <w:trPr>
          <w:trHeight w:val="528"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LED</w:t>
            </w:r>
            <w:r>
              <w:rPr>
                <w:rFonts w:hint="eastAsia" w:ascii="宋体" w:hAnsi="宋体"/>
                <w:color w:val="000000"/>
                <w:kern w:val="0"/>
                <w:sz w:val="20"/>
                <w:szCs w:val="20"/>
              </w:rPr>
              <w:t>照明灯</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eastAsia="等线"/>
                <w:color w:val="000000"/>
                <w:kern w:val="0"/>
                <w:sz w:val="20"/>
                <w:szCs w:val="20"/>
              </w:rPr>
              <w:t>1</w:t>
            </w:r>
            <w:r>
              <w:rPr>
                <w:rFonts w:hint="eastAsia" w:ascii="宋体" w:hAnsi="宋体"/>
                <w:color w:val="000000"/>
                <w:kern w:val="0"/>
                <w:sz w:val="20"/>
                <w:szCs w:val="20"/>
              </w:rPr>
              <w:t>、</w:t>
            </w:r>
            <w:r>
              <w:rPr>
                <w:rFonts w:eastAsia="等线"/>
                <w:color w:val="000000"/>
                <w:kern w:val="0"/>
                <w:sz w:val="20"/>
                <w:szCs w:val="20"/>
              </w:rPr>
              <w:t>LED</w:t>
            </w:r>
            <w:r>
              <w:rPr>
                <w:rFonts w:hint="eastAsia" w:ascii="宋体" w:hAnsi="宋体"/>
                <w:color w:val="000000"/>
                <w:kern w:val="0"/>
                <w:sz w:val="20"/>
                <w:szCs w:val="20"/>
              </w:rPr>
              <w:t>照明灯，</w:t>
            </w:r>
            <w:r>
              <w:rPr>
                <w:rFonts w:eastAsia="等线"/>
                <w:color w:val="000000"/>
                <w:kern w:val="0"/>
                <w:sz w:val="20"/>
                <w:szCs w:val="20"/>
              </w:rPr>
              <w:t>T5</w:t>
            </w:r>
            <w:r>
              <w:rPr>
                <w:rFonts w:hint="eastAsia" w:ascii="宋体" w:hAnsi="宋体"/>
                <w:color w:val="000000"/>
                <w:kern w:val="0"/>
                <w:sz w:val="20"/>
                <w:szCs w:val="20"/>
              </w:rPr>
              <w:t>灯管，</w:t>
            </w:r>
            <w:r>
              <w:rPr>
                <w:rFonts w:eastAsia="等线"/>
                <w:color w:val="000000"/>
                <w:kern w:val="0"/>
                <w:sz w:val="20"/>
                <w:szCs w:val="20"/>
              </w:rPr>
              <w:t>220Vac</w:t>
            </w:r>
            <w:r>
              <w:rPr>
                <w:rFonts w:hint="eastAsia" w:ascii="宋体" w:hAnsi="宋体"/>
                <w:color w:val="000000"/>
                <w:kern w:val="0"/>
                <w:sz w:val="20"/>
                <w:szCs w:val="20"/>
              </w:rPr>
              <w:t>；</w:t>
            </w:r>
            <w:r>
              <w:rPr>
                <w:rFonts w:hint="eastAsia" w:ascii="宋体" w:hAnsi="宋体"/>
                <w:color w:val="000000"/>
                <w:kern w:val="0"/>
                <w:sz w:val="20"/>
                <w:szCs w:val="20"/>
              </w:rPr>
              <w:br w:type="textWrapping"/>
            </w:r>
            <w:r>
              <w:rPr>
                <w:rFonts w:eastAsia="等线"/>
                <w:color w:val="000000"/>
                <w:kern w:val="0"/>
                <w:sz w:val="20"/>
                <w:szCs w:val="20"/>
              </w:rPr>
              <w:t>2</w:t>
            </w:r>
            <w:r>
              <w:rPr>
                <w:rFonts w:hint="eastAsia" w:ascii="宋体" w:hAnsi="宋体"/>
                <w:color w:val="000000"/>
                <w:kern w:val="0"/>
                <w:sz w:val="20"/>
                <w:szCs w:val="20"/>
              </w:rPr>
              <w:t>、支持人体感应开关控制。</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个</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8</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人体感应开关</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照明灯人体感应控制</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个</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2</w:t>
            </w:r>
          </w:p>
        </w:tc>
      </w:tr>
      <w:tr>
        <w:tblPrEx>
          <w:tblCellMar>
            <w:top w:w="0" w:type="dxa"/>
            <w:left w:w="108" w:type="dxa"/>
            <w:bottom w:w="0" w:type="dxa"/>
            <w:right w:w="108" w:type="dxa"/>
          </w:tblCellMar>
        </w:tblPrEx>
        <w:trPr>
          <w:trHeight w:val="528"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白色门框氛围灯</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eastAsia="等线"/>
                <w:color w:val="000000"/>
                <w:kern w:val="0"/>
                <w:sz w:val="20"/>
                <w:szCs w:val="20"/>
              </w:rPr>
              <w:t>1</w:t>
            </w:r>
            <w:r>
              <w:rPr>
                <w:rFonts w:hint="eastAsia" w:ascii="宋体" w:hAnsi="宋体"/>
                <w:color w:val="000000"/>
                <w:kern w:val="0"/>
                <w:sz w:val="20"/>
                <w:szCs w:val="20"/>
              </w:rPr>
              <w:t>、含白色</w:t>
            </w:r>
            <w:r>
              <w:rPr>
                <w:rFonts w:eastAsia="等线"/>
                <w:color w:val="000000"/>
                <w:kern w:val="0"/>
                <w:sz w:val="20"/>
                <w:szCs w:val="20"/>
              </w:rPr>
              <w:t>LED</w:t>
            </w:r>
            <w:r>
              <w:rPr>
                <w:rFonts w:hint="eastAsia" w:ascii="宋体" w:hAnsi="宋体"/>
                <w:color w:val="000000"/>
                <w:kern w:val="0"/>
                <w:sz w:val="20"/>
                <w:szCs w:val="20"/>
              </w:rPr>
              <w:t>灯带；</w:t>
            </w:r>
            <w:r>
              <w:rPr>
                <w:rFonts w:hint="eastAsia" w:ascii="宋体" w:hAnsi="宋体"/>
                <w:color w:val="000000"/>
                <w:kern w:val="0"/>
                <w:sz w:val="20"/>
                <w:szCs w:val="20"/>
              </w:rPr>
              <w:br w:type="textWrapping"/>
            </w:r>
            <w:r>
              <w:rPr>
                <w:rFonts w:eastAsia="等线"/>
                <w:color w:val="000000"/>
                <w:kern w:val="0"/>
                <w:sz w:val="20"/>
                <w:szCs w:val="20"/>
              </w:rPr>
              <w:t>2</w:t>
            </w:r>
            <w:r>
              <w:rPr>
                <w:rFonts w:hint="eastAsia" w:ascii="宋体" w:hAnsi="宋体"/>
                <w:color w:val="000000"/>
                <w:kern w:val="0"/>
                <w:sz w:val="20"/>
                <w:szCs w:val="20"/>
              </w:rPr>
              <w:t>、支持人体感应。</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个</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2</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冷通道辅材包</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含线材（网线、屏蔽线、电缆）、螺钉、端子、贴标等</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冷通道封堵包</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含防水圈、过滤棉、扣式塞头、过线圈等</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276" w:hRule="atLeast"/>
        </w:trPr>
        <w:tc>
          <w:tcPr>
            <w:tcW w:w="60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5</w:t>
            </w:r>
          </w:p>
        </w:tc>
        <w:tc>
          <w:tcPr>
            <w:tcW w:w="74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微模块动环监控系统</w:t>
            </w: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精密配电监测软件</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配电柜主路和支路数据、状态监测接口协议软件，采用配电监测模块或配电屏</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台</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UPS</w:t>
            </w:r>
            <w:r>
              <w:rPr>
                <w:rFonts w:hint="eastAsia" w:ascii="宋体" w:hAnsi="宋体"/>
                <w:color w:val="000000"/>
                <w:kern w:val="0"/>
                <w:sz w:val="20"/>
                <w:szCs w:val="20"/>
              </w:rPr>
              <w:t>监控软件</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eastAsia="等线"/>
                <w:color w:val="000000"/>
                <w:kern w:val="0"/>
                <w:sz w:val="20"/>
                <w:szCs w:val="20"/>
              </w:rPr>
              <w:t>UPS</w:t>
            </w:r>
            <w:r>
              <w:rPr>
                <w:rFonts w:hint="eastAsia" w:ascii="宋体" w:hAnsi="宋体"/>
                <w:color w:val="000000"/>
                <w:kern w:val="0"/>
                <w:sz w:val="20"/>
                <w:szCs w:val="20"/>
              </w:rPr>
              <w:t>数据和工作状态监测接口软件</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台</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精密空调监控软件</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精密空调数据和工作状态监测接口软件</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台</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2</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温湿度采集器</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机房环境的高精度温湿度传感器，支持主流通讯方式，抗干扰性强，稳定可靠。</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个</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2</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温湿度采集器</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温湿度传感器，靠墙或吸顶安装，</w:t>
            </w:r>
            <w:r>
              <w:rPr>
                <w:rFonts w:eastAsia="等线"/>
                <w:color w:val="000000"/>
                <w:kern w:val="0"/>
                <w:sz w:val="20"/>
                <w:szCs w:val="20"/>
              </w:rPr>
              <w:t>RS485</w:t>
            </w:r>
            <w:r>
              <w:rPr>
                <w:rFonts w:hint="eastAsia" w:ascii="宋体" w:hAnsi="宋体"/>
                <w:color w:val="000000"/>
                <w:kern w:val="0"/>
                <w:sz w:val="20"/>
                <w:szCs w:val="20"/>
              </w:rPr>
              <w:t>接口。</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个</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4</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温湿度监测软件</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温湿度模块数据监测接口软件</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个</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6</w:t>
            </w:r>
          </w:p>
        </w:tc>
      </w:tr>
      <w:tr>
        <w:tblPrEx>
          <w:tblCellMar>
            <w:top w:w="0" w:type="dxa"/>
            <w:left w:w="108" w:type="dxa"/>
            <w:bottom w:w="0" w:type="dxa"/>
            <w:right w:w="108" w:type="dxa"/>
          </w:tblCellMar>
        </w:tblPrEx>
        <w:trPr>
          <w:trHeight w:val="504"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不定位漏水控制器</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检测漏水状态，通过漏水感应线检测到漏水后，通过采集器输出一个继电器报警信号，灵敏度可调，报警干接点输出，</w:t>
            </w:r>
            <w:r>
              <w:rPr>
                <w:rFonts w:eastAsia="等线"/>
                <w:color w:val="000000"/>
                <w:kern w:val="0"/>
                <w:sz w:val="20"/>
                <w:szCs w:val="20"/>
              </w:rPr>
              <w:t>DC12V</w:t>
            </w:r>
            <w:r>
              <w:rPr>
                <w:rFonts w:hint="eastAsia" w:ascii="宋体" w:hAnsi="宋体"/>
                <w:color w:val="000000"/>
                <w:kern w:val="0"/>
                <w:sz w:val="20"/>
                <w:szCs w:val="20"/>
              </w:rPr>
              <w:t>供电，支持蜂鸣器告警</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个</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4</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不定位漏水感应线</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与不定位漏液控制器搭配使用，线长</w:t>
            </w:r>
            <w:r>
              <w:rPr>
                <w:rFonts w:eastAsia="等线"/>
                <w:color w:val="000000"/>
                <w:kern w:val="0"/>
                <w:sz w:val="20"/>
                <w:szCs w:val="20"/>
              </w:rPr>
              <w:t>5</w:t>
            </w:r>
            <w:r>
              <w:rPr>
                <w:rFonts w:hint="eastAsia" w:ascii="宋体" w:hAnsi="宋体"/>
                <w:color w:val="000000"/>
                <w:kern w:val="0"/>
                <w:sz w:val="20"/>
                <w:szCs w:val="20"/>
              </w:rPr>
              <w:t>米</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条</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4</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漏水报警监测软件</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漏水报警监测接口软件</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个</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4</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烟雾传感器</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机房环境的烟雾传感器，支持主流通讯手段，抗干扰性强，稳定可靠。</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个</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6</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消防报警监测软件</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消防报警监测接口软件</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个</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6</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IC</w:t>
            </w:r>
            <w:r>
              <w:rPr>
                <w:rFonts w:hint="eastAsia" w:ascii="宋体" w:hAnsi="宋体"/>
                <w:color w:val="000000"/>
                <w:kern w:val="0"/>
                <w:sz w:val="20"/>
                <w:szCs w:val="20"/>
              </w:rPr>
              <w:t>感应卡</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eastAsia="等线"/>
                <w:color w:val="000000"/>
                <w:kern w:val="0"/>
                <w:sz w:val="20"/>
                <w:szCs w:val="20"/>
              </w:rPr>
              <w:t>IC</w:t>
            </w:r>
            <w:r>
              <w:rPr>
                <w:rFonts w:hint="eastAsia" w:ascii="宋体" w:hAnsi="宋体"/>
                <w:color w:val="000000"/>
                <w:kern w:val="0"/>
                <w:sz w:val="20"/>
                <w:szCs w:val="20"/>
              </w:rPr>
              <w:t>感应卡</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个</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20</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四门控制器</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门禁系统门禁控制器</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台</w:t>
            </w:r>
          </w:p>
        </w:tc>
        <w:tc>
          <w:tcPr>
            <w:tcW w:w="70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2</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人脸指纹一体机</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支持人脸识别门禁一体机，人脸</w:t>
            </w:r>
            <w:r>
              <w:rPr>
                <w:rFonts w:eastAsia="等线"/>
                <w:color w:val="000000"/>
                <w:kern w:val="0"/>
                <w:sz w:val="20"/>
                <w:szCs w:val="20"/>
              </w:rPr>
              <w:t>+</w:t>
            </w:r>
            <w:r>
              <w:rPr>
                <w:rFonts w:hint="eastAsia" w:ascii="宋体" w:hAnsi="宋体"/>
                <w:color w:val="000000"/>
                <w:kern w:val="0"/>
                <w:sz w:val="20"/>
                <w:szCs w:val="20"/>
              </w:rPr>
              <w:t>指纹</w:t>
            </w:r>
            <w:r>
              <w:rPr>
                <w:rFonts w:eastAsia="等线"/>
                <w:color w:val="000000"/>
                <w:kern w:val="0"/>
                <w:sz w:val="20"/>
                <w:szCs w:val="20"/>
              </w:rPr>
              <w:t>+IC</w:t>
            </w:r>
            <w:r>
              <w:rPr>
                <w:rFonts w:hint="eastAsia" w:ascii="宋体" w:hAnsi="宋体"/>
                <w:color w:val="000000"/>
                <w:kern w:val="0"/>
                <w:sz w:val="20"/>
                <w:szCs w:val="20"/>
              </w:rPr>
              <w:t>读卡</w:t>
            </w:r>
            <w:r>
              <w:rPr>
                <w:rFonts w:eastAsia="等线"/>
                <w:color w:val="000000"/>
                <w:kern w:val="0"/>
                <w:sz w:val="20"/>
                <w:szCs w:val="20"/>
              </w:rPr>
              <w:t>+</w:t>
            </w:r>
            <w:r>
              <w:rPr>
                <w:rFonts w:hint="eastAsia" w:ascii="宋体" w:hAnsi="宋体"/>
                <w:color w:val="000000"/>
                <w:kern w:val="0"/>
                <w:sz w:val="20"/>
                <w:szCs w:val="20"/>
              </w:rPr>
              <w:t>密码，同型号设备间可实现集成发卡功能。</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个</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5</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门禁系统管理软件</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门禁系统管理接口软件</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个</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5</w:t>
            </w:r>
          </w:p>
        </w:tc>
      </w:tr>
      <w:tr>
        <w:tblPrEx>
          <w:tblCellMar>
            <w:top w:w="0" w:type="dxa"/>
            <w:left w:w="108" w:type="dxa"/>
            <w:bottom w:w="0" w:type="dxa"/>
            <w:right w:w="108" w:type="dxa"/>
          </w:tblCellMar>
        </w:tblPrEx>
        <w:trPr>
          <w:trHeight w:val="504" w:hRule="atLeast"/>
        </w:trPr>
        <w:tc>
          <w:tcPr>
            <w:tcW w:w="60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6</w:t>
            </w:r>
          </w:p>
        </w:tc>
        <w:tc>
          <w:tcPr>
            <w:tcW w:w="74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视频监控系统</w:t>
            </w: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200</w:t>
            </w:r>
            <w:r>
              <w:rPr>
                <w:rFonts w:hint="eastAsia" w:ascii="宋体" w:hAnsi="宋体"/>
                <w:color w:val="000000"/>
                <w:kern w:val="0"/>
                <w:sz w:val="20"/>
                <w:szCs w:val="20"/>
              </w:rPr>
              <w:t>万红外半球型网络摄像机</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eastAsia="等线"/>
                <w:color w:val="000000"/>
                <w:kern w:val="0"/>
                <w:sz w:val="20"/>
                <w:szCs w:val="20"/>
              </w:rPr>
              <w:t>200</w:t>
            </w:r>
            <w:r>
              <w:rPr>
                <w:rFonts w:hint="eastAsia" w:ascii="宋体" w:hAnsi="宋体"/>
                <w:color w:val="000000"/>
                <w:kern w:val="0"/>
                <w:sz w:val="20"/>
                <w:szCs w:val="20"/>
              </w:rPr>
              <w:t>万像素红外半球网络摄像机，</w:t>
            </w:r>
            <w:r>
              <w:rPr>
                <w:rFonts w:eastAsia="等线"/>
                <w:color w:val="000000"/>
                <w:kern w:val="0"/>
                <w:sz w:val="20"/>
                <w:szCs w:val="20"/>
              </w:rPr>
              <w:t>POE</w:t>
            </w:r>
            <w:r>
              <w:rPr>
                <w:rFonts w:hint="eastAsia" w:ascii="宋体" w:hAnsi="宋体"/>
                <w:color w:val="000000"/>
                <w:kern w:val="0"/>
                <w:sz w:val="20"/>
                <w:szCs w:val="20"/>
              </w:rPr>
              <w:t>供电</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个</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10</w:t>
            </w:r>
          </w:p>
        </w:tc>
      </w:tr>
      <w:tr>
        <w:tblPrEx>
          <w:tblCellMar>
            <w:top w:w="0" w:type="dxa"/>
            <w:left w:w="108" w:type="dxa"/>
            <w:bottom w:w="0" w:type="dxa"/>
            <w:right w:w="108" w:type="dxa"/>
          </w:tblCellMar>
        </w:tblPrEx>
        <w:trPr>
          <w:trHeight w:val="504"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32</w:t>
            </w:r>
            <w:r>
              <w:rPr>
                <w:rFonts w:hint="eastAsia" w:ascii="宋体" w:hAnsi="宋体"/>
                <w:color w:val="000000"/>
                <w:kern w:val="0"/>
                <w:sz w:val="20"/>
                <w:szCs w:val="20"/>
              </w:rPr>
              <w:t>路</w:t>
            </w:r>
            <w:r>
              <w:rPr>
                <w:rFonts w:eastAsia="等线"/>
                <w:color w:val="000000"/>
                <w:kern w:val="0"/>
                <w:sz w:val="20"/>
                <w:szCs w:val="20"/>
              </w:rPr>
              <w:t>NVR</w:t>
            </w:r>
            <w:r>
              <w:rPr>
                <w:rFonts w:hint="eastAsia" w:ascii="宋体" w:hAnsi="宋体"/>
                <w:color w:val="000000"/>
                <w:kern w:val="0"/>
                <w:sz w:val="20"/>
                <w:szCs w:val="20"/>
              </w:rPr>
              <w:t>网络硬盘录像机</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机架式，磁盘做</w:t>
            </w:r>
            <w:r>
              <w:rPr>
                <w:rFonts w:eastAsia="等线"/>
                <w:color w:val="000000"/>
                <w:kern w:val="0"/>
                <w:sz w:val="20"/>
                <w:szCs w:val="20"/>
              </w:rPr>
              <w:t xml:space="preserve">RAID 5 </w:t>
            </w:r>
            <w:r>
              <w:rPr>
                <w:rFonts w:hint="eastAsia" w:ascii="宋体" w:hAnsi="宋体"/>
                <w:color w:val="000000"/>
                <w:kern w:val="0"/>
                <w:sz w:val="20"/>
                <w:szCs w:val="20"/>
              </w:rPr>
              <w:t>支持</w:t>
            </w:r>
            <w:r>
              <w:rPr>
                <w:rFonts w:eastAsia="等线"/>
                <w:color w:val="000000"/>
                <w:kern w:val="0"/>
                <w:sz w:val="20"/>
                <w:szCs w:val="20"/>
              </w:rPr>
              <w:t>32</w:t>
            </w:r>
            <w:r>
              <w:rPr>
                <w:rFonts w:hint="eastAsia" w:ascii="宋体" w:hAnsi="宋体"/>
                <w:color w:val="000000"/>
                <w:kern w:val="0"/>
                <w:sz w:val="20"/>
                <w:szCs w:val="20"/>
              </w:rPr>
              <w:t>路</w:t>
            </w:r>
            <w:r>
              <w:rPr>
                <w:rFonts w:eastAsia="等线"/>
                <w:color w:val="000000"/>
                <w:kern w:val="0"/>
                <w:sz w:val="20"/>
                <w:szCs w:val="20"/>
              </w:rPr>
              <w:t>IPC</w:t>
            </w:r>
            <w:r>
              <w:rPr>
                <w:rFonts w:hint="eastAsia" w:ascii="宋体" w:hAnsi="宋体"/>
                <w:color w:val="000000"/>
                <w:kern w:val="0"/>
                <w:sz w:val="20"/>
                <w:szCs w:val="20"/>
              </w:rPr>
              <w:t>接入</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台</w:t>
            </w:r>
          </w:p>
        </w:tc>
        <w:tc>
          <w:tcPr>
            <w:tcW w:w="70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硬盘</w:t>
            </w:r>
            <w:r>
              <w:rPr>
                <w:rFonts w:eastAsia="等线"/>
                <w:color w:val="000000"/>
                <w:kern w:val="0"/>
                <w:sz w:val="20"/>
                <w:szCs w:val="20"/>
              </w:rPr>
              <w:t>(</w:t>
            </w:r>
            <w:r>
              <w:rPr>
                <w:rFonts w:hint="eastAsia" w:ascii="宋体" w:hAnsi="宋体"/>
                <w:color w:val="000000"/>
                <w:kern w:val="0"/>
                <w:sz w:val="20"/>
                <w:szCs w:val="20"/>
              </w:rPr>
              <w:t>监控级</w:t>
            </w:r>
            <w:r>
              <w:rPr>
                <w:rFonts w:eastAsia="等线"/>
                <w:color w:val="000000"/>
                <w:kern w:val="0"/>
                <w:sz w:val="20"/>
                <w:szCs w:val="20"/>
              </w:rPr>
              <w:t>)</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w:t>
            </w:r>
            <w:r>
              <w:rPr>
                <w:rFonts w:eastAsia="等线"/>
                <w:color w:val="000000"/>
                <w:kern w:val="0"/>
                <w:sz w:val="20"/>
                <w:szCs w:val="20"/>
              </w:rPr>
              <w:t>6TB</w:t>
            </w:r>
            <w:r>
              <w:rPr>
                <w:rFonts w:hint="eastAsia" w:ascii="宋体" w:hAnsi="宋体"/>
                <w:color w:val="000000"/>
                <w:kern w:val="0"/>
                <w:sz w:val="20"/>
                <w:szCs w:val="20"/>
              </w:rPr>
              <w:t>监控专用硬盘</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个</w:t>
            </w:r>
          </w:p>
        </w:tc>
        <w:tc>
          <w:tcPr>
            <w:tcW w:w="70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视频系统管理软件</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视频系统管理接口软件</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个</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10</w:t>
            </w:r>
          </w:p>
        </w:tc>
      </w:tr>
      <w:tr>
        <w:tblPrEx>
          <w:tblCellMar>
            <w:top w:w="0" w:type="dxa"/>
            <w:left w:w="108" w:type="dxa"/>
            <w:bottom w:w="0" w:type="dxa"/>
            <w:right w:w="108" w:type="dxa"/>
          </w:tblCellMar>
        </w:tblPrEx>
        <w:trPr>
          <w:trHeight w:val="504"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一体化监控主机</w:t>
            </w:r>
            <w:r>
              <w:rPr>
                <w:rFonts w:eastAsia="等线"/>
                <w:color w:val="000000"/>
                <w:kern w:val="0"/>
                <w:sz w:val="20"/>
                <w:szCs w:val="20"/>
              </w:rPr>
              <w:t>-</w:t>
            </w:r>
            <w:r>
              <w:rPr>
                <w:rFonts w:hint="eastAsia" w:ascii="宋体" w:hAnsi="宋体"/>
                <w:color w:val="000000"/>
                <w:kern w:val="0"/>
                <w:sz w:val="20"/>
                <w:szCs w:val="20"/>
              </w:rPr>
              <w:t>八层机房</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管理系统服务器</w:t>
            </w:r>
            <w:r>
              <w:rPr>
                <w:rFonts w:eastAsia="等线"/>
                <w:color w:val="000000"/>
                <w:kern w:val="0"/>
                <w:sz w:val="20"/>
                <w:szCs w:val="20"/>
              </w:rPr>
              <w:t>-</w:t>
            </w:r>
            <w:r>
              <w:rPr>
                <w:rFonts w:hint="eastAsia" w:ascii="宋体" w:hAnsi="宋体"/>
                <w:color w:val="000000"/>
                <w:kern w:val="0"/>
                <w:sz w:val="20"/>
                <w:szCs w:val="20"/>
              </w:rPr>
              <w:t>含操作系统和数据库</w:t>
            </w:r>
            <w:r>
              <w:rPr>
                <w:rFonts w:eastAsia="等线"/>
                <w:color w:val="000000"/>
                <w:kern w:val="0"/>
                <w:sz w:val="20"/>
                <w:szCs w:val="20"/>
              </w:rPr>
              <w:t>-</w:t>
            </w:r>
            <w:r>
              <w:rPr>
                <w:rFonts w:hint="eastAsia" w:ascii="宋体" w:hAnsi="宋体"/>
                <w:color w:val="000000"/>
                <w:kern w:val="0"/>
                <w:sz w:val="20"/>
                <w:szCs w:val="20"/>
              </w:rPr>
              <w:t>双电源。</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台</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3048"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监控系统软件</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eastAsia="等线"/>
                <w:color w:val="000000"/>
                <w:kern w:val="0"/>
                <w:sz w:val="20"/>
                <w:szCs w:val="20"/>
              </w:rPr>
              <w:t>1</w:t>
            </w:r>
            <w:r>
              <w:rPr>
                <w:rFonts w:hint="eastAsia" w:ascii="宋体" w:hAnsi="宋体"/>
                <w:color w:val="000000"/>
                <w:kern w:val="0"/>
                <w:sz w:val="20"/>
                <w:szCs w:val="20"/>
              </w:rPr>
              <w:t>、持手机</w:t>
            </w:r>
            <w:r>
              <w:rPr>
                <w:rFonts w:eastAsia="等线"/>
                <w:color w:val="000000"/>
                <w:kern w:val="0"/>
                <w:sz w:val="20"/>
                <w:szCs w:val="20"/>
              </w:rPr>
              <w:t>APP</w:t>
            </w:r>
            <w:r>
              <w:rPr>
                <w:rFonts w:hint="eastAsia" w:ascii="宋体" w:hAnsi="宋体"/>
                <w:color w:val="000000"/>
                <w:kern w:val="0"/>
                <w:sz w:val="20"/>
                <w:szCs w:val="20"/>
              </w:rPr>
              <w:t>移动运维功能：基础内容包括设备监控实时状态，系统日志查询，设备管理、用户管理，系统设置等；</w:t>
            </w:r>
            <w:r>
              <w:rPr>
                <w:rFonts w:hint="eastAsia" w:ascii="宋体" w:hAnsi="宋体"/>
                <w:color w:val="000000"/>
                <w:kern w:val="0"/>
                <w:sz w:val="20"/>
                <w:szCs w:val="20"/>
              </w:rPr>
              <w:br w:type="textWrapping"/>
            </w:r>
            <w:r>
              <w:rPr>
                <w:rFonts w:eastAsia="等线"/>
                <w:color w:val="000000"/>
                <w:kern w:val="0"/>
                <w:sz w:val="20"/>
                <w:szCs w:val="20"/>
              </w:rPr>
              <w:t>2</w:t>
            </w:r>
            <w:r>
              <w:rPr>
                <w:rFonts w:hint="eastAsia" w:ascii="宋体" w:hAnsi="宋体"/>
                <w:color w:val="000000"/>
                <w:kern w:val="0"/>
                <w:sz w:val="20"/>
                <w:szCs w:val="20"/>
              </w:rPr>
              <w:t>、支持门禁控制：支持密码、刷卡、指纹。支持视频监控：采用</w:t>
            </w:r>
            <w:r>
              <w:rPr>
                <w:rFonts w:eastAsia="等线"/>
                <w:color w:val="000000"/>
                <w:kern w:val="0"/>
                <w:sz w:val="20"/>
                <w:szCs w:val="20"/>
              </w:rPr>
              <w:t>200w</w:t>
            </w:r>
            <w:r>
              <w:rPr>
                <w:rFonts w:hint="eastAsia" w:ascii="宋体" w:hAnsi="宋体"/>
                <w:color w:val="000000"/>
                <w:kern w:val="0"/>
                <w:sz w:val="20"/>
                <w:szCs w:val="20"/>
              </w:rPr>
              <w:t>高清摄像头对机房情况进行实施的视频监控。支持温湿度监控：对机房环境的温湿度进行检测。支持漏水监控：对机房内有水源的地方进行漏水检测。支持烟雾监控：实时监测机房内的烟雾状态</w:t>
            </w:r>
            <w:r>
              <w:rPr>
                <w:rFonts w:hint="eastAsia" w:ascii="宋体" w:hAnsi="宋体"/>
                <w:color w:val="000000"/>
                <w:kern w:val="0"/>
                <w:sz w:val="20"/>
                <w:szCs w:val="20"/>
              </w:rPr>
              <w:br w:type="textWrapping"/>
            </w:r>
            <w:r>
              <w:rPr>
                <w:rFonts w:eastAsia="等线"/>
                <w:color w:val="000000"/>
                <w:kern w:val="0"/>
                <w:sz w:val="20"/>
                <w:szCs w:val="20"/>
              </w:rPr>
              <w:t>3</w:t>
            </w:r>
            <w:r>
              <w:rPr>
                <w:rFonts w:hint="eastAsia" w:ascii="宋体" w:hAnsi="宋体"/>
                <w:color w:val="000000"/>
                <w:kern w:val="0"/>
                <w:sz w:val="20"/>
                <w:szCs w:val="20"/>
              </w:rPr>
              <w:t>、支持</w:t>
            </w:r>
            <w:r>
              <w:rPr>
                <w:rFonts w:eastAsia="等线"/>
                <w:color w:val="000000"/>
                <w:kern w:val="0"/>
                <w:sz w:val="20"/>
                <w:szCs w:val="20"/>
              </w:rPr>
              <w:t>3D</w:t>
            </w:r>
            <w:r>
              <w:rPr>
                <w:rFonts w:hint="eastAsia" w:ascii="宋体" w:hAnsi="宋体"/>
                <w:color w:val="000000"/>
                <w:kern w:val="0"/>
                <w:sz w:val="20"/>
                <w:szCs w:val="20"/>
              </w:rPr>
              <w:t>视图展示功能：支持</w:t>
            </w:r>
            <w:r>
              <w:rPr>
                <w:rFonts w:eastAsia="等线"/>
                <w:color w:val="000000"/>
                <w:kern w:val="0"/>
                <w:sz w:val="20"/>
                <w:szCs w:val="20"/>
              </w:rPr>
              <w:t>3D</w:t>
            </w:r>
            <w:r>
              <w:rPr>
                <w:rFonts w:hint="eastAsia" w:ascii="宋体" w:hAnsi="宋体"/>
                <w:color w:val="000000"/>
                <w:kern w:val="0"/>
                <w:sz w:val="20"/>
                <w:szCs w:val="20"/>
              </w:rPr>
              <w:t>视图功能</w:t>
            </w:r>
            <w:r>
              <w:rPr>
                <w:rFonts w:hint="eastAsia" w:ascii="宋体" w:hAnsi="宋体"/>
                <w:color w:val="000000"/>
                <w:kern w:val="0"/>
                <w:sz w:val="20"/>
                <w:szCs w:val="20"/>
              </w:rPr>
              <w:br w:type="textWrapping"/>
            </w:r>
            <w:r>
              <w:rPr>
                <w:rFonts w:eastAsia="等线"/>
                <w:color w:val="000000"/>
                <w:kern w:val="0"/>
                <w:sz w:val="20"/>
                <w:szCs w:val="20"/>
              </w:rPr>
              <w:t>4</w:t>
            </w:r>
            <w:r>
              <w:rPr>
                <w:rFonts w:hint="eastAsia" w:ascii="宋体" w:hAnsi="宋体"/>
                <w:color w:val="000000"/>
                <w:kern w:val="0"/>
                <w:sz w:val="20"/>
                <w:szCs w:val="20"/>
              </w:rPr>
              <w:t>、支持报表管理软件：支持设备历史事件图表、历史数据的图表展示，事件列表查询、历史数据列表查询、支持自定义报表，并可以</w:t>
            </w:r>
            <w:r>
              <w:rPr>
                <w:rFonts w:eastAsia="等线"/>
                <w:color w:val="000000"/>
                <w:kern w:val="0"/>
                <w:sz w:val="20"/>
                <w:szCs w:val="20"/>
              </w:rPr>
              <w:t>csv</w:t>
            </w:r>
            <w:r>
              <w:rPr>
                <w:rFonts w:hint="eastAsia" w:ascii="宋体" w:hAnsi="宋体"/>
                <w:color w:val="000000"/>
                <w:kern w:val="0"/>
                <w:sz w:val="20"/>
                <w:szCs w:val="20"/>
              </w:rPr>
              <w:t>，</w:t>
            </w:r>
            <w:r>
              <w:rPr>
                <w:rFonts w:eastAsia="等线"/>
                <w:color w:val="000000"/>
                <w:kern w:val="0"/>
                <w:sz w:val="20"/>
                <w:szCs w:val="20"/>
              </w:rPr>
              <w:t>pdf</w:t>
            </w:r>
            <w:r>
              <w:rPr>
                <w:rFonts w:hint="eastAsia" w:ascii="宋体" w:hAnsi="宋体"/>
                <w:color w:val="000000"/>
                <w:kern w:val="0"/>
                <w:sz w:val="20"/>
                <w:szCs w:val="20"/>
              </w:rPr>
              <w:t>形式导出自定义报表增值软件；</w:t>
            </w:r>
            <w:r>
              <w:rPr>
                <w:rFonts w:hint="eastAsia" w:ascii="宋体" w:hAnsi="宋体"/>
                <w:color w:val="000000"/>
                <w:kern w:val="0"/>
                <w:sz w:val="20"/>
                <w:szCs w:val="20"/>
              </w:rPr>
              <w:br w:type="textWrapping"/>
            </w:r>
            <w:r>
              <w:rPr>
                <w:rFonts w:eastAsia="等线"/>
                <w:color w:val="000000"/>
                <w:kern w:val="0"/>
                <w:sz w:val="20"/>
                <w:szCs w:val="20"/>
              </w:rPr>
              <w:t>5</w:t>
            </w:r>
            <w:r>
              <w:rPr>
                <w:rFonts w:hint="eastAsia" w:ascii="宋体" w:hAnsi="宋体"/>
                <w:color w:val="000000"/>
                <w:kern w:val="0"/>
                <w:sz w:val="20"/>
                <w:szCs w:val="20"/>
              </w:rPr>
              <w:t>、支持告警管理软件：实现告警等级管理、告警事件管理、告警通知方式、用户告警设置、告警通知记录、告警联动管理、告警通知模板设置、告警屏蔽管理、告警收敛管理等功能。</w:t>
            </w:r>
            <w:r>
              <w:rPr>
                <w:rFonts w:hint="eastAsia" w:ascii="宋体" w:hAnsi="宋体"/>
                <w:color w:val="000000"/>
                <w:kern w:val="0"/>
                <w:sz w:val="20"/>
                <w:szCs w:val="20"/>
              </w:rPr>
              <w:br w:type="textWrapping"/>
            </w:r>
            <w:r>
              <w:rPr>
                <w:rFonts w:eastAsia="等线"/>
                <w:color w:val="000000"/>
                <w:kern w:val="0"/>
                <w:sz w:val="20"/>
                <w:szCs w:val="20"/>
              </w:rPr>
              <w:t>6</w:t>
            </w:r>
            <w:r>
              <w:rPr>
                <w:rFonts w:hint="eastAsia" w:ascii="宋体" w:hAnsi="宋体"/>
                <w:color w:val="000000"/>
                <w:kern w:val="0"/>
                <w:sz w:val="20"/>
                <w:szCs w:val="20"/>
              </w:rPr>
              <w:t>、支持微模块系统能耗的配置管理及实时能耗展示，并以列表或图标形式展示历史能耗数据。</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504"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一体化监控主机</w:t>
            </w:r>
            <w:r>
              <w:rPr>
                <w:rFonts w:eastAsia="等线"/>
                <w:color w:val="000000"/>
                <w:kern w:val="0"/>
                <w:sz w:val="20"/>
                <w:szCs w:val="20"/>
              </w:rPr>
              <w:t>-</w:t>
            </w:r>
            <w:r>
              <w:rPr>
                <w:rFonts w:hint="eastAsia" w:ascii="宋体" w:hAnsi="宋体"/>
                <w:color w:val="000000"/>
                <w:kern w:val="0"/>
                <w:sz w:val="20"/>
                <w:szCs w:val="20"/>
              </w:rPr>
              <w:t>负一层配电室</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管理系统服务器</w:t>
            </w:r>
            <w:r>
              <w:rPr>
                <w:rFonts w:eastAsia="等线"/>
                <w:color w:val="000000"/>
                <w:kern w:val="0"/>
                <w:sz w:val="20"/>
                <w:szCs w:val="20"/>
              </w:rPr>
              <w:t>-</w:t>
            </w:r>
            <w:r>
              <w:rPr>
                <w:rFonts w:hint="eastAsia" w:ascii="宋体" w:hAnsi="宋体"/>
                <w:color w:val="000000"/>
                <w:kern w:val="0"/>
                <w:sz w:val="20"/>
                <w:szCs w:val="20"/>
              </w:rPr>
              <w:t>含操作系统和数据库</w:t>
            </w:r>
            <w:r>
              <w:rPr>
                <w:rFonts w:eastAsia="等线"/>
                <w:color w:val="000000"/>
                <w:kern w:val="0"/>
                <w:sz w:val="20"/>
                <w:szCs w:val="20"/>
              </w:rPr>
              <w:t>-</w:t>
            </w:r>
            <w:r>
              <w:rPr>
                <w:rFonts w:hint="eastAsia" w:ascii="宋体" w:hAnsi="宋体"/>
                <w:color w:val="000000"/>
                <w:kern w:val="0"/>
                <w:sz w:val="20"/>
                <w:szCs w:val="20"/>
              </w:rPr>
              <w:t>单电源。</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台</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SD</w:t>
            </w:r>
            <w:r>
              <w:rPr>
                <w:rFonts w:hint="eastAsia" w:ascii="宋体" w:hAnsi="宋体"/>
                <w:color w:val="000000"/>
                <w:kern w:val="0"/>
                <w:sz w:val="20"/>
                <w:szCs w:val="20"/>
              </w:rPr>
              <w:t>卡</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用于主机扩展历史数据存储容量</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个</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内置</w:t>
            </w:r>
            <w:r>
              <w:rPr>
                <w:rFonts w:eastAsia="等线"/>
                <w:color w:val="000000"/>
                <w:kern w:val="0"/>
                <w:sz w:val="20"/>
                <w:szCs w:val="20"/>
              </w:rPr>
              <w:t>4G</w:t>
            </w:r>
            <w:r>
              <w:rPr>
                <w:rFonts w:hint="eastAsia" w:ascii="宋体" w:hAnsi="宋体"/>
                <w:color w:val="000000"/>
                <w:kern w:val="0"/>
                <w:sz w:val="20"/>
                <w:szCs w:val="20"/>
              </w:rPr>
              <w:t>短信模块</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内置卡，</w:t>
            </w:r>
            <w:r>
              <w:rPr>
                <w:rFonts w:eastAsia="等线"/>
                <w:color w:val="000000"/>
                <w:kern w:val="0"/>
                <w:sz w:val="20"/>
                <w:szCs w:val="20"/>
              </w:rPr>
              <w:t>LTE</w:t>
            </w:r>
            <w:r>
              <w:rPr>
                <w:rFonts w:hint="eastAsia" w:ascii="宋体" w:hAnsi="宋体"/>
                <w:color w:val="000000"/>
                <w:kern w:val="0"/>
                <w:sz w:val="20"/>
                <w:szCs w:val="20"/>
              </w:rPr>
              <w:t>模块，支持移动</w:t>
            </w:r>
            <w:r>
              <w:rPr>
                <w:rFonts w:eastAsia="等线"/>
                <w:color w:val="000000"/>
                <w:kern w:val="0"/>
                <w:sz w:val="20"/>
                <w:szCs w:val="20"/>
              </w:rPr>
              <w:t>\</w:t>
            </w:r>
            <w:r>
              <w:rPr>
                <w:rFonts w:hint="eastAsia" w:ascii="宋体" w:hAnsi="宋体"/>
                <w:color w:val="000000"/>
                <w:kern w:val="0"/>
                <w:sz w:val="20"/>
                <w:szCs w:val="20"/>
              </w:rPr>
              <w:t>联通</w:t>
            </w:r>
            <w:r>
              <w:rPr>
                <w:rFonts w:eastAsia="等线"/>
                <w:color w:val="000000"/>
                <w:kern w:val="0"/>
                <w:sz w:val="20"/>
                <w:szCs w:val="20"/>
              </w:rPr>
              <w:t>\</w:t>
            </w:r>
            <w:r>
              <w:rPr>
                <w:rFonts w:hint="eastAsia" w:ascii="宋体" w:hAnsi="宋体"/>
                <w:color w:val="000000"/>
                <w:kern w:val="0"/>
                <w:sz w:val="20"/>
                <w:szCs w:val="20"/>
              </w:rPr>
              <w:t>电信模块</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个</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工业触摸屏</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显示屏不低于</w:t>
            </w:r>
            <w:r>
              <w:rPr>
                <w:rFonts w:eastAsia="等线"/>
                <w:color w:val="000000"/>
                <w:kern w:val="0"/>
                <w:sz w:val="20"/>
                <w:szCs w:val="20"/>
              </w:rPr>
              <w:t>21.5</w:t>
            </w:r>
            <w:r>
              <w:rPr>
                <w:rFonts w:hint="eastAsia" w:ascii="宋体" w:hAnsi="宋体"/>
                <w:color w:val="000000"/>
                <w:kern w:val="0"/>
                <w:sz w:val="20"/>
                <w:szCs w:val="20"/>
              </w:rPr>
              <w:t>寸，性能优良</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台</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声光报警器</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全红色塑料壳，装在冷通道前门右上方</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个</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504"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24</w:t>
            </w:r>
            <w:r>
              <w:rPr>
                <w:rFonts w:hint="eastAsia" w:ascii="宋体" w:hAnsi="宋体"/>
                <w:color w:val="000000"/>
                <w:kern w:val="0"/>
                <w:sz w:val="20"/>
                <w:szCs w:val="20"/>
              </w:rPr>
              <w:t>口百兆</w:t>
            </w:r>
            <w:r>
              <w:rPr>
                <w:rFonts w:eastAsia="等线"/>
                <w:color w:val="000000"/>
                <w:kern w:val="0"/>
                <w:sz w:val="20"/>
                <w:szCs w:val="20"/>
              </w:rPr>
              <w:t>PoE</w:t>
            </w:r>
            <w:r>
              <w:rPr>
                <w:rFonts w:hint="eastAsia" w:ascii="宋体" w:hAnsi="宋体"/>
                <w:color w:val="000000"/>
                <w:kern w:val="0"/>
                <w:sz w:val="20"/>
                <w:szCs w:val="20"/>
              </w:rPr>
              <w:t>交换机</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不低于</w:t>
            </w:r>
            <w:r>
              <w:rPr>
                <w:rFonts w:eastAsia="等线"/>
                <w:color w:val="000000"/>
                <w:kern w:val="0"/>
                <w:sz w:val="20"/>
                <w:szCs w:val="20"/>
              </w:rPr>
              <w:t>24</w:t>
            </w:r>
            <w:r>
              <w:rPr>
                <w:rFonts w:hint="eastAsia" w:ascii="宋体" w:hAnsi="宋体"/>
                <w:color w:val="000000"/>
                <w:kern w:val="0"/>
                <w:sz w:val="20"/>
                <w:szCs w:val="20"/>
              </w:rPr>
              <w:t>个</w:t>
            </w:r>
            <w:r>
              <w:rPr>
                <w:rFonts w:eastAsia="等线"/>
                <w:color w:val="000000"/>
                <w:kern w:val="0"/>
                <w:sz w:val="20"/>
                <w:szCs w:val="20"/>
              </w:rPr>
              <w:t>10/100 Base-TX</w:t>
            </w:r>
            <w:r>
              <w:rPr>
                <w:rFonts w:hint="eastAsia" w:ascii="宋体" w:hAnsi="宋体"/>
                <w:color w:val="000000"/>
                <w:kern w:val="0"/>
                <w:sz w:val="20"/>
                <w:szCs w:val="20"/>
              </w:rPr>
              <w:t>以太网端口</w:t>
            </w:r>
            <w:r>
              <w:rPr>
                <w:rFonts w:eastAsia="等线"/>
                <w:color w:val="000000"/>
                <w:kern w:val="0"/>
                <w:sz w:val="20"/>
                <w:szCs w:val="20"/>
              </w:rPr>
              <w:t>,</w:t>
            </w:r>
            <w:r>
              <w:rPr>
                <w:rFonts w:hint="eastAsia" w:ascii="宋体" w:hAnsi="宋体"/>
                <w:color w:val="000000"/>
                <w:kern w:val="0"/>
                <w:sz w:val="20"/>
                <w:szCs w:val="20"/>
              </w:rPr>
              <w:t>不低于</w:t>
            </w:r>
            <w:r>
              <w:rPr>
                <w:rFonts w:eastAsia="等线"/>
                <w:color w:val="000000"/>
                <w:kern w:val="0"/>
                <w:sz w:val="20"/>
                <w:szCs w:val="20"/>
              </w:rPr>
              <w:t>2</w:t>
            </w:r>
            <w:r>
              <w:rPr>
                <w:rFonts w:hint="eastAsia" w:ascii="宋体" w:hAnsi="宋体"/>
                <w:color w:val="000000"/>
                <w:kern w:val="0"/>
                <w:sz w:val="20"/>
                <w:szCs w:val="20"/>
              </w:rPr>
              <w:t>个</w:t>
            </w:r>
            <w:r>
              <w:rPr>
                <w:rFonts w:eastAsia="等线"/>
                <w:color w:val="000000"/>
                <w:kern w:val="0"/>
                <w:sz w:val="20"/>
                <w:szCs w:val="20"/>
              </w:rPr>
              <w:t>100/1000 Base-X SFP</w:t>
            </w:r>
            <w:r>
              <w:rPr>
                <w:rFonts w:hint="eastAsia" w:ascii="宋体" w:hAnsi="宋体"/>
                <w:color w:val="000000"/>
                <w:kern w:val="0"/>
                <w:sz w:val="20"/>
                <w:szCs w:val="20"/>
              </w:rPr>
              <w:t>光口，支持</w:t>
            </w:r>
            <w:r>
              <w:rPr>
                <w:rFonts w:eastAsia="等线"/>
                <w:color w:val="000000"/>
                <w:kern w:val="0"/>
                <w:sz w:val="20"/>
                <w:szCs w:val="20"/>
              </w:rPr>
              <w:t>POE+</w:t>
            </w:r>
            <w:r>
              <w:rPr>
                <w:rFonts w:hint="eastAsia" w:ascii="宋体" w:hAnsi="宋体"/>
                <w:color w:val="000000"/>
                <w:kern w:val="0"/>
                <w:sz w:val="20"/>
                <w:szCs w:val="20"/>
              </w:rPr>
              <w:t>，支持网关协议，单路交流供电</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台</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276" w:hRule="atLeast"/>
        </w:trPr>
        <w:tc>
          <w:tcPr>
            <w:tcW w:w="60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7</w:t>
            </w:r>
          </w:p>
        </w:tc>
        <w:tc>
          <w:tcPr>
            <w:tcW w:w="74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配套及机房装修</w:t>
            </w: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电缆</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配电柜到</w:t>
            </w:r>
            <w:r>
              <w:rPr>
                <w:rFonts w:eastAsia="等线"/>
                <w:color w:val="000000"/>
                <w:kern w:val="0"/>
                <w:sz w:val="20"/>
                <w:szCs w:val="20"/>
              </w:rPr>
              <w:t>UPS</w:t>
            </w:r>
            <w:r>
              <w:rPr>
                <w:rFonts w:hint="eastAsia" w:ascii="宋体" w:hAnsi="宋体"/>
                <w:color w:val="000000"/>
                <w:kern w:val="0"/>
                <w:sz w:val="20"/>
                <w:szCs w:val="20"/>
              </w:rPr>
              <w:t>的输入电缆</w:t>
            </w:r>
            <w:r>
              <w:rPr>
                <w:rFonts w:eastAsia="等线"/>
                <w:color w:val="000000"/>
                <w:kern w:val="0"/>
                <w:sz w:val="20"/>
                <w:szCs w:val="20"/>
              </w:rPr>
              <w:t>(YJV-4*95+1*70mm²)</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米</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50</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电缆</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eastAsia="等线"/>
                <w:color w:val="000000"/>
                <w:kern w:val="0"/>
                <w:sz w:val="20"/>
                <w:szCs w:val="20"/>
              </w:rPr>
              <w:t>UPS</w:t>
            </w:r>
            <w:r>
              <w:rPr>
                <w:rFonts w:hint="eastAsia" w:ascii="宋体" w:hAnsi="宋体"/>
                <w:color w:val="000000"/>
                <w:kern w:val="0"/>
                <w:sz w:val="20"/>
                <w:szCs w:val="20"/>
              </w:rPr>
              <w:t>至列头柜的输出电缆</w:t>
            </w:r>
            <w:r>
              <w:rPr>
                <w:rFonts w:eastAsia="等线"/>
                <w:color w:val="000000"/>
                <w:kern w:val="0"/>
                <w:sz w:val="20"/>
                <w:szCs w:val="20"/>
              </w:rPr>
              <w:t>(YJV-4*50+1*25mm²)</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米</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50</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电缆</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空调输入电缆</w:t>
            </w:r>
            <w:r>
              <w:rPr>
                <w:rFonts w:eastAsia="等线"/>
                <w:color w:val="000000"/>
                <w:kern w:val="0"/>
                <w:sz w:val="20"/>
                <w:szCs w:val="20"/>
              </w:rPr>
              <w:t>(YJV-5*16mm²)</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米</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60</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电缆</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列头柜到机柜的</w:t>
            </w:r>
            <w:r>
              <w:rPr>
                <w:rFonts w:eastAsia="等线"/>
                <w:color w:val="000000"/>
                <w:kern w:val="0"/>
                <w:sz w:val="20"/>
                <w:szCs w:val="20"/>
              </w:rPr>
              <w:t>PDU</w:t>
            </w:r>
            <w:r>
              <w:rPr>
                <w:rFonts w:hint="eastAsia" w:ascii="宋体" w:hAnsi="宋体"/>
                <w:color w:val="000000"/>
                <w:kern w:val="0"/>
                <w:sz w:val="20"/>
                <w:szCs w:val="20"/>
              </w:rPr>
              <w:t>输入电缆</w:t>
            </w:r>
            <w:r>
              <w:rPr>
                <w:rFonts w:eastAsia="等线"/>
                <w:color w:val="000000"/>
                <w:kern w:val="0"/>
                <w:sz w:val="20"/>
                <w:szCs w:val="20"/>
              </w:rPr>
              <w:t>(RVV-3*6mm²)</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米</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500</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电缆</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eastAsia="等线"/>
                <w:color w:val="000000"/>
                <w:kern w:val="0"/>
                <w:sz w:val="20"/>
                <w:szCs w:val="20"/>
              </w:rPr>
              <w:t>UPS</w:t>
            </w:r>
            <w:r>
              <w:rPr>
                <w:rFonts w:hint="eastAsia" w:ascii="宋体" w:hAnsi="宋体"/>
                <w:color w:val="000000"/>
                <w:kern w:val="0"/>
                <w:sz w:val="20"/>
                <w:szCs w:val="20"/>
              </w:rPr>
              <w:t>和机柜等设备接地电缆</w:t>
            </w:r>
            <w:r>
              <w:rPr>
                <w:rFonts w:eastAsia="等线"/>
                <w:color w:val="000000"/>
                <w:kern w:val="0"/>
                <w:sz w:val="20"/>
                <w:szCs w:val="20"/>
              </w:rPr>
              <w:t>(BVR6mm²)</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米</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500</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电缆</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接地干线电缆</w:t>
            </w:r>
            <w:r>
              <w:rPr>
                <w:rFonts w:eastAsia="等线"/>
                <w:color w:val="000000"/>
                <w:kern w:val="0"/>
                <w:sz w:val="20"/>
                <w:szCs w:val="20"/>
              </w:rPr>
              <w:t>(BVR50mm²)</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米</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200</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铜管</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空调铜管</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米</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80</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设备支撑架</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eastAsia="等线"/>
                <w:color w:val="000000"/>
                <w:kern w:val="0"/>
                <w:sz w:val="20"/>
                <w:szCs w:val="20"/>
              </w:rPr>
              <w:t>1</w:t>
            </w:r>
            <w:r>
              <w:rPr>
                <w:rFonts w:hint="eastAsia" w:ascii="宋体" w:hAnsi="宋体"/>
                <w:color w:val="000000"/>
                <w:kern w:val="0"/>
                <w:sz w:val="20"/>
                <w:szCs w:val="20"/>
              </w:rPr>
              <w:t>台</w:t>
            </w:r>
            <w:r>
              <w:rPr>
                <w:rFonts w:eastAsia="等线"/>
                <w:color w:val="000000"/>
                <w:kern w:val="0"/>
                <w:sz w:val="20"/>
                <w:szCs w:val="20"/>
              </w:rPr>
              <w:t>UPS</w:t>
            </w:r>
            <w:r>
              <w:rPr>
                <w:rFonts w:hint="eastAsia" w:ascii="宋体" w:hAnsi="宋体"/>
                <w:color w:val="000000"/>
                <w:kern w:val="0"/>
                <w:sz w:val="20"/>
                <w:szCs w:val="20"/>
              </w:rPr>
              <w:t>主机、</w:t>
            </w:r>
            <w:r>
              <w:rPr>
                <w:rFonts w:eastAsia="等线"/>
                <w:color w:val="000000"/>
                <w:kern w:val="0"/>
                <w:sz w:val="20"/>
                <w:szCs w:val="20"/>
              </w:rPr>
              <w:t>6</w:t>
            </w:r>
            <w:r>
              <w:rPr>
                <w:rFonts w:hint="eastAsia" w:ascii="宋体" w:hAnsi="宋体"/>
                <w:color w:val="000000"/>
                <w:kern w:val="0"/>
                <w:sz w:val="20"/>
                <w:szCs w:val="20"/>
              </w:rPr>
              <w:t>套电池柜、</w:t>
            </w:r>
            <w:r>
              <w:rPr>
                <w:rFonts w:eastAsia="等线"/>
                <w:color w:val="000000"/>
                <w:kern w:val="0"/>
                <w:sz w:val="20"/>
                <w:szCs w:val="20"/>
              </w:rPr>
              <w:t>2</w:t>
            </w:r>
            <w:r>
              <w:rPr>
                <w:rFonts w:hint="eastAsia" w:ascii="宋体" w:hAnsi="宋体"/>
                <w:color w:val="000000"/>
                <w:kern w:val="0"/>
                <w:sz w:val="20"/>
                <w:szCs w:val="20"/>
              </w:rPr>
              <w:t>台精密空调和</w:t>
            </w:r>
            <w:r>
              <w:rPr>
                <w:rFonts w:eastAsia="等线"/>
                <w:color w:val="000000"/>
                <w:kern w:val="0"/>
                <w:sz w:val="20"/>
                <w:szCs w:val="20"/>
              </w:rPr>
              <w:t>13</w:t>
            </w:r>
            <w:r>
              <w:rPr>
                <w:rFonts w:hint="eastAsia" w:ascii="宋体" w:hAnsi="宋体"/>
                <w:color w:val="000000"/>
                <w:kern w:val="0"/>
                <w:sz w:val="20"/>
                <w:szCs w:val="20"/>
              </w:rPr>
              <w:t>台机柜的设备支撑架</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个</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22</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运费及开机调试费</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单套微模块运费及开机调试费用</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项</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防火石膏板</w:t>
            </w:r>
          </w:p>
        </w:tc>
        <w:tc>
          <w:tcPr>
            <w:tcW w:w="547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rPr>
                <w:rFonts w:eastAsia="等线"/>
                <w:color w:val="000000"/>
                <w:kern w:val="0"/>
                <w:sz w:val="20"/>
                <w:szCs w:val="20"/>
              </w:rPr>
            </w:pPr>
            <w:r>
              <w:rPr>
                <w:rFonts w:eastAsia="等线"/>
                <w:color w:val="000000"/>
                <w:kern w:val="0"/>
                <w:sz w:val="20"/>
                <w:szCs w:val="20"/>
              </w:rPr>
              <w:t>1200mm*3000mm</w:t>
            </w:r>
            <w:r>
              <w:rPr>
                <w:rFonts w:hint="eastAsia" w:ascii="宋体" w:hAnsi="宋体"/>
                <w:color w:val="000000"/>
                <w:kern w:val="0"/>
                <w:sz w:val="20"/>
                <w:szCs w:val="20"/>
              </w:rPr>
              <w:t>，材料厚度：</w:t>
            </w:r>
            <w:r>
              <w:rPr>
                <w:rFonts w:eastAsia="等线"/>
                <w:color w:val="000000"/>
                <w:kern w:val="0"/>
                <w:sz w:val="20"/>
                <w:szCs w:val="20"/>
              </w:rPr>
              <w:t>0.6/13mm</w:t>
            </w:r>
          </w:p>
        </w:tc>
        <w:tc>
          <w:tcPr>
            <w:tcW w:w="462"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块</w:t>
            </w:r>
          </w:p>
        </w:tc>
        <w:tc>
          <w:tcPr>
            <w:tcW w:w="70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3</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墙面轻钢龙骨基层</w:t>
            </w:r>
          </w:p>
        </w:tc>
        <w:tc>
          <w:tcPr>
            <w:tcW w:w="547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rPr>
                <w:rFonts w:eastAsia="等线"/>
                <w:color w:val="000000"/>
                <w:kern w:val="0"/>
                <w:sz w:val="20"/>
                <w:szCs w:val="20"/>
              </w:rPr>
            </w:pPr>
            <w:r>
              <w:rPr>
                <w:rFonts w:eastAsia="等线"/>
                <w:color w:val="000000"/>
                <w:kern w:val="0"/>
                <w:sz w:val="20"/>
                <w:szCs w:val="20"/>
              </w:rPr>
              <w:t>75</w:t>
            </w:r>
            <w:r>
              <w:rPr>
                <w:rFonts w:hint="eastAsia" w:ascii="宋体" w:hAnsi="宋体"/>
                <w:color w:val="000000"/>
                <w:kern w:val="0"/>
                <w:sz w:val="20"/>
                <w:szCs w:val="20"/>
              </w:rPr>
              <w:t>轻钢龙骨基层，中心距</w:t>
            </w:r>
            <w:r>
              <w:rPr>
                <w:rFonts w:eastAsia="等线"/>
                <w:color w:val="000000"/>
                <w:kern w:val="0"/>
                <w:sz w:val="20"/>
                <w:szCs w:val="20"/>
              </w:rPr>
              <w:t>400mm</w:t>
            </w:r>
          </w:p>
        </w:tc>
        <w:tc>
          <w:tcPr>
            <w:tcW w:w="462"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m²</w:t>
            </w:r>
          </w:p>
        </w:tc>
        <w:tc>
          <w:tcPr>
            <w:tcW w:w="70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9</w:t>
            </w:r>
          </w:p>
        </w:tc>
      </w:tr>
      <w:tr>
        <w:tblPrEx>
          <w:tblCellMar>
            <w:top w:w="0" w:type="dxa"/>
            <w:left w:w="108" w:type="dxa"/>
            <w:bottom w:w="0" w:type="dxa"/>
            <w:right w:w="108" w:type="dxa"/>
          </w:tblCellMar>
        </w:tblPrEx>
        <w:trPr>
          <w:trHeight w:val="480"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方形工业换气扇（百叶窗式）</w:t>
            </w:r>
          </w:p>
        </w:tc>
        <w:tc>
          <w:tcPr>
            <w:tcW w:w="547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规格</w:t>
            </w:r>
            <w:r>
              <w:rPr>
                <w:rFonts w:eastAsia="等线"/>
                <w:color w:val="000000"/>
                <w:kern w:val="0"/>
                <w:sz w:val="20"/>
                <w:szCs w:val="20"/>
              </w:rPr>
              <w:t>400mm/16",</w:t>
            </w:r>
            <w:r>
              <w:rPr>
                <w:rFonts w:hint="eastAsia" w:ascii="宋体" w:hAnsi="宋体"/>
                <w:color w:val="000000"/>
                <w:kern w:val="0"/>
                <w:sz w:val="20"/>
                <w:szCs w:val="20"/>
              </w:rPr>
              <w:t>风量：不低于</w:t>
            </w:r>
            <w:r>
              <w:rPr>
                <w:rFonts w:eastAsia="等线"/>
                <w:color w:val="000000"/>
                <w:kern w:val="0"/>
                <w:sz w:val="20"/>
                <w:szCs w:val="20"/>
              </w:rPr>
              <w:t>2880m³/h</w:t>
            </w:r>
            <w:r>
              <w:rPr>
                <w:rFonts w:hint="eastAsia" w:ascii="宋体" w:hAnsi="宋体"/>
                <w:color w:val="000000"/>
                <w:kern w:val="0"/>
                <w:sz w:val="20"/>
                <w:szCs w:val="20"/>
              </w:rPr>
              <w:t>，额定电压</w:t>
            </w:r>
            <w:r>
              <w:rPr>
                <w:rFonts w:eastAsia="等线"/>
                <w:color w:val="000000"/>
                <w:kern w:val="0"/>
                <w:sz w:val="20"/>
                <w:szCs w:val="20"/>
              </w:rPr>
              <w:t>220V</w:t>
            </w:r>
          </w:p>
        </w:tc>
        <w:tc>
          <w:tcPr>
            <w:tcW w:w="462"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扇</w:t>
            </w:r>
          </w:p>
        </w:tc>
        <w:tc>
          <w:tcPr>
            <w:tcW w:w="70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3</w:t>
            </w:r>
          </w:p>
        </w:tc>
      </w:tr>
      <w:tr>
        <w:tblPrEx>
          <w:tblCellMar>
            <w:top w:w="0" w:type="dxa"/>
            <w:left w:w="108" w:type="dxa"/>
            <w:bottom w:w="0" w:type="dxa"/>
            <w:right w:w="108" w:type="dxa"/>
          </w:tblCellMar>
        </w:tblPrEx>
        <w:trPr>
          <w:trHeight w:val="504"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304</w:t>
            </w:r>
            <w:r>
              <w:rPr>
                <w:rFonts w:hint="eastAsia" w:ascii="宋体" w:hAnsi="宋体"/>
                <w:color w:val="000000"/>
                <w:kern w:val="0"/>
                <w:sz w:val="20"/>
                <w:szCs w:val="20"/>
              </w:rPr>
              <w:t>不锈钢防潮防锈货架</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金属材质</w:t>
            </w:r>
            <w:r>
              <w:rPr>
                <w:rFonts w:eastAsia="等线"/>
                <w:color w:val="000000"/>
                <w:kern w:val="0"/>
                <w:sz w:val="20"/>
                <w:szCs w:val="20"/>
              </w:rPr>
              <w:t>: 304</w:t>
            </w:r>
            <w:r>
              <w:rPr>
                <w:rFonts w:hint="eastAsia" w:ascii="宋体" w:hAnsi="宋体"/>
                <w:color w:val="000000"/>
                <w:kern w:val="0"/>
                <w:sz w:val="20"/>
                <w:szCs w:val="20"/>
              </w:rPr>
              <w:t>不锈钢，尺寸：</w:t>
            </w:r>
            <w:r>
              <w:rPr>
                <w:rFonts w:eastAsia="等线"/>
                <w:color w:val="000000"/>
                <w:kern w:val="0"/>
                <w:sz w:val="20"/>
                <w:szCs w:val="20"/>
              </w:rPr>
              <w:t>2000mm×600mm×2000mm</w:t>
            </w:r>
            <w:r>
              <w:rPr>
                <w:rFonts w:hint="eastAsia" w:ascii="宋体" w:hAnsi="宋体"/>
                <w:color w:val="000000"/>
                <w:kern w:val="0"/>
                <w:sz w:val="20"/>
                <w:szCs w:val="20"/>
              </w:rPr>
              <w:t>，单层承重：≥</w:t>
            </w:r>
            <w:r>
              <w:rPr>
                <w:rFonts w:eastAsia="等线"/>
                <w:color w:val="000000"/>
                <w:kern w:val="0"/>
                <w:sz w:val="20"/>
                <w:szCs w:val="20"/>
              </w:rPr>
              <w:t>400kg</w:t>
            </w:r>
            <w:r>
              <w:rPr>
                <w:rFonts w:hint="eastAsia" w:ascii="宋体" w:hAnsi="宋体"/>
                <w:color w:val="000000"/>
                <w:kern w:val="0"/>
                <w:sz w:val="20"/>
                <w:szCs w:val="20"/>
              </w:rPr>
              <w:t>，共</w:t>
            </w:r>
            <w:r>
              <w:rPr>
                <w:rFonts w:eastAsia="等线"/>
                <w:color w:val="000000"/>
                <w:kern w:val="0"/>
                <w:sz w:val="20"/>
                <w:szCs w:val="20"/>
              </w:rPr>
              <w:t>4</w:t>
            </w:r>
            <w:r>
              <w:rPr>
                <w:rFonts w:hint="eastAsia" w:ascii="宋体" w:hAnsi="宋体"/>
                <w:color w:val="000000"/>
                <w:kern w:val="0"/>
                <w:sz w:val="20"/>
                <w:szCs w:val="20"/>
              </w:rPr>
              <w:t>层</w:t>
            </w:r>
          </w:p>
        </w:tc>
        <w:tc>
          <w:tcPr>
            <w:tcW w:w="462"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件</w:t>
            </w:r>
          </w:p>
        </w:tc>
        <w:tc>
          <w:tcPr>
            <w:tcW w:w="70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2</w:t>
            </w:r>
          </w:p>
        </w:tc>
      </w:tr>
      <w:tr>
        <w:tblPrEx>
          <w:tblCellMar>
            <w:top w:w="0" w:type="dxa"/>
            <w:left w:w="108" w:type="dxa"/>
            <w:bottom w:w="0" w:type="dxa"/>
            <w:right w:w="108" w:type="dxa"/>
          </w:tblCellMar>
        </w:tblPrEx>
        <w:trPr>
          <w:trHeight w:val="528"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拆除、安装及垃圾清运</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机房：机柜设备拆除安装；窗户拆除及恢复</w:t>
            </w:r>
            <w:r>
              <w:rPr>
                <w:rFonts w:eastAsia="等线"/>
                <w:color w:val="000000"/>
                <w:kern w:val="0"/>
                <w:sz w:val="20"/>
                <w:szCs w:val="20"/>
              </w:rPr>
              <w:t>1</w:t>
            </w:r>
            <w:r>
              <w:rPr>
                <w:rFonts w:hint="eastAsia" w:ascii="宋体" w:hAnsi="宋体"/>
                <w:color w:val="000000"/>
                <w:kern w:val="0"/>
                <w:sz w:val="20"/>
                <w:szCs w:val="20"/>
              </w:rPr>
              <w:t>处，精密空调位置更换、搬运及空调安装，</w:t>
            </w:r>
            <w:r>
              <w:rPr>
                <w:rFonts w:eastAsia="等线"/>
                <w:color w:val="000000"/>
                <w:kern w:val="0"/>
                <w:sz w:val="20"/>
                <w:szCs w:val="20"/>
              </w:rPr>
              <w:t>3</w:t>
            </w:r>
            <w:r>
              <w:rPr>
                <w:rFonts w:hint="eastAsia" w:ascii="宋体" w:hAnsi="宋体"/>
                <w:color w:val="000000"/>
                <w:kern w:val="0"/>
                <w:sz w:val="20"/>
                <w:szCs w:val="20"/>
              </w:rPr>
              <w:t>处换气扇安装；地下一层：设备、垃圾清运、封堵一处（</w:t>
            </w:r>
            <w:r>
              <w:rPr>
                <w:rFonts w:eastAsia="等线"/>
                <w:color w:val="000000"/>
                <w:kern w:val="0"/>
                <w:sz w:val="20"/>
                <w:szCs w:val="20"/>
              </w:rPr>
              <w:t>3000mm×3000mm</w:t>
            </w:r>
            <w:r>
              <w:rPr>
                <w:rFonts w:hint="eastAsia" w:ascii="宋体" w:hAnsi="宋体"/>
                <w:color w:val="000000"/>
                <w:kern w:val="0"/>
                <w:sz w:val="20"/>
                <w:szCs w:val="20"/>
              </w:rPr>
              <w:t>）及货架安装</w:t>
            </w:r>
          </w:p>
        </w:tc>
        <w:tc>
          <w:tcPr>
            <w:tcW w:w="462"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项</w:t>
            </w:r>
          </w:p>
        </w:tc>
        <w:tc>
          <w:tcPr>
            <w:tcW w:w="70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吊车租赁</w:t>
            </w:r>
          </w:p>
        </w:tc>
        <w:tc>
          <w:tcPr>
            <w:tcW w:w="547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用于机房精密空调室外机搬运</w:t>
            </w:r>
          </w:p>
        </w:tc>
        <w:tc>
          <w:tcPr>
            <w:tcW w:w="462"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次</w:t>
            </w:r>
          </w:p>
        </w:tc>
        <w:tc>
          <w:tcPr>
            <w:tcW w:w="70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276" w:hRule="atLeast"/>
        </w:trPr>
        <w:tc>
          <w:tcPr>
            <w:tcW w:w="604"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b/>
                <w:bCs/>
                <w:color w:val="000000"/>
                <w:kern w:val="0"/>
                <w:sz w:val="20"/>
                <w:szCs w:val="20"/>
              </w:rPr>
            </w:pPr>
            <w:r>
              <w:rPr>
                <w:rFonts w:hint="eastAsia" w:ascii="宋体" w:hAnsi="宋体" w:cs="宋体"/>
                <w:b/>
                <w:bCs/>
                <w:color w:val="000000"/>
                <w:kern w:val="0"/>
                <w:sz w:val="20"/>
                <w:szCs w:val="20"/>
              </w:rPr>
              <w:t>四</w:t>
            </w:r>
          </w:p>
        </w:tc>
        <w:tc>
          <w:tcPr>
            <w:tcW w:w="8865"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b/>
                <w:bCs/>
                <w:color w:val="000000"/>
                <w:kern w:val="0"/>
                <w:sz w:val="20"/>
                <w:szCs w:val="20"/>
              </w:rPr>
            </w:pPr>
            <w:r>
              <w:rPr>
                <w:rFonts w:hint="eastAsia" w:ascii="宋体" w:hAnsi="宋体" w:cs="宋体"/>
                <w:b/>
                <w:bCs/>
                <w:color w:val="000000"/>
                <w:kern w:val="0"/>
                <w:sz w:val="20"/>
                <w:szCs w:val="20"/>
              </w:rPr>
              <w:t>网络传输系统服务</w:t>
            </w:r>
          </w:p>
        </w:tc>
      </w:tr>
      <w:tr>
        <w:tblPrEx>
          <w:tblCellMar>
            <w:top w:w="0" w:type="dxa"/>
            <w:left w:w="108" w:type="dxa"/>
            <w:bottom w:w="0" w:type="dxa"/>
            <w:right w:w="108" w:type="dxa"/>
          </w:tblCellMar>
        </w:tblPrEx>
        <w:trPr>
          <w:trHeight w:val="768" w:hRule="atLeast"/>
        </w:trPr>
        <w:tc>
          <w:tcPr>
            <w:tcW w:w="60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c>
          <w:tcPr>
            <w:tcW w:w="743"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网络设备</w:t>
            </w: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市局核心交换网关</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eastAsia="等线"/>
                <w:color w:val="000000"/>
                <w:kern w:val="0"/>
                <w:sz w:val="20"/>
                <w:szCs w:val="20"/>
              </w:rPr>
              <w:t>1</w:t>
            </w:r>
            <w:r>
              <w:rPr>
                <w:rFonts w:hint="eastAsia" w:ascii="宋体" w:hAnsi="宋体"/>
                <w:color w:val="000000"/>
                <w:kern w:val="0"/>
                <w:sz w:val="20"/>
                <w:szCs w:val="20"/>
              </w:rPr>
              <w:t>、交换容量≥</w:t>
            </w:r>
            <w:r>
              <w:rPr>
                <w:rFonts w:eastAsia="等线"/>
                <w:color w:val="000000"/>
                <w:kern w:val="0"/>
                <w:sz w:val="20"/>
                <w:szCs w:val="20"/>
              </w:rPr>
              <w:t>500Tbps</w:t>
            </w:r>
            <w:r>
              <w:rPr>
                <w:rFonts w:hint="eastAsia" w:ascii="宋体" w:hAnsi="宋体"/>
                <w:color w:val="000000"/>
                <w:kern w:val="0"/>
                <w:sz w:val="20"/>
                <w:szCs w:val="20"/>
              </w:rPr>
              <w:t>；</w:t>
            </w:r>
            <w:r>
              <w:rPr>
                <w:rFonts w:eastAsia="等线"/>
                <w:color w:val="000000"/>
                <w:kern w:val="0"/>
                <w:sz w:val="20"/>
                <w:szCs w:val="20"/>
              </w:rPr>
              <w:t xml:space="preserve"> </w:t>
            </w:r>
            <w:r>
              <w:rPr>
                <w:rFonts w:hint="eastAsia" w:ascii="宋体" w:hAnsi="宋体"/>
                <w:color w:val="000000"/>
                <w:kern w:val="0"/>
                <w:sz w:val="20"/>
                <w:szCs w:val="20"/>
              </w:rPr>
              <w:t>包转发率≥</w:t>
            </w:r>
            <w:r>
              <w:rPr>
                <w:rFonts w:eastAsia="等线"/>
                <w:color w:val="000000"/>
                <w:kern w:val="0"/>
                <w:sz w:val="20"/>
                <w:szCs w:val="20"/>
              </w:rPr>
              <w:t>20000Mpps</w:t>
            </w:r>
            <w:r>
              <w:rPr>
                <w:rFonts w:hint="eastAsia" w:ascii="宋体" w:hAnsi="宋体"/>
                <w:color w:val="000000"/>
                <w:kern w:val="0"/>
                <w:sz w:val="20"/>
                <w:szCs w:val="20"/>
              </w:rPr>
              <w:t>；</w:t>
            </w:r>
            <w:r>
              <w:rPr>
                <w:rFonts w:hint="eastAsia" w:ascii="宋体" w:hAnsi="宋体"/>
                <w:color w:val="000000"/>
                <w:kern w:val="0"/>
                <w:sz w:val="20"/>
                <w:szCs w:val="20"/>
              </w:rPr>
              <w:br w:type="textWrapping"/>
            </w:r>
            <w:r>
              <w:rPr>
                <w:rFonts w:eastAsia="等线"/>
                <w:color w:val="000000"/>
                <w:kern w:val="0"/>
                <w:sz w:val="20"/>
                <w:szCs w:val="20"/>
              </w:rPr>
              <w:t>2</w:t>
            </w:r>
            <w:r>
              <w:rPr>
                <w:rFonts w:hint="eastAsia" w:ascii="宋体" w:hAnsi="宋体"/>
                <w:color w:val="000000"/>
                <w:kern w:val="0"/>
                <w:sz w:val="20"/>
                <w:szCs w:val="20"/>
              </w:rPr>
              <w:t>、≥</w:t>
            </w:r>
            <w:r>
              <w:rPr>
                <w:rFonts w:eastAsia="等线"/>
                <w:color w:val="000000"/>
                <w:kern w:val="0"/>
                <w:sz w:val="20"/>
                <w:szCs w:val="20"/>
              </w:rPr>
              <w:t>48</w:t>
            </w:r>
            <w:r>
              <w:rPr>
                <w:rFonts w:hint="eastAsia" w:ascii="宋体" w:hAnsi="宋体"/>
                <w:color w:val="000000"/>
                <w:kern w:val="0"/>
                <w:sz w:val="20"/>
                <w:szCs w:val="20"/>
              </w:rPr>
              <w:t>端口千兆以太网光接口模块；≥</w:t>
            </w:r>
            <w:r>
              <w:rPr>
                <w:rFonts w:eastAsia="等线"/>
                <w:color w:val="000000"/>
                <w:kern w:val="0"/>
                <w:sz w:val="20"/>
                <w:szCs w:val="20"/>
              </w:rPr>
              <w:t>48</w:t>
            </w:r>
            <w:r>
              <w:rPr>
                <w:rFonts w:hint="eastAsia" w:ascii="宋体" w:hAnsi="宋体"/>
                <w:color w:val="000000"/>
                <w:kern w:val="0"/>
                <w:sz w:val="20"/>
                <w:szCs w:val="20"/>
              </w:rPr>
              <w:t>端口千兆以太网电接口模块</w:t>
            </w:r>
            <w:r>
              <w:rPr>
                <w:rFonts w:eastAsia="等线"/>
                <w:color w:val="000000"/>
                <w:kern w:val="0"/>
                <w:sz w:val="20"/>
                <w:szCs w:val="20"/>
              </w:rPr>
              <w:t>(RJ45)</w:t>
            </w:r>
            <w:r>
              <w:rPr>
                <w:rFonts w:hint="eastAsia" w:ascii="宋体" w:hAnsi="宋体"/>
                <w:color w:val="000000"/>
                <w:kern w:val="0"/>
                <w:sz w:val="20"/>
                <w:szCs w:val="20"/>
              </w:rPr>
              <w:t>；≥</w:t>
            </w:r>
            <w:r>
              <w:rPr>
                <w:rFonts w:eastAsia="等线"/>
                <w:color w:val="000000"/>
                <w:kern w:val="0"/>
                <w:sz w:val="20"/>
                <w:szCs w:val="20"/>
              </w:rPr>
              <w:t>48</w:t>
            </w:r>
            <w:r>
              <w:rPr>
                <w:rFonts w:hint="eastAsia" w:ascii="宋体" w:hAnsi="宋体"/>
                <w:color w:val="000000"/>
                <w:kern w:val="0"/>
                <w:sz w:val="20"/>
                <w:szCs w:val="20"/>
              </w:rPr>
              <w:t>端口万兆以太网光接口模块；冗余电源</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台</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2</w:t>
            </w:r>
          </w:p>
        </w:tc>
      </w:tr>
      <w:tr>
        <w:tblPrEx>
          <w:tblCellMar>
            <w:top w:w="0" w:type="dxa"/>
            <w:left w:w="108" w:type="dxa"/>
            <w:bottom w:w="0" w:type="dxa"/>
            <w:right w:w="108" w:type="dxa"/>
          </w:tblCellMar>
        </w:tblPrEx>
        <w:trPr>
          <w:trHeight w:val="528"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千兆交换网关</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eastAsia="等线"/>
                <w:color w:val="000000"/>
                <w:kern w:val="0"/>
                <w:sz w:val="20"/>
                <w:szCs w:val="20"/>
              </w:rPr>
              <w:t>1</w:t>
            </w:r>
            <w:r>
              <w:rPr>
                <w:rFonts w:hint="eastAsia" w:ascii="宋体" w:hAnsi="宋体"/>
                <w:color w:val="000000"/>
                <w:kern w:val="0"/>
                <w:sz w:val="20"/>
                <w:szCs w:val="20"/>
              </w:rPr>
              <w:t>、交换容量≥</w:t>
            </w:r>
            <w:r>
              <w:rPr>
                <w:rFonts w:eastAsia="等线"/>
                <w:color w:val="000000"/>
                <w:kern w:val="0"/>
                <w:sz w:val="20"/>
                <w:szCs w:val="20"/>
              </w:rPr>
              <w:t>432Gbps</w:t>
            </w:r>
            <w:r>
              <w:rPr>
                <w:rFonts w:hint="eastAsia" w:ascii="宋体" w:hAnsi="宋体"/>
                <w:color w:val="000000"/>
                <w:kern w:val="0"/>
                <w:sz w:val="20"/>
                <w:szCs w:val="20"/>
              </w:rPr>
              <w:t>，包转发率≥</w:t>
            </w:r>
            <w:r>
              <w:rPr>
                <w:rFonts w:eastAsia="等线"/>
                <w:color w:val="000000"/>
                <w:kern w:val="0"/>
                <w:sz w:val="20"/>
                <w:szCs w:val="20"/>
              </w:rPr>
              <w:t>144Mpps</w:t>
            </w:r>
            <w:r>
              <w:rPr>
                <w:rFonts w:hint="eastAsia" w:ascii="宋体" w:hAnsi="宋体"/>
                <w:color w:val="000000"/>
                <w:kern w:val="0"/>
                <w:sz w:val="20"/>
                <w:szCs w:val="20"/>
              </w:rPr>
              <w:t>；</w:t>
            </w:r>
            <w:r>
              <w:rPr>
                <w:rFonts w:hint="eastAsia" w:ascii="宋体" w:hAnsi="宋体"/>
                <w:color w:val="000000"/>
                <w:kern w:val="0"/>
                <w:sz w:val="20"/>
                <w:szCs w:val="20"/>
              </w:rPr>
              <w:br w:type="textWrapping"/>
            </w:r>
            <w:r>
              <w:rPr>
                <w:rFonts w:eastAsia="等线"/>
                <w:color w:val="000000"/>
                <w:kern w:val="0"/>
                <w:sz w:val="20"/>
                <w:szCs w:val="20"/>
              </w:rPr>
              <w:t>2</w:t>
            </w:r>
            <w:r>
              <w:rPr>
                <w:rFonts w:hint="eastAsia" w:ascii="宋体" w:hAnsi="宋体"/>
                <w:color w:val="000000"/>
                <w:kern w:val="0"/>
                <w:sz w:val="20"/>
                <w:szCs w:val="20"/>
              </w:rPr>
              <w:t>、≥</w:t>
            </w:r>
            <w:r>
              <w:rPr>
                <w:rFonts w:eastAsia="等线"/>
                <w:color w:val="000000"/>
                <w:kern w:val="0"/>
                <w:sz w:val="20"/>
                <w:szCs w:val="20"/>
              </w:rPr>
              <w:t>48</w:t>
            </w:r>
            <w:r>
              <w:rPr>
                <w:rFonts w:hint="eastAsia" w:ascii="宋体" w:hAnsi="宋体"/>
                <w:color w:val="000000"/>
                <w:kern w:val="0"/>
                <w:sz w:val="20"/>
                <w:szCs w:val="20"/>
              </w:rPr>
              <w:t>个千兆电口，≥</w:t>
            </w:r>
            <w:r>
              <w:rPr>
                <w:rFonts w:eastAsia="等线"/>
                <w:color w:val="000000"/>
                <w:kern w:val="0"/>
                <w:sz w:val="20"/>
                <w:szCs w:val="20"/>
              </w:rPr>
              <w:t>4</w:t>
            </w:r>
            <w:r>
              <w:rPr>
                <w:rFonts w:hint="eastAsia" w:ascii="宋体" w:hAnsi="宋体"/>
                <w:color w:val="000000"/>
                <w:kern w:val="0"/>
                <w:sz w:val="20"/>
                <w:szCs w:val="20"/>
              </w:rPr>
              <w:t>个万兆</w:t>
            </w:r>
            <w:r>
              <w:rPr>
                <w:rFonts w:eastAsia="等线"/>
                <w:color w:val="000000"/>
                <w:kern w:val="0"/>
                <w:sz w:val="20"/>
                <w:szCs w:val="20"/>
              </w:rPr>
              <w:t>SFP+</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台</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4</w:t>
            </w:r>
          </w:p>
        </w:tc>
      </w:tr>
      <w:tr>
        <w:tblPrEx>
          <w:tblCellMar>
            <w:top w:w="0" w:type="dxa"/>
            <w:left w:w="108" w:type="dxa"/>
            <w:bottom w:w="0" w:type="dxa"/>
            <w:right w:w="108" w:type="dxa"/>
          </w:tblCellMar>
        </w:tblPrEx>
        <w:trPr>
          <w:trHeight w:val="528"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万兆交换网关</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eastAsia="等线"/>
                <w:color w:val="000000"/>
                <w:kern w:val="0"/>
                <w:sz w:val="20"/>
                <w:szCs w:val="20"/>
              </w:rPr>
              <w:t>1</w:t>
            </w:r>
            <w:r>
              <w:rPr>
                <w:rFonts w:hint="eastAsia" w:ascii="宋体" w:hAnsi="宋体"/>
                <w:color w:val="000000"/>
                <w:kern w:val="0"/>
                <w:sz w:val="20"/>
                <w:szCs w:val="20"/>
              </w:rPr>
              <w:t>、交换容量≥</w:t>
            </w:r>
            <w:r>
              <w:rPr>
                <w:rFonts w:eastAsia="等线"/>
                <w:color w:val="000000"/>
                <w:kern w:val="0"/>
                <w:sz w:val="20"/>
                <w:szCs w:val="20"/>
              </w:rPr>
              <w:t>2.5Tbps</w:t>
            </w:r>
            <w:r>
              <w:rPr>
                <w:rFonts w:hint="eastAsia" w:ascii="宋体" w:hAnsi="宋体"/>
                <w:color w:val="000000"/>
                <w:kern w:val="0"/>
                <w:sz w:val="20"/>
                <w:szCs w:val="20"/>
              </w:rPr>
              <w:t>，包转发率≥</w:t>
            </w:r>
            <w:r>
              <w:rPr>
                <w:rFonts w:eastAsia="等线"/>
                <w:color w:val="000000"/>
                <w:kern w:val="0"/>
                <w:sz w:val="20"/>
                <w:szCs w:val="20"/>
              </w:rPr>
              <w:t>1000Mpps</w:t>
            </w:r>
            <w:r>
              <w:rPr>
                <w:rFonts w:hint="eastAsia" w:ascii="宋体" w:hAnsi="宋体"/>
                <w:color w:val="000000"/>
                <w:kern w:val="0"/>
                <w:sz w:val="20"/>
                <w:szCs w:val="20"/>
              </w:rPr>
              <w:t>；</w:t>
            </w:r>
            <w:r>
              <w:rPr>
                <w:rFonts w:hint="eastAsia" w:ascii="宋体" w:hAnsi="宋体"/>
                <w:color w:val="000000"/>
                <w:kern w:val="0"/>
                <w:sz w:val="20"/>
                <w:szCs w:val="20"/>
              </w:rPr>
              <w:br w:type="textWrapping"/>
            </w:r>
            <w:r>
              <w:rPr>
                <w:rFonts w:eastAsia="等线"/>
                <w:color w:val="000000"/>
                <w:kern w:val="0"/>
                <w:sz w:val="20"/>
                <w:szCs w:val="20"/>
              </w:rPr>
              <w:t>2</w:t>
            </w:r>
            <w:r>
              <w:rPr>
                <w:rFonts w:hint="eastAsia" w:ascii="宋体" w:hAnsi="宋体"/>
                <w:color w:val="000000"/>
                <w:kern w:val="0"/>
                <w:sz w:val="20"/>
                <w:szCs w:val="20"/>
              </w:rPr>
              <w:t>、支持</w:t>
            </w:r>
            <w:r>
              <w:rPr>
                <w:rFonts w:eastAsia="等线"/>
                <w:color w:val="000000"/>
                <w:kern w:val="0"/>
                <w:sz w:val="20"/>
                <w:szCs w:val="20"/>
              </w:rPr>
              <w:t>48</w:t>
            </w:r>
            <w:r>
              <w:rPr>
                <w:rFonts w:hint="eastAsia" w:ascii="宋体" w:hAnsi="宋体"/>
                <w:color w:val="000000"/>
                <w:kern w:val="0"/>
                <w:sz w:val="20"/>
                <w:szCs w:val="20"/>
              </w:rPr>
              <w:t>个万兆</w:t>
            </w:r>
            <w:r>
              <w:rPr>
                <w:rFonts w:eastAsia="等线"/>
                <w:color w:val="000000"/>
                <w:kern w:val="0"/>
                <w:sz w:val="20"/>
                <w:szCs w:val="20"/>
              </w:rPr>
              <w:t>SFP+</w:t>
            </w:r>
            <w:r>
              <w:rPr>
                <w:rFonts w:hint="eastAsia" w:ascii="宋体" w:hAnsi="宋体"/>
                <w:color w:val="000000"/>
                <w:kern w:val="0"/>
                <w:sz w:val="20"/>
                <w:szCs w:val="20"/>
              </w:rPr>
              <w:t>端口，≥</w:t>
            </w:r>
            <w:r>
              <w:rPr>
                <w:rFonts w:eastAsia="等线"/>
                <w:color w:val="000000"/>
                <w:kern w:val="0"/>
                <w:sz w:val="20"/>
                <w:szCs w:val="20"/>
              </w:rPr>
              <w:t>2</w:t>
            </w:r>
            <w:r>
              <w:rPr>
                <w:rFonts w:hint="eastAsia" w:ascii="宋体" w:hAnsi="宋体"/>
                <w:color w:val="000000"/>
                <w:kern w:val="0"/>
                <w:sz w:val="20"/>
                <w:szCs w:val="20"/>
              </w:rPr>
              <w:t>个</w:t>
            </w:r>
            <w:r>
              <w:rPr>
                <w:rFonts w:eastAsia="等线"/>
                <w:color w:val="000000"/>
                <w:kern w:val="0"/>
                <w:sz w:val="20"/>
                <w:szCs w:val="20"/>
              </w:rPr>
              <w:t>40G QSFP+</w:t>
            </w:r>
            <w:r>
              <w:rPr>
                <w:rFonts w:hint="eastAsia" w:ascii="宋体" w:hAnsi="宋体"/>
                <w:color w:val="000000"/>
                <w:kern w:val="0"/>
                <w:sz w:val="20"/>
                <w:szCs w:val="20"/>
              </w:rPr>
              <w:t>端口，冗余电源</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台</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5</w:t>
            </w:r>
          </w:p>
        </w:tc>
      </w:tr>
      <w:tr>
        <w:tblPrEx>
          <w:tblCellMar>
            <w:top w:w="0" w:type="dxa"/>
            <w:left w:w="108" w:type="dxa"/>
            <w:bottom w:w="0" w:type="dxa"/>
            <w:right w:w="108" w:type="dxa"/>
          </w:tblCellMar>
        </w:tblPrEx>
        <w:trPr>
          <w:trHeight w:val="528"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社会资源接入核心交换网关</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eastAsia="等线"/>
                <w:color w:val="000000"/>
                <w:kern w:val="0"/>
                <w:sz w:val="20"/>
                <w:szCs w:val="20"/>
              </w:rPr>
              <w:t>1</w:t>
            </w:r>
            <w:r>
              <w:rPr>
                <w:rFonts w:hint="eastAsia" w:ascii="宋体" w:hAnsi="宋体"/>
                <w:color w:val="000000"/>
                <w:kern w:val="0"/>
                <w:sz w:val="20"/>
                <w:szCs w:val="20"/>
              </w:rPr>
              <w:t>、交换容量≥</w:t>
            </w:r>
            <w:r>
              <w:rPr>
                <w:rFonts w:eastAsia="等线"/>
                <w:color w:val="000000"/>
                <w:kern w:val="0"/>
                <w:sz w:val="20"/>
                <w:szCs w:val="20"/>
              </w:rPr>
              <w:t>76Tbps</w:t>
            </w:r>
            <w:r>
              <w:rPr>
                <w:rFonts w:hint="eastAsia" w:ascii="宋体" w:hAnsi="宋体"/>
                <w:color w:val="000000"/>
                <w:kern w:val="0"/>
                <w:sz w:val="20"/>
                <w:szCs w:val="20"/>
              </w:rPr>
              <w:t>，包转发率≥</w:t>
            </w:r>
            <w:r>
              <w:rPr>
                <w:rFonts w:eastAsia="等线"/>
                <w:color w:val="000000"/>
                <w:kern w:val="0"/>
                <w:sz w:val="20"/>
                <w:szCs w:val="20"/>
              </w:rPr>
              <w:t>8600Mpps</w:t>
            </w:r>
            <w:r>
              <w:rPr>
                <w:rFonts w:hint="eastAsia" w:ascii="宋体" w:hAnsi="宋体"/>
                <w:color w:val="000000"/>
                <w:kern w:val="0"/>
                <w:sz w:val="20"/>
                <w:szCs w:val="20"/>
              </w:rPr>
              <w:t>；</w:t>
            </w:r>
            <w:r>
              <w:rPr>
                <w:rFonts w:hint="eastAsia" w:ascii="宋体" w:hAnsi="宋体"/>
                <w:color w:val="000000"/>
                <w:kern w:val="0"/>
                <w:sz w:val="20"/>
                <w:szCs w:val="20"/>
              </w:rPr>
              <w:br w:type="textWrapping"/>
            </w:r>
            <w:r>
              <w:rPr>
                <w:rFonts w:eastAsia="等线"/>
                <w:color w:val="000000"/>
                <w:kern w:val="0"/>
                <w:sz w:val="20"/>
                <w:szCs w:val="20"/>
              </w:rPr>
              <w:t>2</w:t>
            </w:r>
            <w:r>
              <w:rPr>
                <w:rFonts w:hint="eastAsia" w:ascii="宋体" w:hAnsi="宋体"/>
                <w:color w:val="000000"/>
                <w:kern w:val="0"/>
                <w:sz w:val="20"/>
                <w:szCs w:val="20"/>
              </w:rPr>
              <w:t>、千兆以太网光接口≥</w:t>
            </w:r>
            <w:r>
              <w:rPr>
                <w:rFonts w:eastAsia="等线"/>
                <w:color w:val="000000"/>
                <w:kern w:val="0"/>
                <w:sz w:val="20"/>
                <w:szCs w:val="20"/>
              </w:rPr>
              <w:t>48</w:t>
            </w:r>
            <w:r>
              <w:rPr>
                <w:rFonts w:hint="eastAsia" w:ascii="宋体" w:hAnsi="宋体"/>
                <w:color w:val="000000"/>
                <w:kern w:val="0"/>
                <w:sz w:val="20"/>
                <w:szCs w:val="20"/>
              </w:rPr>
              <w:t>个，万兆以太网光接口≥</w:t>
            </w:r>
            <w:r>
              <w:rPr>
                <w:rFonts w:eastAsia="等线"/>
                <w:color w:val="000000"/>
                <w:kern w:val="0"/>
                <w:sz w:val="20"/>
                <w:szCs w:val="20"/>
              </w:rPr>
              <w:t>48</w:t>
            </w:r>
            <w:r>
              <w:rPr>
                <w:rFonts w:hint="eastAsia" w:ascii="宋体" w:hAnsi="宋体"/>
                <w:color w:val="000000"/>
                <w:kern w:val="0"/>
                <w:sz w:val="20"/>
                <w:szCs w:val="20"/>
              </w:rPr>
              <w:t>个，千兆以太网电接口≥</w:t>
            </w:r>
            <w:r>
              <w:rPr>
                <w:rFonts w:eastAsia="等线"/>
                <w:color w:val="000000"/>
                <w:kern w:val="0"/>
                <w:sz w:val="20"/>
                <w:szCs w:val="20"/>
              </w:rPr>
              <w:t>48</w:t>
            </w:r>
            <w:r>
              <w:rPr>
                <w:rFonts w:hint="eastAsia" w:ascii="宋体" w:hAnsi="宋体"/>
                <w:color w:val="000000"/>
                <w:kern w:val="0"/>
                <w:sz w:val="20"/>
                <w:szCs w:val="20"/>
              </w:rPr>
              <w:t>个</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台</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528"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社会资源接入网千兆交换网关</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eastAsia="等线"/>
                <w:color w:val="000000"/>
                <w:kern w:val="0"/>
                <w:sz w:val="20"/>
                <w:szCs w:val="20"/>
              </w:rPr>
              <w:t>1</w:t>
            </w:r>
            <w:r>
              <w:rPr>
                <w:rFonts w:hint="eastAsia" w:ascii="宋体" w:hAnsi="宋体"/>
                <w:color w:val="000000"/>
                <w:kern w:val="0"/>
                <w:sz w:val="20"/>
                <w:szCs w:val="20"/>
              </w:rPr>
              <w:t>、交换容量≥</w:t>
            </w:r>
            <w:r>
              <w:rPr>
                <w:rFonts w:eastAsia="等线"/>
                <w:color w:val="000000"/>
                <w:kern w:val="0"/>
                <w:sz w:val="20"/>
                <w:szCs w:val="20"/>
              </w:rPr>
              <w:t>432Gbps</w:t>
            </w:r>
            <w:r>
              <w:rPr>
                <w:rFonts w:hint="eastAsia" w:ascii="宋体" w:hAnsi="宋体"/>
                <w:color w:val="000000"/>
                <w:kern w:val="0"/>
                <w:sz w:val="20"/>
                <w:szCs w:val="20"/>
              </w:rPr>
              <w:t>，包转发率≥</w:t>
            </w:r>
            <w:r>
              <w:rPr>
                <w:rFonts w:eastAsia="等线"/>
                <w:color w:val="000000"/>
                <w:kern w:val="0"/>
                <w:sz w:val="20"/>
                <w:szCs w:val="20"/>
              </w:rPr>
              <w:t>144Mpps</w:t>
            </w:r>
            <w:r>
              <w:rPr>
                <w:rFonts w:hint="eastAsia" w:ascii="宋体" w:hAnsi="宋体"/>
                <w:color w:val="000000"/>
                <w:kern w:val="0"/>
                <w:sz w:val="20"/>
                <w:szCs w:val="20"/>
              </w:rPr>
              <w:t>；</w:t>
            </w:r>
            <w:r>
              <w:rPr>
                <w:rFonts w:hint="eastAsia" w:ascii="宋体" w:hAnsi="宋体"/>
                <w:color w:val="000000"/>
                <w:kern w:val="0"/>
                <w:sz w:val="20"/>
                <w:szCs w:val="20"/>
              </w:rPr>
              <w:br w:type="textWrapping"/>
            </w:r>
            <w:r>
              <w:rPr>
                <w:rFonts w:eastAsia="等线"/>
                <w:color w:val="000000"/>
                <w:kern w:val="0"/>
                <w:sz w:val="20"/>
                <w:szCs w:val="20"/>
              </w:rPr>
              <w:t>2</w:t>
            </w:r>
            <w:r>
              <w:rPr>
                <w:rFonts w:hint="eastAsia" w:ascii="宋体" w:hAnsi="宋体"/>
                <w:color w:val="000000"/>
                <w:kern w:val="0"/>
                <w:sz w:val="20"/>
                <w:szCs w:val="20"/>
              </w:rPr>
              <w:t>、≥</w:t>
            </w:r>
            <w:r>
              <w:rPr>
                <w:rFonts w:eastAsia="等线"/>
                <w:color w:val="000000"/>
                <w:kern w:val="0"/>
                <w:sz w:val="20"/>
                <w:szCs w:val="20"/>
              </w:rPr>
              <w:t>48</w:t>
            </w:r>
            <w:r>
              <w:rPr>
                <w:rFonts w:hint="eastAsia" w:ascii="宋体" w:hAnsi="宋体"/>
                <w:color w:val="000000"/>
                <w:kern w:val="0"/>
                <w:sz w:val="20"/>
                <w:szCs w:val="20"/>
              </w:rPr>
              <w:t>个千兆电口，≥</w:t>
            </w:r>
            <w:r>
              <w:rPr>
                <w:rFonts w:eastAsia="等线"/>
                <w:color w:val="000000"/>
                <w:kern w:val="0"/>
                <w:sz w:val="20"/>
                <w:szCs w:val="20"/>
              </w:rPr>
              <w:t>4</w:t>
            </w:r>
            <w:r>
              <w:rPr>
                <w:rFonts w:hint="eastAsia" w:ascii="宋体" w:hAnsi="宋体"/>
                <w:color w:val="000000"/>
                <w:kern w:val="0"/>
                <w:sz w:val="20"/>
                <w:szCs w:val="20"/>
              </w:rPr>
              <w:t>个万兆</w:t>
            </w:r>
            <w:r>
              <w:rPr>
                <w:rFonts w:eastAsia="等线"/>
                <w:color w:val="000000"/>
                <w:kern w:val="0"/>
                <w:sz w:val="20"/>
                <w:szCs w:val="20"/>
              </w:rPr>
              <w:t>SFP+</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台</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528"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社会资源接入网万兆交换网关</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eastAsia="等线"/>
                <w:color w:val="000000"/>
                <w:kern w:val="0"/>
                <w:sz w:val="20"/>
                <w:szCs w:val="20"/>
              </w:rPr>
              <w:t>1</w:t>
            </w:r>
            <w:r>
              <w:rPr>
                <w:rFonts w:hint="eastAsia" w:ascii="宋体" w:hAnsi="宋体"/>
                <w:color w:val="000000"/>
                <w:kern w:val="0"/>
                <w:sz w:val="20"/>
                <w:szCs w:val="20"/>
              </w:rPr>
              <w:t>、交换容量≥</w:t>
            </w:r>
            <w:r>
              <w:rPr>
                <w:rFonts w:eastAsia="等线"/>
                <w:color w:val="000000"/>
                <w:kern w:val="0"/>
                <w:sz w:val="20"/>
                <w:szCs w:val="20"/>
              </w:rPr>
              <w:t>2.5Tbps</w:t>
            </w:r>
            <w:r>
              <w:rPr>
                <w:rFonts w:hint="eastAsia" w:ascii="宋体" w:hAnsi="宋体"/>
                <w:color w:val="000000"/>
                <w:kern w:val="0"/>
                <w:sz w:val="20"/>
                <w:szCs w:val="20"/>
              </w:rPr>
              <w:t>，包转发率≥</w:t>
            </w:r>
            <w:r>
              <w:rPr>
                <w:rFonts w:eastAsia="等线"/>
                <w:color w:val="000000"/>
                <w:kern w:val="0"/>
                <w:sz w:val="20"/>
                <w:szCs w:val="20"/>
              </w:rPr>
              <w:t>1000Mpps</w:t>
            </w:r>
            <w:r>
              <w:rPr>
                <w:rFonts w:hint="eastAsia" w:ascii="宋体" w:hAnsi="宋体"/>
                <w:color w:val="000000"/>
                <w:kern w:val="0"/>
                <w:sz w:val="20"/>
                <w:szCs w:val="20"/>
              </w:rPr>
              <w:t>；</w:t>
            </w:r>
            <w:r>
              <w:rPr>
                <w:rFonts w:hint="eastAsia" w:ascii="宋体" w:hAnsi="宋体"/>
                <w:color w:val="000000"/>
                <w:kern w:val="0"/>
                <w:sz w:val="20"/>
                <w:szCs w:val="20"/>
              </w:rPr>
              <w:br w:type="textWrapping"/>
            </w:r>
            <w:r>
              <w:rPr>
                <w:rFonts w:eastAsia="等线"/>
                <w:color w:val="000000"/>
                <w:kern w:val="0"/>
                <w:sz w:val="20"/>
                <w:szCs w:val="20"/>
              </w:rPr>
              <w:t>2</w:t>
            </w:r>
            <w:r>
              <w:rPr>
                <w:rFonts w:hint="eastAsia" w:ascii="宋体" w:hAnsi="宋体"/>
                <w:color w:val="000000"/>
                <w:kern w:val="0"/>
                <w:sz w:val="20"/>
                <w:szCs w:val="20"/>
              </w:rPr>
              <w:t>、支持</w:t>
            </w:r>
            <w:r>
              <w:rPr>
                <w:rFonts w:eastAsia="等线"/>
                <w:color w:val="000000"/>
                <w:kern w:val="0"/>
                <w:sz w:val="20"/>
                <w:szCs w:val="20"/>
              </w:rPr>
              <w:t>48</w:t>
            </w:r>
            <w:r>
              <w:rPr>
                <w:rFonts w:hint="eastAsia" w:ascii="宋体" w:hAnsi="宋体"/>
                <w:color w:val="000000"/>
                <w:kern w:val="0"/>
                <w:sz w:val="20"/>
                <w:szCs w:val="20"/>
              </w:rPr>
              <w:t>个万兆</w:t>
            </w:r>
            <w:r>
              <w:rPr>
                <w:rFonts w:eastAsia="等线"/>
                <w:color w:val="000000"/>
                <w:kern w:val="0"/>
                <w:sz w:val="20"/>
                <w:szCs w:val="20"/>
              </w:rPr>
              <w:t>SFP+</w:t>
            </w:r>
            <w:r>
              <w:rPr>
                <w:rFonts w:hint="eastAsia" w:ascii="宋体" w:hAnsi="宋体"/>
                <w:color w:val="000000"/>
                <w:kern w:val="0"/>
                <w:sz w:val="20"/>
                <w:szCs w:val="20"/>
              </w:rPr>
              <w:t>端口，≥</w:t>
            </w:r>
            <w:r>
              <w:rPr>
                <w:rFonts w:eastAsia="等线"/>
                <w:color w:val="000000"/>
                <w:kern w:val="0"/>
                <w:sz w:val="20"/>
                <w:szCs w:val="20"/>
              </w:rPr>
              <w:t>2</w:t>
            </w:r>
            <w:r>
              <w:rPr>
                <w:rFonts w:hint="eastAsia" w:ascii="宋体" w:hAnsi="宋体"/>
                <w:color w:val="000000"/>
                <w:kern w:val="0"/>
                <w:sz w:val="20"/>
                <w:szCs w:val="20"/>
              </w:rPr>
              <w:t>个</w:t>
            </w:r>
            <w:r>
              <w:rPr>
                <w:rFonts w:eastAsia="等线"/>
                <w:color w:val="000000"/>
                <w:kern w:val="0"/>
                <w:sz w:val="20"/>
                <w:szCs w:val="20"/>
              </w:rPr>
              <w:t>40G QSFP+</w:t>
            </w:r>
            <w:r>
              <w:rPr>
                <w:rFonts w:hint="eastAsia" w:ascii="宋体" w:hAnsi="宋体"/>
                <w:color w:val="000000"/>
                <w:kern w:val="0"/>
                <w:sz w:val="20"/>
                <w:szCs w:val="20"/>
              </w:rPr>
              <w:t>端口，冗余电源</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台</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720" w:hRule="atLeast"/>
        </w:trPr>
        <w:tc>
          <w:tcPr>
            <w:tcW w:w="60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2</w:t>
            </w:r>
          </w:p>
        </w:tc>
        <w:tc>
          <w:tcPr>
            <w:tcW w:w="743"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传输链路</w:t>
            </w: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各街道办、乡政府、乡镇派出所到达旗公安局专线</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eastAsia="等线"/>
                <w:color w:val="000000"/>
                <w:kern w:val="0"/>
                <w:sz w:val="20"/>
                <w:szCs w:val="20"/>
              </w:rPr>
              <w:t>400M</w:t>
            </w:r>
            <w:r>
              <w:rPr>
                <w:rFonts w:hint="eastAsia" w:ascii="宋体" w:hAnsi="宋体"/>
                <w:color w:val="000000"/>
                <w:kern w:val="0"/>
                <w:sz w:val="20"/>
                <w:szCs w:val="20"/>
              </w:rPr>
              <w:t>专线，租赁期</w:t>
            </w:r>
            <w:r>
              <w:rPr>
                <w:rFonts w:eastAsia="等线"/>
                <w:color w:val="000000"/>
                <w:kern w:val="0"/>
                <w:sz w:val="20"/>
                <w:szCs w:val="20"/>
              </w:rPr>
              <w:t>3</w:t>
            </w:r>
            <w:r>
              <w:rPr>
                <w:rFonts w:hint="eastAsia" w:ascii="宋体" w:hAnsi="宋体"/>
                <w:color w:val="000000"/>
                <w:kern w:val="0"/>
                <w:sz w:val="20"/>
                <w:szCs w:val="20"/>
              </w:rPr>
              <w:t>年</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条</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24</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政府委到旗公安局专线</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eastAsia="等线"/>
                <w:color w:val="000000"/>
                <w:kern w:val="0"/>
                <w:sz w:val="20"/>
                <w:szCs w:val="20"/>
              </w:rPr>
              <w:t>1000M</w:t>
            </w:r>
            <w:r>
              <w:rPr>
                <w:rFonts w:hint="eastAsia" w:ascii="宋体" w:hAnsi="宋体"/>
                <w:color w:val="000000"/>
                <w:kern w:val="0"/>
                <w:sz w:val="20"/>
                <w:szCs w:val="20"/>
              </w:rPr>
              <w:t>专线，租赁期</w:t>
            </w:r>
            <w:r>
              <w:rPr>
                <w:rFonts w:eastAsia="等线"/>
                <w:color w:val="000000"/>
                <w:kern w:val="0"/>
                <w:sz w:val="20"/>
                <w:szCs w:val="20"/>
              </w:rPr>
              <w:t>3</w:t>
            </w:r>
            <w:r>
              <w:rPr>
                <w:rFonts w:hint="eastAsia" w:ascii="宋体" w:hAnsi="宋体"/>
                <w:color w:val="000000"/>
                <w:kern w:val="0"/>
                <w:sz w:val="20"/>
                <w:szCs w:val="20"/>
              </w:rPr>
              <w:t>年</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条</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前端摄像机接入专线</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eastAsia="等线"/>
                <w:color w:val="000000"/>
                <w:kern w:val="0"/>
                <w:sz w:val="20"/>
                <w:szCs w:val="20"/>
              </w:rPr>
              <w:t>100M</w:t>
            </w:r>
            <w:r>
              <w:rPr>
                <w:rFonts w:hint="eastAsia" w:ascii="宋体" w:hAnsi="宋体"/>
                <w:color w:val="000000"/>
                <w:kern w:val="0"/>
                <w:sz w:val="20"/>
                <w:szCs w:val="20"/>
              </w:rPr>
              <w:t>专线，租赁期</w:t>
            </w:r>
            <w:r>
              <w:rPr>
                <w:rFonts w:eastAsia="等线"/>
                <w:color w:val="000000"/>
                <w:kern w:val="0"/>
                <w:sz w:val="20"/>
                <w:szCs w:val="20"/>
              </w:rPr>
              <w:t>3</w:t>
            </w:r>
            <w:r>
              <w:rPr>
                <w:rFonts w:hint="eastAsia" w:ascii="宋体" w:hAnsi="宋体"/>
                <w:color w:val="000000"/>
                <w:kern w:val="0"/>
                <w:sz w:val="20"/>
                <w:szCs w:val="20"/>
              </w:rPr>
              <w:t>年</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点</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610</w:t>
            </w:r>
          </w:p>
        </w:tc>
      </w:tr>
      <w:tr>
        <w:tblPrEx>
          <w:tblCellMar>
            <w:top w:w="0" w:type="dxa"/>
            <w:left w:w="108" w:type="dxa"/>
            <w:bottom w:w="0" w:type="dxa"/>
            <w:right w:w="108" w:type="dxa"/>
          </w:tblCellMar>
        </w:tblPrEx>
        <w:trPr>
          <w:trHeight w:val="504"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社会资源</w:t>
            </w:r>
            <w:r>
              <w:rPr>
                <w:rFonts w:eastAsia="等线"/>
                <w:color w:val="000000"/>
                <w:kern w:val="0"/>
                <w:sz w:val="20"/>
                <w:szCs w:val="20"/>
              </w:rPr>
              <w:t>-</w:t>
            </w:r>
            <w:r>
              <w:rPr>
                <w:rFonts w:hint="eastAsia" w:ascii="宋体" w:hAnsi="宋体"/>
                <w:color w:val="000000"/>
                <w:kern w:val="0"/>
                <w:sz w:val="20"/>
                <w:szCs w:val="20"/>
              </w:rPr>
              <w:t>住宅小区</w:t>
            </w:r>
            <w:r>
              <w:rPr>
                <w:rFonts w:eastAsia="等线"/>
                <w:color w:val="000000"/>
                <w:kern w:val="0"/>
                <w:sz w:val="20"/>
                <w:szCs w:val="20"/>
              </w:rPr>
              <w:t>VPN</w:t>
            </w:r>
            <w:r>
              <w:rPr>
                <w:rFonts w:hint="eastAsia" w:ascii="宋体" w:hAnsi="宋体"/>
                <w:color w:val="000000"/>
                <w:kern w:val="0"/>
                <w:sz w:val="20"/>
                <w:szCs w:val="20"/>
              </w:rPr>
              <w:t>接入</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eastAsia="等线"/>
                <w:color w:val="000000"/>
                <w:kern w:val="0"/>
                <w:sz w:val="20"/>
                <w:szCs w:val="20"/>
              </w:rPr>
              <w:t>100M</w:t>
            </w:r>
            <w:r>
              <w:rPr>
                <w:rFonts w:hint="eastAsia" w:ascii="宋体" w:hAnsi="宋体"/>
                <w:color w:val="000000"/>
                <w:kern w:val="0"/>
                <w:sz w:val="20"/>
                <w:szCs w:val="20"/>
              </w:rPr>
              <w:t>，租赁期</w:t>
            </w:r>
            <w:r>
              <w:rPr>
                <w:rFonts w:eastAsia="等线"/>
                <w:color w:val="000000"/>
                <w:kern w:val="0"/>
                <w:sz w:val="20"/>
                <w:szCs w:val="20"/>
              </w:rPr>
              <w:t>3</w:t>
            </w:r>
            <w:r>
              <w:rPr>
                <w:rFonts w:hint="eastAsia" w:ascii="宋体" w:hAnsi="宋体"/>
                <w:color w:val="000000"/>
                <w:kern w:val="0"/>
                <w:sz w:val="20"/>
                <w:szCs w:val="20"/>
              </w:rPr>
              <w:t>年</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条</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189</w:t>
            </w:r>
          </w:p>
        </w:tc>
      </w:tr>
      <w:tr>
        <w:tblPrEx>
          <w:tblCellMar>
            <w:top w:w="0" w:type="dxa"/>
            <w:left w:w="108" w:type="dxa"/>
            <w:bottom w:w="0" w:type="dxa"/>
            <w:right w:w="108" w:type="dxa"/>
          </w:tblCellMar>
        </w:tblPrEx>
        <w:trPr>
          <w:trHeight w:val="504"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社会资源</w:t>
            </w:r>
            <w:r>
              <w:rPr>
                <w:rFonts w:eastAsia="等线"/>
                <w:color w:val="000000"/>
                <w:kern w:val="0"/>
                <w:sz w:val="20"/>
                <w:szCs w:val="20"/>
              </w:rPr>
              <w:t>-</w:t>
            </w:r>
            <w:r>
              <w:rPr>
                <w:rFonts w:hint="eastAsia" w:ascii="宋体" w:hAnsi="宋体"/>
                <w:color w:val="000000"/>
                <w:kern w:val="0"/>
                <w:sz w:val="20"/>
                <w:szCs w:val="20"/>
              </w:rPr>
              <w:t>重点单位</w:t>
            </w:r>
            <w:r>
              <w:rPr>
                <w:rFonts w:eastAsia="等线"/>
                <w:color w:val="000000"/>
                <w:kern w:val="0"/>
                <w:sz w:val="20"/>
                <w:szCs w:val="20"/>
              </w:rPr>
              <w:t>VPN</w:t>
            </w:r>
            <w:r>
              <w:rPr>
                <w:rFonts w:hint="eastAsia" w:ascii="宋体" w:hAnsi="宋体"/>
                <w:color w:val="000000"/>
                <w:kern w:val="0"/>
                <w:sz w:val="20"/>
                <w:szCs w:val="20"/>
              </w:rPr>
              <w:t>接入</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eastAsia="等线"/>
                <w:color w:val="000000"/>
                <w:kern w:val="0"/>
                <w:sz w:val="20"/>
                <w:szCs w:val="20"/>
              </w:rPr>
              <w:t>100M</w:t>
            </w:r>
            <w:r>
              <w:rPr>
                <w:rFonts w:hint="eastAsia" w:ascii="宋体" w:hAnsi="宋体"/>
                <w:color w:val="000000"/>
                <w:kern w:val="0"/>
                <w:sz w:val="20"/>
                <w:szCs w:val="20"/>
              </w:rPr>
              <w:t>，租赁期</w:t>
            </w:r>
            <w:r>
              <w:rPr>
                <w:rFonts w:eastAsia="等线"/>
                <w:color w:val="000000"/>
                <w:kern w:val="0"/>
                <w:sz w:val="20"/>
                <w:szCs w:val="20"/>
              </w:rPr>
              <w:t>3</w:t>
            </w:r>
            <w:r>
              <w:rPr>
                <w:rFonts w:hint="eastAsia" w:ascii="宋体" w:hAnsi="宋体"/>
                <w:color w:val="000000"/>
                <w:kern w:val="0"/>
                <w:sz w:val="20"/>
                <w:szCs w:val="20"/>
              </w:rPr>
              <w:t>年</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条</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262</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旧卡口对接专线</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eastAsia="等线"/>
                <w:color w:val="000000"/>
                <w:kern w:val="0"/>
                <w:sz w:val="20"/>
                <w:szCs w:val="20"/>
              </w:rPr>
              <w:t>25</w:t>
            </w:r>
            <w:r>
              <w:rPr>
                <w:rFonts w:hint="eastAsia" w:ascii="宋体" w:hAnsi="宋体"/>
                <w:color w:val="000000"/>
                <w:kern w:val="0"/>
                <w:sz w:val="20"/>
                <w:szCs w:val="20"/>
              </w:rPr>
              <w:t>个旧卡口传输对接，</w:t>
            </w:r>
            <w:r>
              <w:rPr>
                <w:rFonts w:eastAsia="等线"/>
                <w:color w:val="000000"/>
                <w:kern w:val="0"/>
                <w:sz w:val="20"/>
                <w:szCs w:val="20"/>
              </w:rPr>
              <w:t>200M</w:t>
            </w:r>
            <w:r>
              <w:rPr>
                <w:rFonts w:hint="eastAsia" w:ascii="宋体" w:hAnsi="宋体"/>
                <w:color w:val="000000"/>
                <w:kern w:val="0"/>
                <w:sz w:val="20"/>
                <w:szCs w:val="20"/>
              </w:rPr>
              <w:t>专线，租赁期</w:t>
            </w:r>
            <w:r>
              <w:rPr>
                <w:rFonts w:eastAsia="等线"/>
                <w:color w:val="000000"/>
                <w:kern w:val="0"/>
                <w:sz w:val="20"/>
                <w:szCs w:val="20"/>
              </w:rPr>
              <w:t>3</w:t>
            </w:r>
            <w:r>
              <w:rPr>
                <w:rFonts w:hint="eastAsia" w:ascii="宋体" w:hAnsi="宋体"/>
                <w:color w:val="000000"/>
                <w:kern w:val="0"/>
                <w:sz w:val="20"/>
                <w:szCs w:val="20"/>
              </w:rPr>
              <w:t>年</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条</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25</w:t>
            </w:r>
          </w:p>
        </w:tc>
      </w:tr>
      <w:tr>
        <w:tblPrEx>
          <w:tblCellMar>
            <w:top w:w="0" w:type="dxa"/>
            <w:left w:w="108" w:type="dxa"/>
            <w:bottom w:w="0" w:type="dxa"/>
            <w:right w:w="108" w:type="dxa"/>
          </w:tblCellMar>
        </w:tblPrEx>
        <w:trPr>
          <w:trHeight w:val="276" w:hRule="atLeast"/>
        </w:trPr>
        <w:tc>
          <w:tcPr>
            <w:tcW w:w="604"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b/>
                <w:bCs/>
                <w:color w:val="000000"/>
                <w:kern w:val="0"/>
                <w:sz w:val="20"/>
                <w:szCs w:val="20"/>
              </w:rPr>
            </w:pPr>
            <w:r>
              <w:rPr>
                <w:rFonts w:hint="eastAsia" w:ascii="宋体" w:hAnsi="宋体" w:cs="宋体"/>
                <w:b/>
                <w:bCs/>
                <w:color w:val="000000"/>
                <w:kern w:val="0"/>
                <w:sz w:val="20"/>
                <w:szCs w:val="20"/>
              </w:rPr>
              <w:t>五</w:t>
            </w:r>
          </w:p>
        </w:tc>
        <w:tc>
          <w:tcPr>
            <w:tcW w:w="8865"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b/>
                <w:bCs/>
                <w:color w:val="000000"/>
                <w:kern w:val="0"/>
                <w:sz w:val="20"/>
                <w:szCs w:val="20"/>
              </w:rPr>
            </w:pPr>
            <w:r>
              <w:rPr>
                <w:rFonts w:hint="eastAsia" w:ascii="宋体" w:hAnsi="宋体" w:cs="宋体"/>
                <w:b/>
                <w:bCs/>
                <w:color w:val="000000"/>
                <w:kern w:val="0"/>
                <w:sz w:val="20"/>
                <w:szCs w:val="20"/>
              </w:rPr>
              <w:t>应用支撑系统平台和应用系统服务</w:t>
            </w:r>
          </w:p>
        </w:tc>
      </w:tr>
      <w:tr>
        <w:tblPrEx>
          <w:tblCellMar>
            <w:top w:w="0" w:type="dxa"/>
            <w:left w:w="108" w:type="dxa"/>
            <w:bottom w:w="0" w:type="dxa"/>
            <w:right w:w="108" w:type="dxa"/>
          </w:tblCellMar>
        </w:tblPrEx>
        <w:trPr>
          <w:trHeight w:val="1161" w:hRule="atLeast"/>
        </w:trPr>
        <w:tc>
          <w:tcPr>
            <w:tcW w:w="60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c>
          <w:tcPr>
            <w:tcW w:w="74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智能交通信号控制系统</w:t>
            </w: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信号控制智能主机</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eastAsia="等线"/>
                <w:color w:val="000000"/>
                <w:kern w:val="0"/>
                <w:sz w:val="20"/>
                <w:szCs w:val="20"/>
              </w:rPr>
              <w:t>1</w:t>
            </w:r>
            <w:r>
              <w:rPr>
                <w:rFonts w:hint="eastAsia" w:ascii="宋体" w:hAnsi="宋体"/>
                <w:color w:val="000000"/>
                <w:kern w:val="0"/>
                <w:sz w:val="20"/>
                <w:szCs w:val="20"/>
              </w:rPr>
              <w:t>、时间表设置：设置时段包括年、月、周、日、时、分。时段划分≥</w:t>
            </w:r>
            <w:r>
              <w:rPr>
                <w:rFonts w:eastAsia="等线"/>
                <w:color w:val="000000"/>
                <w:kern w:val="0"/>
                <w:sz w:val="20"/>
                <w:szCs w:val="20"/>
              </w:rPr>
              <w:t>32</w:t>
            </w:r>
            <w:r>
              <w:rPr>
                <w:rFonts w:hint="eastAsia" w:ascii="宋体" w:hAnsi="宋体"/>
                <w:color w:val="000000"/>
                <w:kern w:val="0"/>
                <w:sz w:val="20"/>
                <w:szCs w:val="20"/>
              </w:rPr>
              <w:t>个，方案数≥</w:t>
            </w:r>
            <w:r>
              <w:rPr>
                <w:rFonts w:eastAsia="等线"/>
                <w:color w:val="000000"/>
                <w:kern w:val="0"/>
                <w:sz w:val="20"/>
                <w:szCs w:val="20"/>
              </w:rPr>
              <w:t>32</w:t>
            </w:r>
            <w:r>
              <w:rPr>
                <w:rFonts w:hint="eastAsia" w:ascii="宋体" w:hAnsi="宋体"/>
                <w:color w:val="000000"/>
                <w:kern w:val="0"/>
                <w:sz w:val="20"/>
                <w:szCs w:val="20"/>
              </w:rPr>
              <w:t>个，根据不同的时段选择相应的控制方案；</w:t>
            </w:r>
            <w:r>
              <w:rPr>
                <w:rFonts w:hint="eastAsia" w:ascii="宋体" w:hAnsi="宋体"/>
                <w:color w:val="000000"/>
                <w:kern w:val="0"/>
                <w:sz w:val="20"/>
                <w:szCs w:val="20"/>
              </w:rPr>
              <w:br w:type="textWrapping"/>
            </w:r>
            <w:r>
              <w:rPr>
                <w:rFonts w:eastAsia="等线"/>
                <w:color w:val="000000"/>
                <w:kern w:val="0"/>
                <w:sz w:val="20"/>
                <w:szCs w:val="20"/>
              </w:rPr>
              <w:t>2</w:t>
            </w:r>
            <w:r>
              <w:rPr>
                <w:rFonts w:hint="eastAsia" w:ascii="宋体" w:hAnsi="宋体"/>
                <w:color w:val="000000"/>
                <w:kern w:val="0"/>
                <w:sz w:val="20"/>
                <w:szCs w:val="20"/>
              </w:rPr>
              <w:t>、信号输出：基本配置</w:t>
            </w:r>
            <w:r>
              <w:rPr>
                <w:rFonts w:eastAsia="等线"/>
                <w:color w:val="000000"/>
                <w:kern w:val="0"/>
                <w:sz w:val="20"/>
                <w:szCs w:val="20"/>
              </w:rPr>
              <w:t>48</w:t>
            </w:r>
            <w:r>
              <w:rPr>
                <w:rFonts w:hint="eastAsia" w:ascii="宋体" w:hAnsi="宋体"/>
                <w:color w:val="000000"/>
                <w:kern w:val="0"/>
                <w:sz w:val="20"/>
                <w:szCs w:val="20"/>
              </w:rPr>
              <w:t>路灯控输出，可扩充到</w:t>
            </w:r>
            <w:r>
              <w:rPr>
                <w:rFonts w:eastAsia="等线"/>
                <w:color w:val="000000"/>
                <w:kern w:val="0"/>
                <w:sz w:val="20"/>
                <w:szCs w:val="20"/>
              </w:rPr>
              <w:t>96</w:t>
            </w:r>
            <w:r>
              <w:rPr>
                <w:rFonts w:hint="eastAsia" w:ascii="宋体" w:hAnsi="宋体"/>
                <w:color w:val="000000"/>
                <w:kern w:val="0"/>
                <w:sz w:val="20"/>
                <w:szCs w:val="20"/>
              </w:rPr>
              <w:t>路灯控输出，用户可根据路口情况配置灯驱动板数量</w:t>
            </w:r>
            <w:r>
              <w:rPr>
                <w:rFonts w:hint="eastAsia" w:ascii="宋体" w:hAnsi="宋体"/>
                <w:color w:val="000000"/>
                <w:kern w:val="0"/>
                <w:sz w:val="20"/>
                <w:szCs w:val="20"/>
              </w:rPr>
              <w:br w:type="textWrapping"/>
            </w:r>
            <w:r>
              <w:rPr>
                <w:rFonts w:eastAsia="等线"/>
                <w:color w:val="000000"/>
                <w:kern w:val="0"/>
                <w:sz w:val="20"/>
                <w:szCs w:val="20"/>
              </w:rPr>
              <w:t>3</w:t>
            </w:r>
            <w:r>
              <w:rPr>
                <w:rFonts w:hint="eastAsia" w:ascii="宋体" w:hAnsi="宋体"/>
                <w:color w:val="000000"/>
                <w:kern w:val="0"/>
                <w:sz w:val="20"/>
                <w:szCs w:val="20"/>
              </w:rPr>
              <w:t>、信号机上传信息应包含：信号机特征参数、检测器状态、信号机控制模式状态、运行状态、信号灯灯色状态、故障日志；</w:t>
            </w:r>
            <w:r>
              <w:rPr>
                <w:rFonts w:hint="eastAsia" w:ascii="宋体" w:hAnsi="宋体"/>
                <w:color w:val="000000"/>
                <w:kern w:val="0"/>
                <w:sz w:val="20"/>
                <w:szCs w:val="20"/>
              </w:rPr>
              <w:br w:type="textWrapping"/>
            </w:r>
            <w:r>
              <w:rPr>
                <w:rFonts w:eastAsia="等线"/>
                <w:color w:val="000000"/>
                <w:kern w:val="0"/>
                <w:sz w:val="20"/>
                <w:szCs w:val="20"/>
              </w:rPr>
              <w:t>4</w:t>
            </w:r>
            <w:r>
              <w:rPr>
                <w:rFonts w:hint="eastAsia" w:ascii="宋体" w:hAnsi="宋体"/>
                <w:color w:val="000000"/>
                <w:kern w:val="0"/>
                <w:sz w:val="20"/>
                <w:szCs w:val="20"/>
              </w:rPr>
              <w:t>、信号机带有电源滤波器，可抑制电路中的高频谐波；</w:t>
            </w:r>
            <w:r>
              <w:rPr>
                <w:rFonts w:hint="eastAsia" w:ascii="宋体" w:hAnsi="宋体"/>
                <w:color w:val="000000"/>
                <w:kern w:val="0"/>
                <w:sz w:val="20"/>
                <w:szCs w:val="20"/>
              </w:rPr>
              <w:br w:type="textWrapping"/>
            </w:r>
            <w:r>
              <w:rPr>
                <w:rFonts w:eastAsia="等线"/>
                <w:color w:val="000000"/>
                <w:kern w:val="0"/>
                <w:sz w:val="20"/>
                <w:szCs w:val="20"/>
              </w:rPr>
              <w:t>5</w:t>
            </w:r>
            <w:r>
              <w:rPr>
                <w:rFonts w:hint="eastAsia" w:ascii="宋体" w:hAnsi="宋体"/>
                <w:color w:val="000000"/>
                <w:kern w:val="0"/>
                <w:sz w:val="20"/>
                <w:szCs w:val="20"/>
              </w:rPr>
              <w:t>、信号机带有漏电保护器，用于在电路或电器绝缘受损发生对地短路时防人身触电；</w:t>
            </w:r>
            <w:r>
              <w:rPr>
                <w:rFonts w:hint="eastAsia" w:ascii="宋体" w:hAnsi="宋体"/>
                <w:color w:val="000000"/>
                <w:kern w:val="0"/>
                <w:sz w:val="20"/>
                <w:szCs w:val="20"/>
              </w:rPr>
              <w:br w:type="textWrapping"/>
            </w:r>
            <w:r>
              <w:rPr>
                <w:rFonts w:eastAsia="等线"/>
                <w:color w:val="000000"/>
                <w:kern w:val="0"/>
                <w:sz w:val="20"/>
                <w:szCs w:val="20"/>
              </w:rPr>
              <w:t>6</w:t>
            </w:r>
            <w:r>
              <w:rPr>
                <w:rFonts w:hint="eastAsia" w:ascii="宋体" w:hAnsi="宋体"/>
                <w:color w:val="000000"/>
                <w:kern w:val="0"/>
                <w:sz w:val="20"/>
                <w:szCs w:val="20"/>
              </w:rPr>
              <w:t>、智能检测信号机、信号灯故障状态，能自动转入黄闪控制；</w:t>
            </w:r>
            <w:r>
              <w:rPr>
                <w:rFonts w:hint="eastAsia" w:ascii="宋体" w:hAnsi="宋体"/>
                <w:color w:val="000000"/>
                <w:kern w:val="0"/>
                <w:sz w:val="20"/>
                <w:szCs w:val="20"/>
              </w:rPr>
              <w:br w:type="textWrapping"/>
            </w:r>
            <w:r>
              <w:rPr>
                <w:rFonts w:eastAsia="等线"/>
                <w:color w:val="000000"/>
                <w:kern w:val="0"/>
                <w:sz w:val="20"/>
                <w:szCs w:val="20"/>
              </w:rPr>
              <w:t>7</w:t>
            </w:r>
            <w:r>
              <w:rPr>
                <w:rFonts w:hint="eastAsia" w:ascii="宋体" w:hAnsi="宋体"/>
                <w:color w:val="000000"/>
                <w:kern w:val="0"/>
                <w:sz w:val="20"/>
                <w:szCs w:val="20"/>
              </w:rPr>
              <w:t>、具备故障报警功能，对信号机的工作状态、车辆检测器的状态、信号灯的状态实时监测，如有故障发生，实现向中心系统进行报警，可直接通过短信或邮件形式通知当事人，利于及时快速做出反应；</w:t>
            </w:r>
            <w:r>
              <w:rPr>
                <w:rFonts w:hint="eastAsia" w:ascii="宋体" w:hAnsi="宋体"/>
                <w:color w:val="000000"/>
                <w:kern w:val="0"/>
                <w:sz w:val="20"/>
                <w:szCs w:val="20"/>
              </w:rPr>
              <w:br w:type="textWrapping"/>
            </w:r>
            <w:r>
              <w:rPr>
                <w:rFonts w:eastAsia="等线"/>
                <w:color w:val="000000"/>
                <w:kern w:val="0"/>
                <w:sz w:val="20"/>
                <w:szCs w:val="20"/>
              </w:rPr>
              <w:t>8</w:t>
            </w:r>
            <w:r>
              <w:rPr>
                <w:rFonts w:hint="eastAsia" w:ascii="宋体" w:hAnsi="宋体"/>
                <w:color w:val="000000"/>
                <w:kern w:val="0"/>
                <w:sz w:val="20"/>
                <w:szCs w:val="20"/>
              </w:rPr>
              <w:t>、可接入线圈、视频、微波、地磁等多种流量检测，具有采集、处理、存储、提取控制区域内的车流量、平均车速、停车率、排队长度等交通信息；</w:t>
            </w:r>
            <w:r>
              <w:rPr>
                <w:rFonts w:hint="eastAsia" w:ascii="宋体" w:hAnsi="宋体"/>
                <w:color w:val="000000"/>
                <w:kern w:val="0"/>
                <w:sz w:val="20"/>
                <w:szCs w:val="20"/>
              </w:rPr>
              <w:br w:type="textWrapping"/>
            </w:r>
            <w:r>
              <w:rPr>
                <w:rFonts w:eastAsia="等线"/>
                <w:color w:val="000000"/>
                <w:kern w:val="0"/>
                <w:sz w:val="20"/>
                <w:szCs w:val="20"/>
              </w:rPr>
              <w:t>9</w:t>
            </w:r>
            <w:r>
              <w:rPr>
                <w:rFonts w:hint="eastAsia" w:ascii="宋体" w:hAnsi="宋体"/>
                <w:color w:val="000000"/>
                <w:kern w:val="0"/>
                <w:sz w:val="20"/>
                <w:szCs w:val="20"/>
              </w:rPr>
              <w:t>、具备通过</w:t>
            </w:r>
            <w:r>
              <w:rPr>
                <w:rFonts w:eastAsia="等线"/>
                <w:color w:val="000000"/>
                <w:kern w:val="0"/>
                <w:sz w:val="20"/>
                <w:szCs w:val="20"/>
              </w:rPr>
              <w:t>PDA</w:t>
            </w:r>
            <w:r>
              <w:rPr>
                <w:rFonts w:hint="eastAsia" w:ascii="宋体" w:hAnsi="宋体"/>
                <w:color w:val="000000"/>
                <w:kern w:val="0"/>
                <w:sz w:val="20"/>
                <w:szCs w:val="20"/>
              </w:rPr>
              <w:t>型手持终端、笔记本电脑等在现场对信号机实现参数设置、信号机运行状态调试；</w:t>
            </w:r>
            <w:r>
              <w:rPr>
                <w:rFonts w:hint="eastAsia" w:ascii="宋体" w:hAnsi="宋体"/>
                <w:color w:val="000000"/>
                <w:kern w:val="0"/>
                <w:sz w:val="20"/>
                <w:szCs w:val="20"/>
              </w:rPr>
              <w:br w:type="textWrapping"/>
            </w:r>
            <w:r>
              <w:rPr>
                <w:rFonts w:eastAsia="等线"/>
                <w:color w:val="000000"/>
                <w:kern w:val="0"/>
                <w:sz w:val="20"/>
                <w:szCs w:val="20"/>
              </w:rPr>
              <w:t>10</w:t>
            </w:r>
            <w:r>
              <w:rPr>
                <w:rFonts w:hint="eastAsia" w:ascii="宋体" w:hAnsi="宋体"/>
                <w:color w:val="000000"/>
                <w:kern w:val="0"/>
                <w:sz w:val="20"/>
                <w:szCs w:val="20"/>
              </w:rPr>
              <w:t>、可扩充</w:t>
            </w:r>
            <w:r>
              <w:rPr>
                <w:rFonts w:eastAsia="等线"/>
                <w:color w:val="000000"/>
                <w:kern w:val="0"/>
                <w:sz w:val="20"/>
                <w:szCs w:val="20"/>
              </w:rPr>
              <w:t>GPS</w:t>
            </w:r>
            <w:r>
              <w:rPr>
                <w:rFonts w:hint="eastAsia" w:ascii="宋体" w:hAnsi="宋体"/>
                <w:color w:val="000000"/>
                <w:kern w:val="0"/>
                <w:sz w:val="20"/>
                <w:szCs w:val="20"/>
              </w:rPr>
              <w:t>对时功能，同时信号机本身具有高精的实时时钟（掉电计时功能）来同步多个整机设备的无电缆线控；</w:t>
            </w:r>
            <w:r>
              <w:rPr>
                <w:rFonts w:hint="eastAsia" w:ascii="宋体" w:hAnsi="宋体"/>
                <w:color w:val="000000"/>
                <w:kern w:val="0"/>
                <w:sz w:val="20"/>
                <w:szCs w:val="20"/>
              </w:rPr>
              <w:br w:type="textWrapping"/>
            </w:r>
            <w:r>
              <w:rPr>
                <w:rFonts w:eastAsia="等线"/>
                <w:color w:val="000000"/>
                <w:kern w:val="0"/>
                <w:sz w:val="20"/>
                <w:szCs w:val="20"/>
              </w:rPr>
              <w:t>11</w:t>
            </w:r>
            <w:r>
              <w:rPr>
                <w:rFonts w:hint="eastAsia" w:ascii="宋体" w:hAnsi="宋体"/>
                <w:color w:val="000000"/>
                <w:kern w:val="0"/>
                <w:sz w:val="20"/>
                <w:szCs w:val="20"/>
              </w:rPr>
              <w:t>、具有警卫模式按钮，根据警卫任务或交通疏导等需求，直接强行控制路口交通信号相位的执行时间；</w:t>
            </w:r>
            <w:r>
              <w:rPr>
                <w:rFonts w:hint="eastAsia" w:ascii="宋体" w:hAnsi="宋体"/>
                <w:color w:val="000000"/>
                <w:kern w:val="0"/>
                <w:sz w:val="20"/>
                <w:szCs w:val="20"/>
              </w:rPr>
              <w:br w:type="textWrapping"/>
            </w:r>
            <w:r>
              <w:rPr>
                <w:rFonts w:eastAsia="等线"/>
                <w:color w:val="000000"/>
                <w:kern w:val="0"/>
                <w:sz w:val="20"/>
                <w:szCs w:val="20"/>
              </w:rPr>
              <w:t>12</w:t>
            </w:r>
            <w:r>
              <w:rPr>
                <w:rFonts w:hint="eastAsia" w:ascii="宋体" w:hAnsi="宋体"/>
                <w:color w:val="000000"/>
                <w:kern w:val="0"/>
                <w:sz w:val="20"/>
                <w:szCs w:val="20"/>
              </w:rPr>
              <w:t>、照明设备</w:t>
            </w:r>
            <w:r>
              <w:rPr>
                <w:rFonts w:eastAsia="等线"/>
                <w:color w:val="000000"/>
                <w:kern w:val="0"/>
                <w:sz w:val="20"/>
                <w:szCs w:val="20"/>
              </w:rPr>
              <w:t>1</w:t>
            </w:r>
            <w:r>
              <w:rPr>
                <w:rFonts w:hint="eastAsia" w:ascii="宋体" w:hAnsi="宋体"/>
                <w:color w:val="000000"/>
                <w:kern w:val="0"/>
                <w:sz w:val="20"/>
                <w:szCs w:val="20"/>
              </w:rPr>
              <w:t>套：信号机的辅助设备。照明设备是信号机的辅助设备，其电源由辅助电源开关控制。照明设备由照明灯、门控开关、照明开关等组成；</w:t>
            </w:r>
            <w:r>
              <w:rPr>
                <w:rFonts w:hint="eastAsia" w:ascii="宋体" w:hAnsi="宋体"/>
                <w:color w:val="000000"/>
                <w:kern w:val="0"/>
                <w:sz w:val="20"/>
                <w:szCs w:val="20"/>
              </w:rPr>
              <w:br w:type="textWrapping"/>
            </w:r>
            <w:r>
              <w:rPr>
                <w:rFonts w:eastAsia="等线"/>
                <w:color w:val="000000"/>
                <w:kern w:val="0"/>
                <w:sz w:val="20"/>
                <w:szCs w:val="20"/>
              </w:rPr>
              <w:t>13</w:t>
            </w:r>
            <w:r>
              <w:rPr>
                <w:rFonts w:hint="eastAsia" w:ascii="宋体" w:hAnsi="宋体"/>
                <w:color w:val="000000"/>
                <w:kern w:val="0"/>
                <w:sz w:val="20"/>
                <w:szCs w:val="20"/>
              </w:rPr>
              <w:t>、交通信号控制机为集中协调式信号机，支持黄闪、全红、手动、时段控制、无电缆线协调控制、感应控制、单点自适应控制、区域自适应控制；</w:t>
            </w:r>
            <w:r>
              <w:rPr>
                <w:rFonts w:hint="eastAsia" w:ascii="宋体" w:hAnsi="宋体"/>
                <w:color w:val="000000"/>
                <w:kern w:val="0"/>
                <w:sz w:val="20"/>
                <w:szCs w:val="20"/>
              </w:rPr>
              <w:br w:type="textWrapping"/>
            </w:r>
            <w:r>
              <w:rPr>
                <w:rFonts w:eastAsia="等线"/>
                <w:color w:val="000000"/>
                <w:kern w:val="0"/>
                <w:sz w:val="20"/>
                <w:szCs w:val="20"/>
              </w:rPr>
              <w:t>14</w:t>
            </w:r>
            <w:r>
              <w:rPr>
                <w:rFonts w:hint="eastAsia" w:ascii="宋体" w:hAnsi="宋体"/>
                <w:color w:val="000000"/>
                <w:kern w:val="0"/>
                <w:sz w:val="20"/>
                <w:szCs w:val="20"/>
              </w:rPr>
              <w:t>、信号机具有提供半程倒计时脉冲信号输出功能</w:t>
            </w:r>
            <w:r>
              <w:rPr>
                <w:rFonts w:hint="eastAsia" w:ascii="宋体" w:hAnsi="宋体"/>
                <w:color w:val="000000"/>
                <w:kern w:val="0"/>
                <w:sz w:val="20"/>
                <w:szCs w:val="20"/>
              </w:rPr>
              <w:br w:type="textWrapping"/>
            </w:r>
            <w:r>
              <w:rPr>
                <w:rFonts w:eastAsia="等线"/>
                <w:color w:val="000000"/>
                <w:kern w:val="0"/>
                <w:sz w:val="20"/>
                <w:szCs w:val="20"/>
              </w:rPr>
              <w:t>15</w:t>
            </w:r>
            <w:r>
              <w:rPr>
                <w:rFonts w:hint="eastAsia" w:ascii="宋体" w:hAnsi="宋体"/>
                <w:color w:val="000000"/>
                <w:kern w:val="0"/>
                <w:sz w:val="20"/>
                <w:szCs w:val="20"/>
              </w:rPr>
              <w:t>、微处理器等级：≥</w:t>
            </w:r>
            <w:r>
              <w:rPr>
                <w:rFonts w:eastAsia="等线"/>
                <w:color w:val="000000"/>
                <w:kern w:val="0"/>
                <w:sz w:val="20"/>
                <w:szCs w:val="20"/>
              </w:rPr>
              <w:t>32</w:t>
            </w:r>
            <w:r>
              <w:rPr>
                <w:rFonts w:hint="eastAsia" w:ascii="宋体" w:hAnsi="宋体"/>
                <w:color w:val="000000"/>
                <w:kern w:val="0"/>
                <w:sz w:val="20"/>
                <w:szCs w:val="20"/>
              </w:rPr>
              <w:t>位；</w:t>
            </w:r>
            <w:r>
              <w:rPr>
                <w:rFonts w:hint="eastAsia" w:ascii="宋体" w:hAnsi="宋体"/>
                <w:color w:val="000000"/>
                <w:kern w:val="0"/>
                <w:sz w:val="20"/>
                <w:szCs w:val="20"/>
              </w:rPr>
              <w:br w:type="textWrapping"/>
            </w:r>
            <w:r>
              <w:rPr>
                <w:rFonts w:eastAsia="等线"/>
                <w:color w:val="000000"/>
                <w:kern w:val="0"/>
                <w:sz w:val="20"/>
                <w:szCs w:val="20"/>
              </w:rPr>
              <w:t>16</w:t>
            </w:r>
            <w:r>
              <w:rPr>
                <w:rFonts w:hint="eastAsia" w:ascii="宋体" w:hAnsi="宋体"/>
                <w:color w:val="000000"/>
                <w:kern w:val="0"/>
                <w:sz w:val="20"/>
                <w:szCs w:val="20"/>
              </w:rPr>
              <w:t>、通讯接口：两个标准</w:t>
            </w:r>
            <w:r>
              <w:rPr>
                <w:rFonts w:eastAsia="等线"/>
                <w:color w:val="000000"/>
                <w:kern w:val="0"/>
                <w:sz w:val="20"/>
                <w:szCs w:val="20"/>
              </w:rPr>
              <w:t>EIA</w:t>
            </w:r>
            <w:r>
              <w:rPr>
                <w:rFonts w:hint="eastAsia" w:ascii="宋体" w:hAnsi="宋体"/>
                <w:color w:val="000000"/>
                <w:kern w:val="0"/>
                <w:sz w:val="20"/>
                <w:szCs w:val="20"/>
              </w:rPr>
              <w:t>电平</w:t>
            </w:r>
            <w:r>
              <w:rPr>
                <w:rFonts w:eastAsia="等线"/>
                <w:color w:val="000000"/>
                <w:kern w:val="0"/>
                <w:sz w:val="20"/>
                <w:szCs w:val="20"/>
              </w:rPr>
              <w:t>RS232</w:t>
            </w:r>
            <w:r>
              <w:rPr>
                <w:rFonts w:hint="eastAsia" w:ascii="宋体" w:hAnsi="宋体"/>
                <w:color w:val="000000"/>
                <w:kern w:val="0"/>
                <w:sz w:val="20"/>
                <w:szCs w:val="20"/>
              </w:rPr>
              <w:t>接口，一个</w:t>
            </w:r>
            <w:r>
              <w:rPr>
                <w:rFonts w:eastAsia="等线"/>
                <w:color w:val="000000"/>
                <w:kern w:val="0"/>
                <w:sz w:val="20"/>
                <w:szCs w:val="20"/>
              </w:rPr>
              <w:t>RS485</w:t>
            </w:r>
            <w:r>
              <w:rPr>
                <w:rFonts w:hint="eastAsia" w:ascii="宋体" w:hAnsi="宋体"/>
                <w:color w:val="000000"/>
                <w:kern w:val="0"/>
                <w:sz w:val="20"/>
                <w:szCs w:val="20"/>
              </w:rPr>
              <w:t>接口，一个</w:t>
            </w:r>
            <w:r>
              <w:rPr>
                <w:rFonts w:eastAsia="等线"/>
                <w:color w:val="000000"/>
                <w:kern w:val="0"/>
                <w:sz w:val="20"/>
                <w:szCs w:val="20"/>
              </w:rPr>
              <w:t>RJ45</w:t>
            </w:r>
            <w:r>
              <w:rPr>
                <w:rFonts w:hint="eastAsia" w:ascii="宋体" w:hAnsi="宋体"/>
                <w:color w:val="000000"/>
                <w:kern w:val="0"/>
                <w:sz w:val="20"/>
                <w:szCs w:val="20"/>
              </w:rPr>
              <w:t>接口，可扩展两个</w:t>
            </w:r>
            <w:r>
              <w:rPr>
                <w:rFonts w:eastAsia="等线"/>
                <w:color w:val="000000"/>
                <w:kern w:val="0"/>
                <w:sz w:val="20"/>
                <w:szCs w:val="20"/>
              </w:rPr>
              <w:t>RS232</w:t>
            </w:r>
            <w:r>
              <w:rPr>
                <w:rFonts w:hint="eastAsia" w:ascii="宋体" w:hAnsi="宋体"/>
                <w:color w:val="000000"/>
                <w:kern w:val="0"/>
                <w:sz w:val="20"/>
                <w:szCs w:val="20"/>
              </w:rPr>
              <w:t>接口。通讯接口用于通信、调试及备用口，数据兼容</w:t>
            </w:r>
            <w:r>
              <w:rPr>
                <w:rFonts w:eastAsia="等线"/>
                <w:color w:val="000000"/>
                <w:kern w:val="0"/>
                <w:sz w:val="20"/>
                <w:szCs w:val="20"/>
              </w:rPr>
              <w:t>TCP/IP</w:t>
            </w:r>
            <w:r>
              <w:rPr>
                <w:rFonts w:hint="eastAsia" w:ascii="宋体" w:hAnsi="宋体"/>
                <w:color w:val="000000"/>
                <w:kern w:val="0"/>
                <w:sz w:val="20"/>
                <w:szCs w:val="20"/>
              </w:rPr>
              <w:t>协议</w:t>
            </w:r>
            <w:r>
              <w:rPr>
                <w:rFonts w:hint="eastAsia" w:ascii="宋体" w:hAnsi="宋体"/>
                <w:color w:val="000000"/>
                <w:kern w:val="0"/>
                <w:sz w:val="20"/>
                <w:szCs w:val="20"/>
              </w:rPr>
              <w:br w:type="textWrapping"/>
            </w:r>
            <w:r>
              <w:rPr>
                <w:rFonts w:eastAsia="等线"/>
                <w:color w:val="000000"/>
                <w:kern w:val="0"/>
                <w:sz w:val="20"/>
                <w:szCs w:val="20"/>
              </w:rPr>
              <w:t>17</w:t>
            </w:r>
            <w:r>
              <w:rPr>
                <w:rFonts w:hint="eastAsia" w:ascii="宋体" w:hAnsi="宋体"/>
                <w:color w:val="000000"/>
                <w:kern w:val="0"/>
                <w:sz w:val="20"/>
                <w:szCs w:val="20"/>
              </w:rPr>
              <w:t>、行人请求接口：≥</w:t>
            </w:r>
            <w:r>
              <w:rPr>
                <w:rFonts w:eastAsia="等线"/>
                <w:color w:val="000000"/>
                <w:kern w:val="0"/>
                <w:sz w:val="20"/>
                <w:szCs w:val="20"/>
              </w:rPr>
              <w:t>4</w:t>
            </w:r>
            <w:r>
              <w:rPr>
                <w:rFonts w:hint="eastAsia" w:ascii="宋体" w:hAnsi="宋体"/>
                <w:color w:val="000000"/>
                <w:kern w:val="0"/>
                <w:sz w:val="20"/>
                <w:szCs w:val="20"/>
              </w:rPr>
              <w:t>路</w:t>
            </w:r>
            <w:r>
              <w:rPr>
                <w:rFonts w:hint="eastAsia" w:ascii="宋体" w:hAnsi="宋体"/>
                <w:color w:val="000000"/>
                <w:kern w:val="0"/>
                <w:sz w:val="20"/>
                <w:szCs w:val="20"/>
              </w:rPr>
              <w:br w:type="textWrapping"/>
            </w:r>
            <w:r>
              <w:rPr>
                <w:rFonts w:eastAsia="等线"/>
                <w:color w:val="000000"/>
                <w:kern w:val="0"/>
                <w:sz w:val="20"/>
                <w:szCs w:val="20"/>
              </w:rPr>
              <w:t>18</w:t>
            </w:r>
            <w:r>
              <w:rPr>
                <w:rFonts w:hint="eastAsia" w:ascii="宋体" w:hAnsi="宋体"/>
                <w:color w:val="000000"/>
                <w:kern w:val="0"/>
                <w:sz w:val="20"/>
                <w:szCs w:val="20"/>
              </w:rPr>
              <w:t>、系统看门狗，系统运行故障时自动恢复</w:t>
            </w:r>
            <w:r>
              <w:rPr>
                <w:rFonts w:hint="eastAsia" w:ascii="宋体" w:hAnsi="宋体"/>
                <w:color w:val="000000"/>
                <w:kern w:val="0"/>
                <w:sz w:val="20"/>
                <w:szCs w:val="20"/>
              </w:rPr>
              <w:br w:type="textWrapping"/>
            </w:r>
            <w:r>
              <w:rPr>
                <w:rFonts w:eastAsia="等线"/>
                <w:color w:val="000000"/>
                <w:kern w:val="0"/>
                <w:sz w:val="20"/>
                <w:szCs w:val="20"/>
              </w:rPr>
              <w:t>19</w:t>
            </w:r>
            <w:r>
              <w:rPr>
                <w:rFonts w:hint="eastAsia" w:ascii="宋体" w:hAnsi="宋体"/>
                <w:color w:val="000000"/>
                <w:kern w:val="0"/>
                <w:sz w:val="20"/>
                <w:szCs w:val="20"/>
              </w:rPr>
              <w:t>、可靠性：</w:t>
            </w:r>
            <w:r>
              <w:rPr>
                <w:rFonts w:eastAsia="等线"/>
                <w:color w:val="000000"/>
                <w:kern w:val="0"/>
                <w:sz w:val="20"/>
                <w:szCs w:val="20"/>
              </w:rPr>
              <w:t>MTBF</w:t>
            </w:r>
            <w:r>
              <w:rPr>
                <w:rFonts w:hint="eastAsia" w:ascii="宋体" w:hAnsi="宋体"/>
                <w:color w:val="000000"/>
                <w:kern w:val="0"/>
                <w:sz w:val="20"/>
                <w:szCs w:val="20"/>
              </w:rPr>
              <w:t>平均无故障运行时间</w:t>
            </w:r>
            <w:r>
              <w:rPr>
                <w:rFonts w:eastAsia="等线"/>
                <w:color w:val="000000"/>
                <w:kern w:val="0"/>
                <w:sz w:val="20"/>
                <w:szCs w:val="20"/>
              </w:rPr>
              <w:t>&gt;20000</w:t>
            </w:r>
            <w:r>
              <w:rPr>
                <w:rFonts w:hint="eastAsia" w:ascii="宋体" w:hAnsi="宋体"/>
                <w:color w:val="000000"/>
                <w:kern w:val="0"/>
                <w:sz w:val="20"/>
                <w:szCs w:val="20"/>
              </w:rPr>
              <w:t>小时</w:t>
            </w:r>
            <w:r>
              <w:rPr>
                <w:rFonts w:hint="eastAsia" w:ascii="宋体" w:hAnsi="宋体"/>
                <w:color w:val="000000"/>
                <w:kern w:val="0"/>
                <w:sz w:val="20"/>
                <w:szCs w:val="20"/>
              </w:rPr>
              <w:br w:type="textWrapping"/>
            </w:r>
            <w:r>
              <w:rPr>
                <w:rFonts w:eastAsia="等线"/>
                <w:color w:val="000000"/>
                <w:kern w:val="0"/>
                <w:sz w:val="20"/>
                <w:szCs w:val="20"/>
              </w:rPr>
              <w:t>20</w:t>
            </w:r>
            <w:r>
              <w:rPr>
                <w:rFonts w:hint="eastAsia" w:ascii="宋体" w:hAnsi="宋体"/>
                <w:color w:val="000000"/>
                <w:kern w:val="0"/>
                <w:sz w:val="20"/>
                <w:szCs w:val="20"/>
              </w:rPr>
              <w:t>、工作时间：</w:t>
            </w:r>
            <w:r>
              <w:rPr>
                <w:rFonts w:eastAsia="等线"/>
                <w:color w:val="000000"/>
                <w:kern w:val="0"/>
                <w:sz w:val="20"/>
                <w:szCs w:val="20"/>
              </w:rPr>
              <w:t>7*24</w:t>
            </w:r>
            <w:r>
              <w:rPr>
                <w:rFonts w:hint="eastAsia" w:ascii="宋体" w:hAnsi="宋体"/>
                <w:color w:val="000000"/>
                <w:kern w:val="0"/>
                <w:sz w:val="20"/>
                <w:szCs w:val="20"/>
              </w:rPr>
              <w:t>小时连续工作</w:t>
            </w:r>
          </w:p>
        </w:tc>
        <w:tc>
          <w:tcPr>
            <w:tcW w:w="462"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点</w:t>
            </w:r>
          </w:p>
        </w:tc>
        <w:tc>
          <w:tcPr>
            <w:tcW w:w="70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15</w:t>
            </w:r>
          </w:p>
        </w:tc>
      </w:tr>
      <w:tr>
        <w:tblPrEx>
          <w:tblCellMar>
            <w:top w:w="0" w:type="dxa"/>
            <w:left w:w="108" w:type="dxa"/>
            <w:bottom w:w="0" w:type="dxa"/>
            <w:right w:w="108" w:type="dxa"/>
          </w:tblCellMar>
        </w:tblPrEx>
        <w:trPr>
          <w:trHeight w:val="792"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信号机基础施工</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机柜底座尺寸为</w:t>
            </w:r>
            <w:r>
              <w:rPr>
                <w:rFonts w:eastAsia="等线"/>
                <w:color w:val="000000"/>
                <w:kern w:val="0"/>
                <w:sz w:val="20"/>
                <w:szCs w:val="20"/>
              </w:rPr>
              <w:t>670*460</w:t>
            </w:r>
            <w:r>
              <w:rPr>
                <w:rFonts w:hint="eastAsia" w:ascii="宋体" w:hAnsi="宋体"/>
                <w:color w:val="000000"/>
                <w:kern w:val="0"/>
                <w:sz w:val="20"/>
                <w:szCs w:val="20"/>
              </w:rPr>
              <w:t>（</w:t>
            </w:r>
            <w:r>
              <w:rPr>
                <w:rFonts w:eastAsia="等线"/>
                <w:color w:val="000000"/>
                <w:kern w:val="0"/>
                <w:sz w:val="20"/>
                <w:szCs w:val="20"/>
              </w:rPr>
              <w:t>mm</w:t>
            </w:r>
            <w:r>
              <w:rPr>
                <w:rFonts w:hint="eastAsia" w:ascii="宋体" w:hAnsi="宋体"/>
                <w:color w:val="000000"/>
                <w:kern w:val="0"/>
                <w:sz w:val="20"/>
                <w:szCs w:val="20"/>
              </w:rPr>
              <w:t>），底座螺栓孔间距尺寸为</w:t>
            </w:r>
            <w:r>
              <w:rPr>
                <w:rFonts w:eastAsia="等线"/>
                <w:color w:val="000000"/>
                <w:kern w:val="0"/>
                <w:sz w:val="20"/>
                <w:szCs w:val="20"/>
              </w:rPr>
              <w:t>520*310</w:t>
            </w:r>
            <w:r>
              <w:rPr>
                <w:rFonts w:hint="eastAsia" w:ascii="宋体" w:hAnsi="宋体"/>
                <w:color w:val="000000"/>
                <w:kern w:val="0"/>
                <w:sz w:val="20"/>
                <w:szCs w:val="20"/>
              </w:rPr>
              <w:t>（</w:t>
            </w:r>
            <w:r>
              <w:rPr>
                <w:rFonts w:eastAsia="等线"/>
                <w:color w:val="000000"/>
                <w:kern w:val="0"/>
                <w:sz w:val="20"/>
                <w:szCs w:val="20"/>
              </w:rPr>
              <w:t>mm</w:t>
            </w:r>
            <w:r>
              <w:rPr>
                <w:rFonts w:hint="eastAsia" w:ascii="宋体" w:hAnsi="宋体"/>
                <w:color w:val="000000"/>
                <w:kern w:val="0"/>
                <w:sz w:val="20"/>
                <w:szCs w:val="20"/>
              </w:rPr>
              <w:t>），基础开挖尺寸</w:t>
            </w:r>
            <w:r>
              <w:rPr>
                <w:rFonts w:eastAsia="等线"/>
                <w:color w:val="000000"/>
                <w:kern w:val="0"/>
                <w:sz w:val="20"/>
                <w:szCs w:val="20"/>
              </w:rPr>
              <w:t>800*600</w:t>
            </w:r>
            <w:r>
              <w:rPr>
                <w:rFonts w:hint="eastAsia" w:ascii="宋体" w:hAnsi="宋体"/>
                <w:color w:val="000000"/>
                <w:kern w:val="0"/>
                <w:sz w:val="20"/>
                <w:szCs w:val="20"/>
              </w:rPr>
              <w:t>（</w:t>
            </w:r>
            <w:r>
              <w:rPr>
                <w:rFonts w:eastAsia="等线"/>
                <w:color w:val="000000"/>
                <w:kern w:val="0"/>
                <w:sz w:val="20"/>
                <w:szCs w:val="20"/>
              </w:rPr>
              <w:t>mm</w:t>
            </w:r>
            <w:r>
              <w:rPr>
                <w:rFonts w:hint="eastAsia" w:ascii="宋体" w:hAnsi="宋体"/>
                <w:color w:val="000000"/>
                <w:kern w:val="0"/>
                <w:sz w:val="20"/>
                <w:szCs w:val="20"/>
              </w:rPr>
              <w:t>），水泥基础埋入地下的深度应不小于</w:t>
            </w:r>
            <w:r>
              <w:rPr>
                <w:rFonts w:eastAsia="等线"/>
                <w:color w:val="000000"/>
                <w:kern w:val="0"/>
                <w:sz w:val="20"/>
                <w:szCs w:val="20"/>
              </w:rPr>
              <w:t>500mm</w:t>
            </w:r>
            <w:r>
              <w:rPr>
                <w:rFonts w:hint="eastAsia" w:ascii="宋体" w:hAnsi="宋体"/>
                <w:color w:val="000000"/>
                <w:kern w:val="0"/>
                <w:sz w:val="20"/>
                <w:szCs w:val="20"/>
              </w:rPr>
              <w:t>；水泥基础突出地面高度应不小于</w:t>
            </w:r>
            <w:r>
              <w:rPr>
                <w:rFonts w:eastAsia="等线"/>
                <w:color w:val="000000"/>
                <w:kern w:val="0"/>
                <w:sz w:val="20"/>
                <w:szCs w:val="20"/>
              </w:rPr>
              <w:t>150mm</w:t>
            </w:r>
            <w:r>
              <w:rPr>
                <w:rFonts w:hint="eastAsia" w:ascii="宋体" w:hAnsi="宋体"/>
                <w:color w:val="000000"/>
                <w:kern w:val="0"/>
                <w:sz w:val="20"/>
                <w:szCs w:val="20"/>
              </w:rPr>
              <w:t>，根据信号机底座螺栓孔距安装</w:t>
            </w:r>
            <w:r>
              <w:rPr>
                <w:rFonts w:eastAsia="等线"/>
                <w:color w:val="000000"/>
                <w:kern w:val="0"/>
                <w:sz w:val="20"/>
                <w:szCs w:val="20"/>
              </w:rPr>
              <w:t>M8</w:t>
            </w:r>
            <w:r>
              <w:rPr>
                <w:rFonts w:hint="eastAsia" w:ascii="宋体" w:hAnsi="宋体"/>
                <w:color w:val="000000"/>
                <w:kern w:val="0"/>
                <w:sz w:val="20"/>
                <w:szCs w:val="20"/>
              </w:rPr>
              <w:t>预埋紧固件，同时预留</w:t>
            </w:r>
            <w:r>
              <w:rPr>
                <w:rFonts w:eastAsia="等线"/>
                <w:color w:val="000000"/>
                <w:kern w:val="0"/>
                <w:sz w:val="20"/>
                <w:szCs w:val="20"/>
              </w:rPr>
              <w:t>4</w:t>
            </w:r>
            <w:r>
              <w:rPr>
                <w:rFonts w:hint="eastAsia" w:ascii="宋体" w:hAnsi="宋体"/>
                <w:color w:val="000000"/>
                <w:kern w:val="0"/>
                <w:sz w:val="20"/>
                <w:szCs w:val="20"/>
              </w:rPr>
              <w:t>根</w:t>
            </w:r>
            <w:r>
              <w:rPr>
                <w:rFonts w:eastAsia="等线"/>
                <w:color w:val="000000"/>
                <w:kern w:val="0"/>
                <w:sz w:val="20"/>
                <w:szCs w:val="20"/>
              </w:rPr>
              <w:t>PE</w:t>
            </w:r>
            <w:r>
              <w:rPr>
                <w:rFonts w:hint="eastAsia" w:ascii="宋体" w:hAnsi="宋体"/>
                <w:color w:val="000000"/>
                <w:kern w:val="0"/>
                <w:sz w:val="20"/>
                <w:szCs w:val="20"/>
              </w:rPr>
              <w:t>管供穿线使用</w:t>
            </w:r>
          </w:p>
        </w:tc>
        <w:tc>
          <w:tcPr>
            <w:tcW w:w="462"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套</w:t>
            </w:r>
          </w:p>
        </w:tc>
        <w:tc>
          <w:tcPr>
            <w:tcW w:w="70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15</w:t>
            </w:r>
          </w:p>
        </w:tc>
      </w:tr>
      <w:tr>
        <w:tblPrEx>
          <w:tblCellMar>
            <w:top w:w="0" w:type="dxa"/>
            <w:left w:w="108" w:type="dxa"/>
            <w:bottom w:w="0" w:type="dxa"/>
            <w:right w:w="108" w:type="dxa"/>
          </w:tblCellMar>
        </w:tblPrEx>
        <w:trPr>
          <w:trHeight w:val="105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小窨井</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eastAsia="等线"/>
                <w:color w:val="000000"/>
                <w:kern w:val="0"/>
                <w:sz w:val="20"/>
                <w:szCs w:val="20"/>
              </w:rPr>
              <w:t>0.6*0.6*0.8m</w:t>
            </w:r>
            <w:r>
              <w:rPr>
                <w:rFonts w:hint="eastAsia" w:ascii="宋体" w:hAnsi="宋体"/>
                <w:color w:val="000000"/>
                <w:kern w:val="0"/>
                <w:sz w:val="20"/>
                <w:szCs w:val="20"/>
              </w:rPr>
              <w:t>含井盖井圈，含施工</w:t>
            </w:r>
            <w:r>
              <w:rPr>
                <w:rFonts w:hint="eastAsia" w:ascii="宋体" w:hAnsi="宋体"/>
                <w:color w:val="000000"/>
                <w:kern w:val="0"/>
                <w:sz w:val="20"/>
                <w:szCs w:val="20"/>
              </w:rPr>
              <w:br w:type="textWrapping"/>
            </w:r>
            <w:r>
              <w:rPr>
                <w:rFonts w:hint="eastAsia" w:ascii="宋体" w:hAnsi="宋体"/>
                <w:color w:val="000000"/>
                <w:kern w:val="0"/>
                <w:sz w:val="20"/>
                <w:szCs w:val="20"/>
              </w:rPr>
              <w:t>井底应设有透水砂石层，厚度不小于</w:t>
            </w:r>
            <w:r>
              <w:rPr>
                <w:rFonts w:eastAsia="等线"/>
                <w:color w:val="000000"/>
                <w:kern w:val="0"/>
                <w:sz w:val="20"/>
                <w:szCs w:val="20"/>
              </w:rPr>
              <w:t>100mm</w:t>
            </w:r>
            <w:r>
              <w:rPr>
                <w:rFonts w:hint="eastAsia" w:ascii="宋体" w:hAnsi="宋体"/>
                <w:color w:val="000000"/>
                <w:kern w:val="0"/>
                <w:sz w:val="20"/>
                <w:szCs w:val="20"/>
              </w:rPr>
              <w:t>。使用机砖砌</w:t>
            </w:r>
            <w:r>
              <w:rPr>
                <w:rFonts w:eastAsia="等线"/>
                <w:color w:val="000000"/>
                <w:kern w:val="0"/>
                <w:sz w:val="20"/>
                <w:szCs w:val="20"/>
              </w:rPr>
              <w:t>24</w:t>
            </w:r>
            <w:r>
              <w:rPr>
                <w:rFonts w:hint="eastAsia" w:ascii="宋体" w:hAnsi="宋体"/>
                <w:color w:val="000000"/>
                <w:kern w:val="0"/>
                <w:sz w:val="20"/>
                <w:szCs w:val="20"/>
              </w:rPr>
              <w:t>井壁墙，然后用</w:t>
            </w:r>
            <w:r>
              <w:rPr>
                <w:rFonts w:eastAsia="等线"/>
                <w:color w:val="000000"/>
                <w:kern w:val="0"/>
                <w:sz w:val="20"/>
                <w:szCs w:val="20"/>
              </w:rPr>
              <w:t>C20</w:t>
            </w:r>
            <w:r>
              <w:rPr>
                <w:rFonts w:hint="eastAsia" w:ascii="宋体" w:hAnsi="宋体"/>
                <w:color w:val="000000"/>
                <w:kern w:val="0"/>
                <w:sz w:val="20"/>
                <w:szCs w:val="20"/>
              </w:rPr>
              <w:t>或</w:t>
            </w:r>
            <w:r>
              <w:rPr>
                <w:rFonts w:eastAsia="等线"/>
                <w:color w:val="000000"/>
                <w:kern w:val="0"/>
                <w:sz w:val="20"/>
                <w:szCs w:val="20"/>
              </w:rPr>
              <w:t>200</w:t>
            </w:r>
            <w:r>
              <w:rPr>
                <w:rFonts w:hint="eastAsia" w:ascii="宋体" w:hAnsi="宋体"/>
                <w:color w:val="000000"/>
                <w:kern w:val="0"/>
                <w:sz w:val="20"/>
                <w:szCs w:val="20"/>
              </w:rPr>
              <w:t>号混凝土将内壁抹平，高度不小于</w:t>
            </w:r>
            <w:r>
              <w:rPr>
                <w:rFonts w:eastAsia="等线"/>
                <w:color w:val="000000"/>
                <w:kern w:val="0"/>
                <w:sz w:val="20"/>
                <w:szCs w:val="20"/>
              </w:rPr>
              <w:t>600</w:t>
            </w:r>
            <w:r>
              <w:rPr>
                <w:rFonts w:hint="eastAsia" w:ascii="宋体" w:hAnsi="宋体"/>
                <w:color w:val="000000"/>
                <w:kern w:val="0"/>
                <w:sz w:val="20"/>
                <w:szCs w:val="20"/>
              </w:rPr>
              <w:t>毫米。井内设置</w:t>
            </w:r>
            <w:r>
              <w:rPr>
                <w:rFonts w:eastAsia="等线"/>
                <w:color w:val="000000"/>
                <w:kern w:val="0"/>
                <w:sz w:val="20"/>
                <w:szCs w:val="20"/>
              </w:rPr>
              <w:t>50*5*2500mm</w:t>
            </w:r>
            <w:r>
              <w:rPr>
                <w:rFonts w:hint="eastAsia" w:ascii="宋体" w:hAnsi="宋体"/>
                <w:color w:val="000000"/>
                <w:kern w:val="0"/>
                <w:sz w:val="20"/>
                <w:szCs w:val="20"/>
              </w:rPr>
              <w:t>热镀锌角铁作为垂直接地极，接地电阻需小于</w:t>
            </w:r>
            <w:r>
              <w:rPr>
                <w:rFonts w:eastAsia="等线"/>
                <w:color w:val="000000"/>
                <w:kern w:val="0"/>
                <w:sz w:val="20"/>
                <w:szCs w:val="20"/>
              </w:rPr>
              <w:t>4</w:t>
            </w:r>
            <w:r>
              <w:rPr>
                <w:rFonts w:hint="eastAsia" w:ascii="宋体" w:hAnsi="宋体"/>
                <w:color w:val="000000"/>
                <w:kern w:val="0"/>
                <w:sz w:val="20"/>
                <w:szCs w:val="20"/>
              </w:rPr>
              <w:t>欧姆。接地极与信号机接地端宜使用</w:t>
            </w:r>
            <w:r>
              <w:rPr>
                <w:rFonts w:eastAsia="等线"/>
                <w:color w:val="000000"/>
                <w:kern w:val="0"/>
                <w:sz w:val="20"/>
                <w:szCs w:val="20"/>
              </w:rPr>
              <w:t>16mm2</w:t>
            </w:r>
            <w:r>
              <w:rPr>
                <w:rFonts w:hint="eastAsia" w:ascii="宋体" w:hAnsi="宋体"/>
                <w:color w:val="000000"/>
                <w:kern w:val="0"/>
                <w:sz w:val="20"/>
                <w:szCs w:val="20"/>
              </w:rPr>
              <w:t>多芯铜线连接。</w:t>
            </w:r>
          </w:p>
        </w:tc>
        <w:tc>
          <w:tcPr>
            <w:tcW w:w="462"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套</w:t>
            </w:r>
          </w:p>
        </w:tc>
        <w:tc>
          <w:tcPr>
            <w:tcW w:w="70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15</w:t>
            </w:r>
          </w:p>
        </w:tc>
      </w:tr>
      <w:tr>
        <w:tblPrEx>
          <w:tblCellMar>
            <w:top w:w="0" w:type="dxa"/>
            <w:left w:w="108" w:type="dxa"/>
            <w:bottom w:w="0" w:type="dxa"/>
            <w:right w:w="108" w:type="dxa"/>
          </w:tblCellMar>
        </w:tblPrEx>
        <w:trPr>
          <w:trHeight w:val="528" w:hRule="atLeast"/>
        </w:trPr>
        <w:tc>
          <w:tcPr>
            <w:tcW w:w="604"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2</w:t>
            </w:r>
          </w:p>
        </w:tc>
        <w:tc>
          <w:tcPr>
            <w:tcW w:w="74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hint="eastAsia" w:ascii="宋体" w:hAnsi="宋体"/>
                <w:kern w:val="0"/>
                <w:sz w:val="20"/>
                <w:szCs w:val="20"/>
              </w:rPr>
              <w:t>桌面云系统</w:t>
            </w: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hint="eastAsia" w:ascii="宋体" w:hAnsi="宋体"/>
                <w:kern w:val="0"/>
                <w:sz w:val="20"/>
                <w:szCs w:val="20"/>
              </w:rPr>
              <w:t>计算存储及处理能力</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eastAsia="等线"/>
                <w:kern w:val="0"/>
                <w:sz w:val="20"/>
                <w:szCs w:val="20"/>
              </w:rPr>
              <w:t>1</w:t>
            </w:r>
            <w:r>
              <w:rPr>
                <w:rFonts w:hint="eastAsia" w:ascii="宋体" w:hAnsi="宋体"/>
                <w:kern w:val="0"/>
                <w:sz w:val="20"/>
                <w:szCs w:val="20"/>
              </w:rPr>
              <w:t>、采用超融合方式解决</w:t>
            </w:r>
            <w:r>
              <w:rPr>
                <w:rFonts w:eastAsia="等线"/>
                <w:kern w:val="0"/>
                <w:sz w:val="20"/>
                <w:szCs w:val="20"/>
              </w:rPr>
              <w:t>200</w:t>
            </w:r>
            <w:r>
              <w:rPr>
                <w:rFonts w:hint="eastAsia" w:ascii="宋体" w:hAnsi="宋体"/>
                <w:kern w:val="0"/>
                <w:sz w:val="20"/>
                <w:szCs w:val="20"/>
              </w:rPr>
              <w:t>个桌面云客户端对于算力的要求</w:t>
            </w:r>
            <w:r>
              <w:rPr>
                <w:rFonts w:hint="eastAsia" w:ascii="宋体" w:hAnsi="宋体"/>
                <w:kern w:val="0"/>
                <w:sz w:val="20"/>
                <w:szCs w:val="20"/>
              </w:rPr>
              <w:br w:type="textWrapping"/>
            </w:r>
            <w:r>
              <w:rPr>
                <w:rFonts w:eastAsia="等线"/>
                <w:kern w:val="0"/>
                <w:sz w:val="20"/>
                <w:szCs w:val="20"/>
              </w:rPr>
              <w:t>2</w:t>
            </w:r>
            <w:r>
              <w:rPr>
                <w:rFonts w:hint="eastAsia" w:ascii="宋体" w:hAnsi="宋体"/>
                <w:kern w:val="0"/>
                <w:sz w:val="20"/>
                <w:szCs w:val="20"/>
              </w:rPr>
              <w:t>、桌面云单点终端需求需满足：≥</w:t>
            </w:r>
            <w:r>
              <w:rPr>
                <w:rFonts w:eastAsia="等线"/>
                <w:kern w:val="0"/>
                <w:sz w:val="20"/>
                <w:szCs w:val="20"/>
              </w:rPr>
              <w:t>4</w:t>
            </w:r>
            <w:r>
              <w:rPr>
                <w:rFonts w:hint="eastAsia" w:ascii="宋体" w:hAnsi="宋体"/>
                <w:kern w:val="0"/>
                <w:sz w:val="20"/>
                <w:szCs w:val="20"/>
              </w:rPr>
              <w:t>核</w:t>
            </w:r>
            <w:r>
              <w:rPr>
                <w:rFonts w:eastAsia="等线"/>
                <w:kern w:val="0"/>
                <w:sz w:val="20"/>
                <w:szCs w:val="20"/>
              </w:rPr>
              <w:t>8G</w:t>
            </w:r>
            <w:r>
              <w:rPr>
                <w:rFonts w:hint="eastAsia" w:ascii="宋体" w:hAnsi="宋体"/>
                <w:kern w:val="0"/>
                <w:sz w:val="20"/>
                <w:szCs w:val="20"/>
              </w:rPr>
              <w:t>、机械硬盘存储≥</w:t>
            </w:r>
            <w:r>
              <w:rPr>
                <w:rFonts w:eastAsia="等线"/>
                <w:kern w:val="0"/>
                <w:sz w:val="20"/>
                <w:szCs w:val="20"/>
              </w:rPr>
              <w:t>500G</w:t>
            </w:r>
            <w:r>
              <w:rPr>
                <w:rFonts w:hint="eastAsia" w:ascii="宋体" w:hAnsi="宋体"/>
                <w:kern w:val="0"/>
                <w:sz w:val="20"/>
                <w:szCs w:val="20"/>
              </w:rPr>
              <w:t>、固态硬盘≥</w:t>
            </w:r>
            <w:r>
              <w:rPr>
                <w:rFonts w:eastAsia="等线"/>
                <w:kern w:val="0"/>
                <w:sz w:val="20"/>
                <w:szCs w:val="20"/>
              </w:rPr>
              <w:t>50G</w:t>
            </w:r>
          </w:p>
        </w:tc>
        <w:tc>
          <w:tcPr>
            <w:tcW w:w="462"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套</w:t>
            </w:r>
          </w:p>
        </w:tc>
        <w:tc>
          <w:tcPr>
            <w:tcW w:w="70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6</w:t>
            </w:r>
          </w:p>
        </w:tc>
      </w:tr>
      <w:tr>
        <w:tblPrEx>
          <w:tblCellMar>
            <w:top w:w="0" w:type="dxa"/>
            <w:left w:w="108" w:type="dxa"/>
            <w:bottom w:w="0" w:type="dxa"/>
            <w:right w:w="108" w:type="dxa"/>
          </w:tblCellMar>
        </w:tblPrEx>
        <w:trPr>
          <w:trHeight w:val="5112" w:hRule="atLeast"/>
        </w:trPr>
        <w:tc>
          <w:tcPr>
            <w:tcW w:w="60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3</w:t>
            </w:r>
          </w:p>
        </w:tc>
        <w:tc>
          <w:tcPr>
            <w:tcW w:w="74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三维可视化系统</w:t>
            </w: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GIS</w:t>
            </w:r>
            <w:r>
              <w:rPr>
                <w:rFonts w:hint="eastAsia" w:ascii="宋体" w:hAnsi="宋体"/>
                <w:color w:val="000000"/>
                <w:kern w:val="0"/>
                <w:sz w:val="20"/>
                <w:szCs w:val="20"/>
              </w:rPr>
              <w:t>基础平台</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eastAsia="等线"/>
                <w:color w:val="000000"/>
                <w:kern w:val="0"/>
                <w:sz w:val="20"/>
                <w:szCs w:val="20"/>
              </w:rPr>
              <w:t>1</w:t>
            </w:r>
            <w:r>
              <w:rPr>
                <w:rFonts w:hint="eastAsia" w:ascii="宋体" w:hAnsi="宋体"/>
                <w:color w:val="000000"/>
                <w:kern w:val="0"/>
                <w:sz w:val="20"/>
                <w:szCs w:val="20"/>
              </w:rPr>
              <w:t>、具备二三维一体化</w:t>
            </w:r>
            <w:r>
              <w:rPr>
                <w:rFonts w:eastAsia="等线"/>
                <w:color w:val="000000"/>
                <w:kern w:val="0"/>
                <w:sz w:val="20"/>
                <w:szCs w:val="20"/>
              </w:rPr>
              <w:t>GIS</w:t>
            </w:r>
            <w:r>
              <w:rPr>
                <w:rFonts w:hint="eastAsia" w:ascii="宋体" w:hAnsi="宋体"/>
                <w:color w:val="000000"/>
                <w:kern w:val="0"/>
                <w:sz w:val="20"/>
                <w:szCs w:val="20"/>
              </w:rPr>
              <w:t>内核，可以实现二维地图和三维地图的一体化处理、优化、发布、可视化等的平滑应用，地图基础功能放大</w:t>
            </w:r>
            <w:r>
              <w:rPr>
                <w:rFonts w:eastAsia="等线"/>
                <w:color w:val="000000"/>
                <w:kern w:val="0"/>
                <w:sz w:val="20"/>
                <w:szCs w:val="20"/>
              </w:rPr>
              <w:t>/</w:t>
            </w:r>
            <w:r>
              <w:rPr>
                <w:rFonts w:hint="eastAsia" w:ascii="宋体" w:hAnsi="宋体"/>
                <w:color w:val="000000"/>
                <w:kern w:val="0"/>
                <w:sz w:val="20"/>
                <w:szCs w:val="20"/>
              </w:rPr>
              <w:t>缩小</w:t>
            </w:r>
            <w:r>
              <w:rPr>
                <w:rFonts w:eastAsia="等线"/>
                <w:color w:val="000000"/>
                <w:kern w:val="0"/>
                <w:sz w:val="20"/>
                <w:szCs w:val="20"/>
              </w:rPr>
              <w:t>/</w:t>
            </w:r>
            <w:r>
              <w:rPr>
                <w:rFonts w:hint="eastAsia" w:ascii="宋体" w:hAnsi="宋体"/>
                <w:color w:val="000000"/>
                <w:kern w:val="0"/>
                <w:sz w:val="20"/>
                <w:szCs w:val="20"/>
              </w:rPr>
              <w:t>漫游</w:t>
            </w:r>
            <w:r>
              <w:rPr>
                <w:rFonts w:eastAsia="等线"/>
                <w:color w:val="000000"/>
                <w:kern w:val="0"/>
                <w:sz w:val="20"/>
                <w:szCs w:val="20"/>
              </w:rPr>
              <w:t>/</w:t>
            </w:r>
            <w:r>
              <w:rPr>
                <w:rFonts w:hint="eastAsia" w:ascii="宋体" w:hAnsi="宋体"/>
                <w:color w:val="000000"/>
                <w:kern w:val="0"/>
                <w:sz w:val="20"/>
                <w:szCs w:val="20"/>
              </w:rPr>
              <w:t>多视角浏览。</w:t>
            </w:r>
            <w:r>
              <w:rPr>
                <w:rFonts w:hint="eastAsia" w:ascii="宋体" w:hAnsi="宋体"/>
                <w:color w:val="000000"/>
                <w:kern w:val="0"/>
                <w:sz w:val="20"/>
                <w:szCs w:val="20"/>
              </w:rPr>
              <w:br w:type="textWrapping"/>
            </w:r>
            <w:r>
              <w:rPr>
                <w:rFonts w:eastAsia="等线"/>
                <w:color w:val="000000"/>
                <w:kern w:val="0"/>
                <w:sz w:val="20"/>
                <w:szCs w:val="20"/>
              </w:rPr>
              <w:t>2</w:t>
            </w:r>
            <w:r>
              <w:rPr>
                <w:rFonts w:hint="eastAsia" w:ascii="宋体" w:hAnsi="宋体"/>
                <w:color w:val="000000"/>
                <w:kern w:val="0"/>
                <w:sz w:val="20"/>
                <w:szCs w:val="20"/>
              </w:rPr>
              <w:t>、支持对倾斜摄影、影像、地形、矢量等各类型</w:t>
            </w:r>
            <w:r>
              <w:rPr>
                <w:rFonts w:eastAsia="等线"/>
                <w:color w:val="000000"/>
                <w:kern w:val="0"/>
                <w:sz w:val="20"/>
                <w:szCs w:val="20"/>
              </w:rPr>
              <w:t>GIS</w:t>
            </w:r>
            <w:r>
              <w:rPr>
                <w:rFonts w:hint="eastAsia" w:ascii="宋体" w:hAnsi="宋体"/>
                <w:color w:val="000000"/>
                <w:kern w:val="0"/>
                <w:sz w:val="20"/>
                <w:szCs w:val="20"/>
              </w:rPr>
              <w:t>数据实现高效的数据处理、数据分析、二三维制图及发布等操作。</w:t>
            </w:r>
            <w:r>
              <w:rPr>
                <w:rFonts w:hint="eastAsia" w:ascii="宋体" w:hAnsi="宋体"/>
                <w:color w:val="000000"/>
                <w:kern w:val="0"/>
                <w:sz w:val="20"/>
                <w:szCs w:val="20"/>
              </w:rPr>
              <w:br w:type="textWrapping"/>
            </w:r>
            <w:r>
              <w:rPr>
                <w:rFonts w:eastAsia="等线"/>
                <w:color w:val="000000"/>
                <w:kern w:val="0"/>
                <w:sz w:val="20"/>
                <w:szCs w:val="20"/>
              </w:rPr>
              <w:t>3</w:t>
            </w:r>
            <w:r>
              <w:rPr>
                <w:rFonts w:hint="eastAsia" w:ascii="宋体" w:hAnsi="宋体"/>
                <w:color w:val="000000"/>
                <w:kern w:val="0"/>
                <w:sz w:val="20"/>
                <w:szCs w:val="20"/>
              </w:rPr>
              <w:t>、支持空间数据的导入导出、类型转换、数据浏览和编辑等丰富的数据管理工具，具备数据的配准、投影转换等丰富的数据处理工具，具备丰富的地图制图和专题图生产工具。</w:t>
            </w:r>
            <w:r>
              <w:rPr>
                <w:rFonts w:hint="eastAsia" w:ascii="宋体" w:hAnsi="宋体"/>
                <w:color w:val="000000"/>
                <w:kern w:val="0"/>
                <w:sz w:val="20"/>
                <w:szCs w:val="20"/>
              </w:rPr>
              <w:br w:type="textWrapping"/>
            </w:r>
            <w:r>
              <w:rPr>
                <w:rFonts w:eastAsia="等线"/>
                <w:color w:val="000000"/>
                <w:kern w:val="0"/>
                <w:sz w:val="20"/>
                <w:szCs w:val="20"/>
              </w:rPr>
              <w:t>4</w:t>
            </w:r>
            <w:r>
              <w:rPr>
                <w:rFonts w:hint="eastAsia" w:ascii="宋体" w:hAnsi="宋体"/>
                <w:color w:val="000000"/>
                <w:kern w:val="0"/>
                <w:sz w:val="20"/>
                <w:szCs w:val="20"/>
              </w:rPr>
              <w:t>、具备综合的地图显示、渲染、编辑以及出图等功能。包含数据导入</w:t>
            </w:r>
            <w:r>
              <w:rPr>
                <w:rFonts w:eastAsia="等线"/>
                <w:color w:val="000000"/>
                <w:kern w:val="0"/>
                <w:sz w:val="20"/>
                <w:szCs w:val="20"/>
              </w:rPr>
              <w:t>/</w:t>
            </w:r>
            <w:r>
              <w:rPr>
                <w:rFonts w:hint="eastAsia" w:ascii="宋体" w:hAnsi="宋体"/>
                <w:color w:val="000000"/>
                <w:kern w:val="0"/>
                <w:sz w:val="20"/>
                <w:szCs w:val="20"/>
              </w:rPr>
              <w:t>导出、专题图制作、数据编辑、投影转换、三维场景、地图瓦片等功能</w:t>
            </w:r>
            <w:r>
              <w:rPr>
                <w:rFonts w:hint="eastAsia" w:ascii="宋体" w:hAnsi="宋体"/>
                <w:color w:val="000000"/>
                <w:kern w:val="0"/>
                <w:sz w:val="20"/>
                <w:szCs w:val="20"/>
              </w:rPr>
              <w:br w:type="textWrapping"/>
            </w:r>
            <w:r>
              <w:rPr>
                <w:rFonts w:eastAsia="等线"/>
                <w:color w:val="000000"/>
                <w:kern w:val="0"/>
                <w:sz w:val="20"/>
                <w:szCs w:val="20"/>
              </w:rPr>
              <w:t>5</w:t>
            </w:r>
            <w:r>
              <w:rPr>
                <w:rFonts w:hint="eastAsia" w:ascii="宋体" w:hAnsi="宋体"/>
                <w:color w:val="000000"/>
                <w:kern w:val="0"/>
                <w:sz w:val="20"/>
                <w:szCs w:val="20"/>
              </w:rPr>
              <w:t>、提供地图服务功能，包括常用的地图操作、距离</w:t>
            </w:r>
            <w:r>
              <w:rPr>
                <w:rFonts w:eastAsia="等线"/>
                <w:color w:val="000000"/>
                <w:kern w:val="0"/>
                <w:sz w:val="20"/>
                <w:szCs w:val="20"/>
              </w:rPr>
              <w:t>/</w:t>
            </w:r>
            <w:r>
              <w:rPr>
                <w:rFonts w:hint="eastAsia" w:ascii="宋体" w:hAnsi="宋体"/>
                <w:color w:val="000000"/>
                <w:kern w:val="0"/>
                <w:sz w:val="20"/>
                <w:szCs w:val="20"/>
              </w:rPr>
              <w:t>面积量算、动态投影、动态专题图制作、空间查询、属性查询等功能</w:t>
            </w:r>
            <w:r>
              <w:rPr>
                <w:rFonts w:hint="eastAsia" w:ascii="宋体" w:hAnsi="宋体"/>
                <w:color w:val="000000"/>
                <w:kern w:val="0"/>
                <w:sz w:val="20"/>
                <w:szCs w:val="20"/>
              </w:rPr>
              <w:br w:type="textWrapping"/>
            </w:r>
            <w:r>
              <w:rPr>
                <w:rFonts w:eastAsia="等线"/>
                <w:color w:val="000000"/>
                <w:kern w:val="0"/>
                <w:sz w:val="20"/>
                <w:szCs w:val="20"/>
              </w:rPr>
              <w:t>6</w:t>
            </w:r>
            <w:r>
              <w:rPr>
                <w:rFonts w:hint="eastAsia" w:ascii="宋体" w:hAnsi="宋体"/>
                <w:color w:val="000000"/>
                <w:kern w:val="0"/>
                <w:sz w:val="20"/>
                <w:szCs w:val="20"/>
              </w:rPr>
              <w:t>、提供矢量瓦片服务，支持基于</w:t>
            </w:r>
            <w:r>
              <w:rPr>
                <w:rFonts w:eastAsia="等线"/>
                <w:color w:val="000000"/>
                <w:kern w:val="0"/>
                <w:sz w:val="20"/>
                <w:szCs w:val="20"/>
              </w:rPr>
              <w:t>MVT</w:t>
            </w:r>
            <w:r>
              <w:rPr>
                <w:rFonts w:hint="eastAsia" w:ascii="宋体" w:hAnsi="宋体"/>
                <w:color w:val="000000"/>
                <w:kern w:val="0"/>
                <w:sz w:val="20"/>
                <w:szCs w:val="20"/>
              </w:rPr>
              <w:t>标准矢量瓦片实现地图浏览、交互。</w:t>
            </w:r>
            <w:r>
              <w:rPr>
                <w:rFonts w:hint="eastAsia" w:ascii="宋体" w:hAnsi="宋体"/>
                <w:color w:val="000000"/>
                <w:kern w:val="0"/>
                <w:sz w:val="20"/>
                <w:szCs w:val="20"/>
              </w:rPr>
              <w:br w:type="textWrapping"/>
            </w:r>
            <w:r>
              <w:rPr>
                <w:rFonts w:eastAsia="等线"/>
                <w:color w:val="000000"/>
                <w:kern w:val="0"/>
                <w:sz w:val="20"/>
                <w:szCs w:val="20"/>
              </w:rPr>
              <w:t>7</w:t>
            </w:r>
            <w:r>
              <w:rPr>
                <w:rFonts w:hint="eastAsia" w:ascii="宋体" w:hAnsi="宋体"/>
                <w:color w:val="000000"/>
                <w:kern w:val="0"/>
                <w:sz w:val="20"/>
                <w:szCs w:val="20"/>
              </w:rPr>
              <w:t>、支持对三维数据发布和浏览、三维空间分析，以及支持各终端的服务访问。</w:t>
            </w:r>
            <w:r>
              <w:rPr>
                <w:rFonts w:hint="eastAsia" w:ascii="宋体" w:hAnsi="宋体"/>
                <w:color w:val="000000"/>
                <w:kern w:val="0"/>
                <w:sz w:val="20"/>
                <w:szCs w:val="20"/>
              </w:rPr>
              <w:br w:type="textWrapping"/>
            </w:r>
            <w:r>
              <w:rPr>
                <w:rFonts w:eastAsia="等线"/>
                <w:color w:val="000000"/>
                <w:kern w:val="0"/>
                <w:sz w:val="20"/>
                <w:szCs w:val="20"/>
              </w:rPr>
              <w:t>8</w:t>
            </w:r>
            <w:r>
              <w:rPr>
                <w:rFonts w:hint="eastAsia" w:ascii="宋体" w:hAnsi="宋体"/>
                <w:color w:val="000000"/>
                <w:kern w:val="0"/>
                <w:sz w:val="20"/>
                <w:szCs w:val="20"/>
              </w:rPr>
              <w:t>、提供对空间要素和数据的分析功能包括对数据集和几何对象的缓冲区分析、叠加分析、表面分析、插值分析等。在二维服务的基础上，还需提供相应的三维分析服务</w:t>
            </w:r>
            <w:r>
              <w:rPr>
                <w:rFonts w:hint="eastAsia" w:ascii="宋体" w:hAnsi="宋体"/>
                <w:color w:val="000000"/>
                <w:kern w:val="0"/>
                <w:sz w:val="20"/>
                <w:szCs w:val="20"/>
              </w:rPr>
              <w:br w:type="textWrapping"/>
            </w:r>
            <w:r>
              <w:rPr>
                <w:rFonts w:eastAsia="等线"/>
                <w:color w:val="000000"/>
                <w:kern w:val="0"/>
                <w:sz w:val="20"/>
                <w:szCs w:val="20"/>
              </w:rPr>
              <w:t>9</w:t>
            </w:r>
            <w:r>
              <w:rPr>
                <w:rFonts w:hint="eastAsia" w:ascii="宋体" w:hAnsi="宋体"/>
                <w:color w:val="000000"/>
                <w:kern w:val="0"/>
                <w:sz w:val="20"/>
                <w:szCs w:val="20"/>
              </w:rPr>
              <w:t>、具备丰富的开发方式，提供整套的</w:t>
            </w:r>
            <w:r>
              <w:rPr>
                <w:rFonts w:eastAsia="等线"/>
                <w:color w:val="000000"/>
                <w:kern w:val="0"/>
                <w:sz w:val="20"/>
                <w:szCs w:val="20"/>
              </w:rPr>
              <w:t>SDK</w:t>
            </w:r>
            <w:r>
              <w:rPr>
                <w:rFonts w:hint="eastAsia" w:ascii="宋体" w:hAnsi="宋体"/>
                <w:color w:val="000000"/>
                <w:kern w:val="0"/>
                <w:sz w:val="20"/>
                <w:szCs w:val="20"/>
              </w:rPr>
              <w:t>，满足传统二维</w:t>
            </w:r>
            <w:r>
              <w:rPr>
                <w:rFonts w:eastAsia="等线"/>
                <w:color w:val="000000"/>
                <w:kern w:val="0"/>
                <w:sz w:val="20"/>
                <w:szCs w:val="20"/>
              </w:rPr>
              <w:t>GIS</w:t>
            </w:r>
            <w:r>
              <w:rPr>
                <w:rFonts w:hint="eastAsia" w:ascii="宋体" w:hAnsi="宋体"/>
                <w:color w:val="000000"/>
                <w:kern w:val="0"/>
                <w:sz w:val="20"/>
                <w:szCs w:val="20"/>
              </w:rPr>
              <w:t>技术和三维</w:t>
            </w:r>
            <w:r>
              <w:rPr>
                <w:rFonts w:eastAsia="等线"/>
                <w:color w:val="000000"/>
                <w:kern w:val="0"/>
                <w:sz w:val="20"/>
                <w:szCs w:val="20"/>
              </w:rPr>
              <w:t>GIS</w:t>
            </w:r>
            <w:r>
              <w:rPr>
                <w:rFonts w:hint="eastAsia" w:ascii="宋体" w:hAnsi="宋体"/>
                <w:color w:val="000000"/>
                <w:kern w:val="0"/>
                <w:sz w:val="20"/>
                <w:szCs w:val="20"/>
              </w:rPr>
              <w:t>技术通用标准及工业接口，可实现与第三方系统的位置信息传递及调用。</w:t>
            </w:r>
            <w:r>
              <w:rPr>
                <w:rFonts w:hint="eastAsia" w:ascii="宋体" w:hAnsi="宋体"/>
                <w:color w:val="000000"/>
                <w:kern w:val="0"/>
                <w:sz w:val="20"/>
                <w:szCs w:val="20"/>
              </w:rPr>
              <w:br w:type="textWrapping"/>
            </w:r>
            <w:r>
              <w:rPr>
                <w:rFonts w:eastAsia="等线"/>
                <w:color w:val="000000"/>
                <w:kern w:val="0"/>
                <w:sz w:val="20"/>
                <w:szCs w:val="20"/>
              </w:rPr>
              <w:t>10</w:t>
            </w:r>
            <w:r>
              <w:rPr>
                <w:rFonts w:hint="eastAsia" w:ascii="宋体" w:hAnsi="宋体"/>
                <w:color w:val="000000"/>
                <w:kern w:val="0"/>
                <w:sz w:val="20"/>
                <w:szCs w:val="20"/>
              </w:rPr>
              <w:t>、提供连接第三方地图</w:t>
            </w:r>
            <w:r>
              <w:rPr>
                <w:rFonts w:eastAsia="等线"/>
                <w:color w:val="000000"/>
                <w:kern w:val="0"/>
                <w:sz w:val="20"/>
                <w:szCs w:val="20"/>
              </w:rPr>
              <w:t>API</w:t>
            </w:r>
            <w:r>
              <w:rPr>
                <w:rFonts w:hint="eastAsia" w:ascii="宋体" w:hAnsi="宋体"/>
                <w:color w:val="000000"/>
                <w:kern w:val="0"/>
                <w:sz w:val="20"/>
                <w:szCs w:val="20"/>
              </w:rPr>
              <w:t>的</w:t>
            </w:r>
            <w:r>
              <w:rPr>
                <w:rFonts w:eastAsia="等线"/>
                <w:color w:val="000000"/>
                <w:kern w:val="0"/>
                <w:sz w:val="20"/>
                <w:szCs w:val="20"/>
              </w:rPr>
              <w:t>SDK</w:t>
            </w:r>
            <w:r>
              <w:rPr>
                <w:rFonts w:hint="eastAsia" w:ascii="宋体" w:hAnsi="宋体"/>
                <w:color w:val="000000"/>
                <w:kern w:val="0"/>
                <w:sz w:val="20"/>
                <w:szCs w:val="20"/>
              </w:rPr>
              <w:t>，可实现互联互通，支持跨硬件平台、跨操作系统平台的异构集群。</w:t>
            </w:r>
            <w:r>
              <w:rPr>
                <w:rFonts w:hint="eastAsia" w:ascii="宋体" w:hAnsi="宋体"/>
                <w:color w:val="000000"/>
                <w:kern w:val="0"/>
                <w:sz w:val="20"/>
                <w:szCs w:val="20"/>
              </w:rPr>
              <w:br w:type="textWrapping"/>
            </w:r>
            <w:r>
              <w:rPr>
                <w:rFonts w:eastAsia="等线"/>
                <w:color w:val="000000"/>
                <w:kern w:val="0"/>
                <w:sz w:val="20"/>
                <w:szCs w:val="20"/>
              </w:rPr>
              <w:t>11</w:t>
            </w:r>
            <w:r>
              <w:rPr>
                <w:rFonts w:hint="eastAsia" w:ascii="宋体" w:hAnsi="宋体"/>
                <w:color w:val="000000"/>
                <w:kern w:val="0"/>
                <w:sz w:val="20"/>
                <w:szCs w:val="20"/>
              </w:rPr>
              <w:t>、支持常见的矢量数据格式、栅格数据格式和常见的三维数据格式；支持中国标准矢量交换格式</w:t>
            </w:r>
            <w:r>
              <w:rPr>
                <w:rFonts w:eastAsia="等线"/>
                <w:color w:val="000000"/>
                <w:kern w:val="0"/>
                <w:sz w:val="20"/>
                <w:szCs w:val="20"/>
              </w:rPr>
              <w:t>VCT3.0</w:t>
            </w:r>
            <w:r>
              <w:rPr>
                <w:rFonts w:hint="eastAsia" w:ascii="宋体" w:hAnsi="宋体"/>
                <w:color w:val="000000"/>
                <w:kern w:val="0"/>
                <w:sz w:val="20"/>
                <w:szCs w:val="20"/>
              </w:rPr>
              <w:t>；</w:t>
            </w:r>
          </w:p>
        </w:tc>
        <w:tc>
          <w:tcPr>
            <w:tcW w:w="462"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套</w:t>
            </w:r>
          </w:p>
        </w:tc>
        <w:tc>
          <w:tcPr>
            <w:tcW w:w="70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2520"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基础地理信息数据建设</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eastAsia="等线"/>
                <w:color w:val="000000"/>
                <w:kern w:val="0"/>
                <w:sz w:val="20"/>
                <w:szCs w:val="20"/>
              </w:rPr>
              <w:t>1</w:t>
            </w:r>
            <w:r>
              <w:rPr>
                <w:rFonts w:hint="eastAsia" w:ascii="宋体" w:hAnsi="宋体"/>
                <w:color w:val="000000"/>
                <w:kern w:val="0"/>
                <w:sz w:val="20"/>
                <w:szCs w:val="20"/>
              </w:rPr>
              <w:t>、二维矢量数据：对达拉特旗包含全旗范围内的旗（县）</w:t>
            </w:r>
            <w:r>
              <w:rPr>
                <w:rFonts w:eastAsia="等线"/>
                <w:color w:val="000000"/>
                <w:kern w:val="0"/>
                <w:sz w:val="20"/>
                <w:szCs w:val="20"/>
              </w:rPr>
              <w:t>/</w:t>
            </w:r>
            <w:r>
              <w:rPr>
                <w:rFonts w:hint="eastAsia" w:ascii="宋体" w:hAnsi="宋体"/>
                <w:color w:val="000000"/>
                <w:kern w:val="0"/>
                <w:sz w:val="20"/>
                <w:szCs w:val="20"/>
              </w:rPr>
              <w:t>乡镇（苏木）</w:t>
            </w:r>
            <w:r>
              <w:rPr>
                <w:rFonts w:eastAsia="等线"/>
                <w:color w:val="000000"/>
                <w:kern w:val="0"/>
                <w:sz w:val="20"/>
                <w:szCs w:val="20"/>
              </w:rPr>
              <w:t>/</w:t>
            </w:r>
            <w:r>
              <w:rPr>
                <w:rFonts w:hint="eastAsia" w:ascii="宋体" w:hAnsi="宋体"/>
                <w:color w:val="000000"/>
                <w:kern w:val="0"/>
                <w:sz w:val="20"/>
                <w:szCs w:val="20"/>
              </w:rPr>
              <w:t>村（嘎查）三级行政区划界线、省道</w:t>
            </w:r>
            <w:r>
              <w:rPr>
                <w:rFonts w:eastAsia="等线"/>
                <w:color w:val="000000"/>
                <w:kern w:val="0"/>
                <w:sz w:val="20"/>
                <w:szCs w:val="20"/>
              </w:rPr>
              <w:t>/</w:t>
            </w:r>
            <w:r>
              <w:rPr>
                <w:rFonts w:hint="eastAsia" w:ascii="宋体" w:hAnsi="宋体"/>
                <w:color w:val="000000"/>
                <w:kern w:val="0"/>
                <w:sz w:val="20"/>
                <w:szCs w:val="20"/>
              </w:rPr>
              <w:t>县道</w:t>
            </w:r>
            <w:r>
              <w:rPr>
                <w:rFonts w:eastAsia="等线"/>
                <w:color w:val="000000"/>
                <w:kern w:val="0"/>
                <w:sz w:val="20"/>
                <w:szCs w:val="20"/>
              </w:rPr>
              <w:t>/</w:t>
            </w:r>
            <w:r>
              <w:rPr>
                <w:rFonts w:hint="eastAsia" w:ascii="宋体" w:hAnsi="宋体"/>
                <w:color w:val="000000"/>
                <w:kern w:val="0"/>
                <w:sz w:val="20"/>
                <w:szCs w:val="20"/>
              </w:rPr>
              <w:t>乡道</w:t>
            </w:r>
            <w:r>
              <w:rPr>
                <w:rFonts w:eastAsia="等线"/>
                <w:color w:val="000000"/>
                <w:kern w:val="0"/>
                <w:sz w:val="20"/>
                <w:szCs w:val="20"/>
              </w:rPr>
              <w:t>/</w:t>
            </w:r>
            <w:r>
              <w:rPr>
                <w:rFonts w:hint="eastAsia" w:ascii="宋体" w:hAnsi="宋体"/>
                <w:color w:val="000000"/>
                <w:kern w:val="0"/>
                <w:sz w:val="20"/>
                <w:szCs w:val="20"/>
              </w:rPr>
              <w:t>城市主干道及道路附属信息、</w:t>
            </w:r>
            <w:r>
              <w:rPr>
                <w:rFonts w:eastAsia="等线"/>
                <w:color w:val="000000"/>
                <w:kern w:val="0"/>
                <w:sz w:val="20"/>
                <w:szCs w:val="20"/>
              </w:rPr>
              <w:t>POI</w:t>
            </w:r>
            <w:r>
              <w:rPr>
                <w:rFonts w:hint="eastAsia" w:ascii="宋体" w:hAnsi="宋体"/>
                <w:color w:val="000000"/>
                <w:kern w:val="0"/>
                <w:sz w:val="20"/>
                <w:szCs w:val="20"/>
              </w:rPr>
              <w:t>（医院、大厦、超市、加油站、银行等等信息）矢量电子地图建库应用；根据地形图数据提取并再加工，对数据进行分层、符号化、切图等形成电子地图，输出矢量电子地图。</w:t>
            </w:r>
            <w:r>
              <w:rPr>
                <w:rFonts w:hint="eastAsia" w:ascii="宋体" w:hAnsi="宋体"/>
                <w:color w:val="000000"/>
                <w:kern w:val="0"/>
                <w:sz w:val="20"/>
                <w:szCs w:val="20"/>
              </w:rPr>
              <w:br w:type="textWrapping"/>
            </w:r>
            <w:r>
              <w:rPr>
                <w:rFonts w:eastAsia="等线"/>
                <w:color w:val="000000"/>
                <w:kern w:val="0"/>
                <w:sz w:val="20"/>
                <w:szCs w:val="20"/>
              </w:rPr>
              <w:t>2</w:t>
            </w:r>
            <w:r>
              <w:rPr>
                <w:rFonts w:hint="eastAsia" w:ascii="宋体" w:hAnsi="宋体"/>
                <w:color w:val="000000"/>
                <w:kern w:val="0"/>
                <w:sz w:val="20"/>
                <w:szCs w:val="20"/>
              </w:rPr>
              <w:t>、高清影像数据：达拉特旗（</w:t>
            </w:r>
            <w:r>
              <w:rPr>
                <w:rFonts w:eastAsia="等线"/>
                <w:color w:val="000000"/>
                <w:kern w:val="0"/>
                <w:sz w:val="20"/>
                <w:szCs w:val="20"/>
              </w:rPr>
              <w:t>70km²</w:t>
            </w:r>
            <w:r>
              <w:rPr>
                <w:rFonts w:hint="eastAsia" w:ascii="宋体" w:hAnsi="宋体"/>
                <w:color w:val="000000"/>
                <w:kern w:val="0"/>
                <w:sz w:val="20"/>
                <w:szCs w:val="20"/>
              </w:rPr>
              <w:t>）范围</w:t>
            </w:r>
            <w:r>
              <w:rPr>
                <w:rFonts w:eastAsia="等线"/>
                <w:color w:val="000000"/>
                <w:kern w:val="0"/>
                <w:sz w:val="20"/>
                <w:szCs w:val="20"/>
              </w:rPr>
              <w:t>0.3m</w:t>
            </w:r>
            <w:r>
              <w:rPr>
                <w:rFonts w:hint="eastAsia" w:ascii="宋体" w:hAnsi="宋体"/>
                <w:color w:val="000000"/>
                <w:kern w:val="0"/>
                <w:sz w:val="20"/>
                <w:szCs w:val="20"/>
              </w:rPr>
              <w:t>地面分辨率的正射影像数据，对数据进行标准化、质检，并入库。</w:t>
            </w:r>
            <w:r>
              <w:rPr>
                <w:rFonts w:hint="eastAsia" w:ascii="宋体" w:hAnsi="宋体"/>
                <w:color w:val="000000"/>
                <w:kern w:val="0"/>
                <w:sz w:val="20"/>
                <w:szCs w:val="20"/>
              </w:rPr>
              <w:br w:type="textWrapping"/>
            </w:r>
            <w:r>
              <w:rPr>
                <w:rFonts w:eastAsia="等线"/>
                <w:color w:val="000000"/>
                <w:kern w:val="0"/>
                <w:sz w:val="20"/>
                <w:szCs w:val="20"/>
              </w:rPr>
              <w:t>3</w:t>
            </w:r>
            <w:r>
              <w:rPr>
                <w:rFonts w:hint="eastAsia" w:ascii="宋体" w:hAnsi="宋体"/>
                <w:color w:val="000000"/>
                <w:kern w:val="0"/>
                <w:sz w:val="20"/>
                <w:szCs w:val="20"/>
              </w:rPr>
              <w:t>、高程地形数据：整合达拉特旗（</w:t>
            </w:r>
            <w:r>
              <w:rPr>
                <w:rFonts w:eastAsia="等线"/>
                <w:color w:val="000000"/>
                <w:kern w:val="0"/>
                <w:sz w:val="20"/>
                <w:szCs w:val="20"/>
              </w:rPr>
              <w:t>70km²</w:t>
            </w:r>
            <w:r>
              <w:rPr>
                <w:rFonts w:hint="eastAsia" w:ascii="宋体" w:hAnsi="宋体"/>
                <w:color w:val="000000"/>
                <w:kern w:val="0"/>
                <w:sz w:val="20"/>
                <w:szCs w:val="20"/>
              </w:rPr>
              <w:t>）</w:t>
            </w:r>
            <w:r>
              <w:rPr>
                <w:rFonts w:eastAsia="等线"/>
                <w:color w:val="000000"/>
                <w:kern w:val="0"/>
                <w:sz w:val="20"/>
                <w:szCs w:val="20"/>
              </w:rPr>
              <w:t>10</w:t>
            </w:r>
            <w:r>
              <w:rPr>
                <w:rFonts w:hint="eastAsia" w:ascii="宋体" w:hAnsi="宋体"/>
                <w:color w:val="000000"/>
                <w:kern w:val="0"/>
                <w:sz w:val="20"/>
                <w:szCs w:val="20"/>
              </w:rPr>
              <w:t>米地形图数据，对数据进行标准化、质检，并入库。</w:t>
            </w:r>
            <w:r>
              <w:rPr>
                <w:rFonts w:hint="eastAsia" w:ascii="宋体" w:hAnsi="宋体"/>
                <w:color w:val="000000"/>
                <w:kern w:val="0"/>
                <w:sz w:val="20"/>
                <w:szCs w:val="20"/>
              </w:rPr>
              <w:br w:type="textWrapping"/>
            </w:r>
            <w:r>
              <w:rPr>
                <w:rFonts w:eastAsia="等线"/>
                <w:color w:val="000000"/>
                <w:kern w:val="0"/>
                <w:sz w:val="20"/>
                <w:szCs w:val="20"/>
              </w:rPr>
              <w:t>4</w:t>
            </w:r>
            <w:r>
              <w:rPr>
                <w:rFonts w:hint="eastAsia" w:ascii="宋体" w:hAnsi="宋体"/>
                <w:color w:val="000000"/>
                <w:kern w:val="0"/>
                <w:sz w:val="20"/>
                <w:szCs w:val="20"/>
              </w:rPr>
              <w:t>、三维倾斜摄影数据：达拉特旗（</w:t>
            </w:r>
            <w:r>
              <w:rPr>
                <w:rFonts w:eastAsia="等线"/>
                <w:color w:val="000000"/>
                <w:kern w:val="0"/>
                <w:sz w:val="20"/>
                <w:szCs w:val="20"/>
              </w:rPr>
              <w:t>70km²</w:t>
            </w:r>
            <w:r>
              <w:rPr>
                <w:rFonts w:hint="eastAsia" w:ascii="宋体" w:hAnsi="宋体"/>
                <w:color w:val="000000"/>
                <w:kern w:val="0"/>
                <w:sz w:val="20"/>
                <w:szCs w:val="20"/>
              </w:rPr>
              <w:t>）三维精细模型数据，处理道路、路灯数据，并对模型数据修复。</w:t>
            </w:r>
          </w:p>
        </w:tc>
        <w:tc>
          <w:tcPr>
            <w:tcW w:w="462"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b/>
                <w:bCs/>
                <w:color w:val="000000"/>
                <w:kern w:val="0"/>
                <w:sz w:val="20"/>
                <w:szCs w:val="20"/>
              </w:rPr>
            </w:pPr>
            <w:r>
              <w:rPr>
                <w:rFonts w:hint="eastAsia" w:ascii="宋体" w:hAnsi="宋体"/>
                <w:b/>
                <w:bCs/>
                <w:color w:val="000000"/>
                <w:kern w:val="0"/>
                <w:sz w:val="20"/>
                <w:szCs w:val="20"/>
              </w:rPr>
              <w:t>套</w:t>
            </w:r>
          </w:p>
        </w:tc>
        <w:tc>
          <w:tcPr>
            <w:tcW w:w="70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b/>
                <w:bCs/>
                <w:color w:val="000000"/>
                <w:kern w:val="0"/>
                <w:sz w:val="20"/>
                <w:szCs w:val="20"/>
              </w:rPr>
            </w:pPr>
            <w:r>
              <w:rPr>
                <w:rFonts w:eastAsia="等线"/>
                <w:b/>
                <w:bCs/>
                <w:color w:val="000000"/>
                <w:kern w:val="0"/>
                <w:sz w:val="20"/>
                <w:szCs w:val="20"/>
              </w:rPr>
              <w:t>1</w:t>
            </w:r>
          </w:p>
        </w:tc>
      </w:tr>
      <w:tr>
        <w:tblPrEx>
          <w:tblCellMar>
            <w:top w:w="0" w:type="dxa"/>
            <w:left w:w="108" w:type="dxa"/>
            <w:bottom w:w="0" w:type="dxa"/>
            <w:right w:w="108" w:type="dxa"/>
          </w:tblCellMar>
        </w:tblPrEx>
        <w:trPr>
          <w:trHeight w:val="4248"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三维应用平台</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eastAsia="等线"/>
                <w:color w:val="000000"/>
                <w:kern w:val="0"/>
                <w:sz w:val="20"/>
                <w:szCs w:val="20"/>
              </w:rPr>
              <w:t>1</w:t>
            </w:r>
            <w:r>
              <w:rPr>
                <w:rFonts w:hint="eastAsia" w:ascii="宋体" w:hAnsi="宋体"/>
                <w:color w:val="000000"/>
                <w:kern w:val="0"/>
                <w:sz w:val="20"/>
                <w:szCs w:val="20"/>
              </w:rPr>
              <w:t>、将达拉特旗全旗范围内的三维地理空间模型数据与二维地理空间数据进行叠加套合，以二三维一体化的方式，实现警务空间数据多维度地理空间直观表达、属性查图、空间查询、专题图制作等，实现统一视图的可视化城市管理。</w:t>
            </w:r>
            <w:r>
              <w:rPr>
                <w:rFonts w:hint="eastAsia" w:ascii="宋体" w:hAnsi="宋体"/>
                <w:color w:val="000000"/>
                <w:kern w:val="0"/>
                <w:sz w:val="20"/>
                <w:szCs w:val="20"/>
              </w:rPr>
              <w:br w:type="textWrapping"/>
            </w:r>
            <w:r>
              <w:rPr>
                <w:rFonts w:eastAsia="等线"/>
                <w:color w:val="000000"/>
                <w:kern w:val="0"/>
                <w:sz w:val="20"/>
                <w:szCs w:val="20"/>
              </w:rPr>
              <w:t>2</w:t>
            </w:r>
            <w:r>
              <w:rPr>
                <w:rFonts w:hint="eastAsia" w:ascii="宋体" w:hAnsi="宋体"/>
                <w:color w:val="000000"/>
                <w:kern w:val="0"/>
                <w:sz w:val="20"/>
                <w:szCs w:val="20"/>
              </w:rPr>
              <w:t>、基于全域三维底图与矢量数据的融合展示，实现对城市中设备设施数据空间查询、属性查询、高亮显示、弹窗显示、关键词查询、地址查询等检索方式。支持分层分户查询，可实现包含设备数据查询、信息维护、图层管理、图属互查、用户管理、权限管理、日志管理、运维管理等多项功能。</w:t>
            </w:r>
            <w:r>
              <w:rPr>
                <w:rFonts w:hint="eastAsia" w:ascii="宋体" w:hAnsi="宋体"/>
                <w:color w:val="000000"/>
                <w:kern w:val="0"/>
                <w:sz w:val="20"/>
                <w:szCs w:val="20"/>
              </w:rPr>
              <w:br w:type="textWrapping"/>
            </w:r>
            <w:r>
              <w:rPr>
                <w:rFonts w:eastAsia="等线"/>
                <w:color w:val="000000"/>
                <w:kern w:val="0"/>
                <w:sz w:val="20"/>
                <w:szCs w:val="20"/>
              </w:rPr>
              <w:t>3</w:t>
            </w:r>
            <w:r>
              <w:rPr>
                <w:rFonts w:hint="eastAsia" w:ascii="宋体" w:hAnsi="宋体"/>
                <w:color w:val="000000"/>
                <w:kern w:val="0"/>
                <w:sz w:val="20"/>
                <w:szCs w:val="20"/>
              </w:rPr>
              <w:t>、平台可基于倾斜摄影建模数据单体化技术，对连片数据进行空间及属性查询。还提供了基于</w:t>
            </w:r>
            <w:r>
              <w:rPr>
                <w:rFonts w:eastAsia="等线"/>
                <w:color w:val="000000"/>
                <w:kern w:val="0"/>
                <w:sz w:val="20"/>
                <w:szCs w:val="20"/>
              </w:rPr>
              <w:t>GPU</w:t>
            </w:r>
            <w:r>
              <w:rPr>
                <w:rFonts w:hint="eastAsia" w:ascii="宋体" w:hAnsi="宋体"/>
                <w:color w:val="000000"/>
                <w:kern w:val="0"/>
                <w:sz w:val="20"/>
                <w:szCs w:val="20"/>
              </w:rPr>
              <w:t>的空间关系查询与判定，通过设置查询范围，利用前端快速地返回查询范围内的模型对象以及统计结果，实时可视化获知模型与查询范围的交并差关系。</w:t>
            </w:r>
            <w:r>
              <w:rPr>
                <w:rFonts w:hint="eastAsia" w:ascii="宋体" w:hAnsi="宋体"/>
                <w:color w:val="000000"/>
                <w:kern w:val="0"/>
                <w:sz w:val="20"/>
                <w:szCs w:val="20"/>
              </w:rPr>
              <w:br w:type="textWrapping"/>
            </w:r>
            <w:r>
              <w:rPr>
                <w:rFonts w:eastAsia="等线"/>
                <w:color w:val="000000"/>
                <w:kern w:val="0"/>
                <w:sz w:val="20"/>
                <w:szCs w:val="20"/>
              </w:rPr>
              <w:t>4</w:t>
            </w:r>
            <w:r>
              <w:rPr>
                <w:rFonts w:hint="eastAsia" w:ascii="宋体" w:hAnsi="宋体"/>
                <w:color w:val="000000"/>
                <w:kern w:val="0"/>
                <w:sz w:val="20"/>
                <w:szCs w:val="20"/>
              </w:rPr>
              <w:t>、提供对在管理的所有数据以服务的形式实现相关专题产品数据的综合管理，基于该中心平台做服务代理或端口映射，实现服务对外的分发共享。</w:t>
            </w:r>
            <w:r>
              <w:rPr>
                <w:rFonts w:hint="eastAsia" w:ascii="宋体" w:hAnsi="宋体"/>
                <w:color w:val="000000"/>
                <w:kern w:val="0"/>
                <w:sz w:val="20"/>
                <w:szCs w:val="20"/>
              </w:rPr>
              <w:br w:type="textWrapping"/>
            </w:r>
            <w:r>
              <w:rPr>
                <w:rFonts w:eastAsia="等线"/>
                <w:color w:val="000000"/>
                <w:kern w:val="0"/>
                <w:sz w:val="20"/>
                <w:szCs w:val="20"/>
              </w:rPr>
              <w:t>5</w:t>
            </w:r>
            <w:r>
              <w:rPr>
                <w:rFonts w:hint="eastAsia" w:ascii="宋体" w:hAnsi="宋体"/>
                <w:color w:val="000000"/>
                <w:kern w:val="0"/>
                <w:sz w:val="20"/>
                <w:szCs w:val="20"/>
              </w:rPr>
              <w:t>、物联感知设备数据接入：对接达拉特旗城市内部视频监控资源，将各厂商设备的包括点位经纬度、厂商、安装时间、报废时间、管理单位、资产归属单位等静态信息，将视频监控设备信息分类入库，将入库后的设备按照不同类别进行上图管理实现点位查看功能。</w:t>
            </w:r>
            <w:r>
              <w:rPr>
                <w:rFonts w:hint="eastAsia" w:ascii="宋体" w:hAnsi="宋体"/>
                <w:color w:val="000000"/>
                <w:kern w:val="0"/>
                <w:sz w:val="20"/>
                <w:szCs w:val="20"/>
              </w:rPr>
              <w:br w:type="textWrapping"/>
            </w:r>
            <w:r>
              <w:rPr>
                <w:rFonts w:eastAsia="等线"/>
                <w:color w:val="000000"/>
                <w:kern w:val="0"/>
                <w:sz w:val="20"/>
                <w:szCs w:val="20"/>
              </w:rPr>
              <w:t>6</w:t>
            </w:r>
            <w:r>
              <w:rPr>
                <w:rFonts w:hint="eastAsia" w:ascii="宋体" w:hAnsi="宋体"/>
                <w:color w:val="000000"/>
                <w:kern w:val="0"/>
                <w:sz w:val="20"/>
                <w:szCs w:val="20"/>
              </w:rPr>
              <w:t>、该平台建设一套完整的用户身份认证体系，用于对地理信息服务平台的所有用户进行管理，对用户登录平台进行身份验证，对用户信息进行日常维护。</w:t>
            </w:r>
          </w:p>
        </w:tc>
        <w:tc>
          <w:tcPr>
            <w:tcW w:w="462"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套</w:t>
            </w:r>
          </w:p>
        </w:tc>
        <w:tc>
          <w:tcPr>
            <w:tcW w:w="70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528"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计算存储及处理能力</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满足本项目所需的计算存储处理能力，建议核心数不小于</w:t>
            </w:r>
            <w:r>
              <w:rPr>
                <w:rFonts w:eastAsia="等线"/>
                <w:color w:val="000000"/>
                <w:kern w:val="0"/>
                <w:sz w:val="20"/>
                <w:szCs w:val="20"/>
              </w:rPr>
              <w:t>12</w:t>
            </w:r>
            <w:r>
              <w:rPr>
                <w:rFonts w:hint="eastAsia" w:ascii="宋体" w:hAnsi="宋体"/>
                <w:color w:val="000000"/>
                <w:kern w:val="0"/>
                <w:sz w:val="20"/>
                <w:szCs w:val="20"/>
              </w:rPr>
              <w:t>核、内存容量不低于</w:t>
            </w:r>
            <w:r>
              <w:rPr>
                <w:rFonts w:eastAsia="等线"/>
                <w:color w:val="000000"/>
                <w:kern w:val="0"/>
                <w:sz w:val="20"/>
                <w:szCs w:val="20"/>
              </w:rPr>
              <w:t>128G</w:t>
            </w:r>
            <w:r>
              <w:rPr>
                <w:rFonts w:hint="eastAsia" w:ascii="宋体" w:hAnsi="宋体"/>
                <w:color w:val="000000"/>
                <w:kern w:val="0"/>
                <w:sz w:val="20"/>
                <w:szCs w:val="20"/>
              </w:rPr>
              <w:t>、存储容量不低于</w:t>
            </w:r>
            <w:r>
              <w:rPr>
                <w:rFonts w:eastAsia="等线"/>
                <w:color w:val="000000"/>
                <w:kern w:val="0"/>
                <w:sz w:val="20"/>
                <w:szCs w:val="20"/>
              </w:rPr>
              <w:t>16TB</w:t>
            </w:r>
            <w:r>
              <w:rPr>
                <w:rFonts w:hint="eastAsia" w:ascii="宋体" w:hAnsi="宋体"/>
                <w:color w:val="000000"/>
                <w:kern w:val="0"/>
                <w:sz w:val="20"/>
                <w:szCs w:val="20"/>
              </w:rPr>
              <w:t>；并可支持多种</w:t>
            </w:r>
            <w:r>
              <w:rPr>
                <w:rFonts w:eastAsia="等线"/>
                <w:color w:val="000000"/>
                <w:kern w:val="0"/>
                <w:sz w:val="20"/>
                <w:szCs w:val="20"/>
              </w:rPr>
              <w:t>RAID</w:t>
            </w:r>
            <w:r>
              <w:rPr>
                <w:rFonts w:hint="eastAsia" w:ascii="宋体" w:hAnsi="宋体"/>
                <w:color w:val="000000"/>
                <w:kern w:val="0"/>
                <w:sz w:val="20"/>
                <w:szCs w:val="20"/>
              </w:rPr>
              <w:t>方式；冗余电源</w:t>
            </w:r>
          </w:p>
        </w:tc>
        <w:tc>
          <w:tcPr>
            <w:tcW w:w="462"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台</w:t>
            </w:r>
          </w:p>
        </w:tc>
        <w:tc>
          <w:tcPr>
            <w:tcW w:w="70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5</w:t>
            </w:r>
          </w:p>
        </w:tc>
      </w:tr>
      <w:tr>
        <w:tblPrEx>
          <w:tblCellMar>
            <w:top w:w="0" w:type="dxa"/>
            <w:left w:w="108" w:type="dxa"/>
            <w:bottom w:w="0" w:type="dxa"/>
            <w:right w:w="108" w:type="dxa"/>
          </w:tblCellMar>
        </w:tblPrEx>
        <w:trPr>
          <w:trHeight w:val="528"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三维客户端</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终端需具有较高性能，操作流畅并能满足本次三维应用平台的展示需求，建议选择</w:t>
            </w:r>
            <w:r>
              <w:rPr>
                <w:rFonts w:eastAsia="等线"/>
                <w:color w:val="000000"/>
                <w:kern w:val="0"/>
                <w:sz w:val="20"/>
                <w:szCs w:val="20"/>
              </w:rPr>
              <w:t xml:space="preserve"> nVIDIA </w:t>
            </w:r>
            <w:r>
              <w:rPr>
                <w:rFonts w:hint="eastAsia" w:ascii="宋体" w:hAnsi="宋体"/>
                <w:color w:val="000000"/>
                <w:kern w:val="0"/>
                <w:sz w:val="20"/>
                <w:szCs w:val="20"/>
              </w:rPr>
              <w:t>系列显卡，内存不小于</w:t>
            </w:r>
            <w:r>
              <w:rPr>
                <w:rFonts w:eastAsia="等线"/>
                <w:color w:val="000000"/>
                <w:kern w:val="0"/>
                <w:sz w:val="20"/>
                <w:szCs w:val="20"/>
              </w:rPr>
              <w:t>32G</w:t>
            </w:r>
            <w:r>
              <w:rPr>
                <w:rFonts w:hint="eastAsia" w:ascii="宋体" w:hAnsi="宋体"/>
                <w:color w:val="000000"/>
                <w:kern w:val="0"/>
                <w:sz w:val="20"/>
                <w:szCs w:val="20"/>
              </w:rPr>
              <w:t>；固态硬盘≥</w:t>
            </w:r>
            <w:r>
              <w:rPr>
                <w:rFonts w:eastAsia="等线"/>
                <w:color w:val="000000"/>
                <w:kern w:val="0"/>
                <w:sz w:val="20"/>
                <w:szCs w:val="20"/>
              </w:rPr>
              <w:t>1T</w:t>
            </w:r>
            <w:r>
              <w:rPr>
                <w:rFonts w:hint="eastAsia" w:ascii="宋体" w:hAnsi="宋体"/>
                <w:color w:val="000000"/>
                <w:kern w:val="0"/>
                <w:sz w:val="20"/>
                <w:szCs w:val="20"/>
              </w:rPr>
              <w:t>；</w:t>
            </w:r>
          </w:p>
        </w:tc>
        <w:tc>
          <w:tcPr>
            <w:tcW w:w="462"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台</w:t>
            </w:r>
          </w:p>
        </w:tc>
        <w:tc>
          <w:tcPr>
            <w:tcW w:w="70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2</w:t>
            </w:r>
          </w:p>
        </w:tc>
      </w:tr>
      <w:tr>
        <w:tblPrEx>
          <w:tblCellMar>
            <w:top w:w="0" w:type="dxa"/>
            <w:left w:w="108" w:type="dxa"/>
            <w:bottom w:w="0" w:type="dxa"/>
            <w:right w:w="108" w:type="dxa"/>
          </w:tblCellMar>
        </w:tblPrEx>
        <w:trPr>
          <w:trHeight w:val="2592" w:hRule="atLeast"/>
        </w:trPr>
        <w:tc>
          <w:tcPr>
            <w:tcW w:w="60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eastAsia="等线"/>
                <w:kern w:val="0"/>
                <w:sz w:val="20"/>
                <w:szCs w:val="20"/>
              </w:rPr>
              <w:t>3</w:t>
            </w:r>
          </w:p>
        </w:tc>
        <w:tc>
          <w:tcPr>
            <w:tcW w:w="74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hint="eastAsia" w:ascii="宋体" w:hAnsi="宋体"/>
                <w:kern w:val="0"/>
                <w:sz w:val="20"/>
                <w:szCs w:val="20"/>
              </w:rPr>
              <w:t>社会面资源接入网侧建设系统</w:t>
            </w: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hint="eastAsia" w:ascii="宋体" w:hAnsi="宋体"/>
                <w:kern w:val="0"/>
                <w:sz w:val="20"/>
                <w:szCs w:val="20"/>
              </w:rPr>
              <w:t>存储服务</w:t>
            </w:r>
          </w:p>
        </w:tc>
        <w:tc>
          <w:tcPr>
            <w:tcW w:w="5470" w:type="dxa"/>
            <w:tcBorders>
              <w:top w:val="nil"/>
              <w:left w:val="nil"/>
              <w:bottom w:val="single" w:color="auto" w:sz="4" w:space="0"/>
              <w:right w:val="single" w:color="auto" w:sz="4" w:space="0"/>
            </w:tcBorders>
            <w:shd w:val="clear" w:color="auto" w:fill="auto"/>
            <w:vAlign w:val="bottom"/>
          </w:tcPr>
          <w:p>
            <w:pPr>
              <w:widowControl/>
              <w:spacing w:line="240" w:lineRule="auto"/>
              <w:ind w:firstLine="0" w:firstLineChars="0"/>
              <w:jc w:val="both"/>
              <w:rPr>
                <w:rFonts w:eastAsia="等线"/>
                <w:kern w:val="0"/>
                <w:sz w:val="20"/>
                <w:szCs w:val="20"/>
              </w:rPr>
            </w:pPr>
            <w:r>
              <w:rPr>
                <w:rFonts w:eastAsia="等线"/>
                <w:kern w:val="0"/>
                <w:sz w:val="20"/>
                <w:szCs w:val="20"/>
              </w:rPr>
              <w:t>1</w:t>
            </w:r>
            <w:r>
              <w:rPr>
                <w:rFonts w:hint="eastAsia" w:ascii="宋体" w:hAnsi="宋体"/>
                <w:kern w:val="0"/>
                <w:sz w:val="20"/>
                <w:szCs w:val="20"/>
              </w:rPr>
              <w:t>、提供存储服务，满足社会面接入</w:t>
            </w:r>
            <w:r>
              <w:rPr>
                <w:rFonts w:eastAsia="等线"/>
                <w:kern w:val="0"/>
                <w:sz w:val="20"/>
                <w:szCs w:val="20"/>
              </w:rPr>
              <w:t>902</w:t>
            </w:r>
            <w:r>
              <w:rPr>
                <w:rFonts w:hint="eastAsia" w:ascii="宋体" w:hAnsi="宋体"/>
                <w:kern w:val="0"/>
                <w:sz w:val="20"/>
                <w:szCs w:val="20"/>
              </w:rPr>
              <w:t>结构化相机图片流存储不少于</w:t>
            </w:r>
            <w:r>
              <w:rPr>
                <w:rFonts w:eastAsia="等线"/>
                <w:kern w:val="0"/>
                <w:sz w:val="20"/>
                <w:szCs w:val="20"/>
              </w:rPr>
              <w:t>7</w:t>
            </w:r>
            <w:r>
              <w:rPr>
                <w:rFonts w:hint="eastAsia" w:ascii="宋体" w:hAnsi="宋体"/>
                <w:kern w:val="0"/>
                <w:sz w:val="20"/>
                <w:szCs w:val="20"/>
              </w:rPr>
              <w:t>天；</w:t>
            </w:r>
            <w:r>
              <w:rPr>
                <w:rFonts w:hint="eastAsia" w:ascii="宋体" w:hAnsi="宋体"/>
                <w:kern w:val="0"/>
                <w:sz w:val="20"/>
                <w:szCs w:val="20"/>
              </w:rPr>
              <w:br w:type="textWrapping"/>
            </w:r>
            <w:r>
              <w:rPr>
                <w:rFonts w:eastAsia="等线"/>
                <w:kern w:val="0"/>
                <w:sz w:val="20"/>
                <w:szCs w:val="20"/>
              </w:rPr>
              <w:t>2</w:t>
            </w:r>
            <w:r>
              <w:rPr>
                <w:rFonts w:hint="eastAsia" w:ascii="宋体" w:hAnsi="宋体"/>
                <w:kern w:val="0"/>
                <w:sz w:val="20"/>
                <w:szCs w:val="20"/>
              </w:rPr>
              <w:t>、提供存储容量不低于</w:t>
            </w:r>
            <w:r>
              <w:rPr>
                <w:rFonts w:eastAsia="等线"/>
                <w:kern w:val="0"/>
                <w:sz w:val="20"/>
                <w:szCs w:val="20"/>
              </w:rPr>
              <w:t>14.3 TB</w:t>
            </w:r>
            <w:r>
              <w:rPr>
                <w:rFonts w:hint="eastAsia" w:ascii="宋体" w:hAnsi="宋体"/>
                <w:kern w:val="0"/>
                <w:sz w:val="20"/>
                <w:szCs w:val="20"/>
              </w:rPr>
              <w:t>；</w:t>
            </w:r>
            <w:r>
              <w:rPr>
                <w:rFonts w:hint="eastAsia" w:ascii="宋体" w:hAnsi="宋体"/>
                <w:kern w:val="0"/>
                <w:sz w:val="20"/>
                <w:szCs w:val="20"/>
              </w:rPr>
              <w:br w:type="textWrapping"/>
            </w:r>
            <w:r>
              <w:rPr>
                <w:rFonts w:eastAsia="等线"/>
                <w:kern w:val="0"/>
                <w:sz w:val="20"/>
                <w:szCs w:val="20"/>
              </w:rPr>
              <w:t>3</w:t>
            </w:r>
            <w:r>
              <w:rPr>
                <w:rFonts w:hint="eastAsia" w:ascii="宋体" w:hAnsi="宋体"/>
                <w:kern w:val="0"/>
                <w:sz w:val="20"/>
                <w:szCs w:val="20"/>
              </w:rPr>
              <w:t>、云存储整体读写性能不低于</w:t>
            </w:r>
            <w:r>
              <w:rPr>
                <w:rFonts w:eastAsia="等线"/>
                <w:kern w:val="0"/>
                <w:sz w:val="20"/>
                <w:szCs w:val="20"/>
              </w:rPr>
              <w:t>1920Mbps;</w:t>
            </w:r>
            <w:r>
              <w:rPr>
                <w:rFonts w:eastAsia="等线"/>
                <w:kern w:val="0"/>
                <w:sz w:val="20"/>
                <w:szCs w:val="20"/>
              </w:rPr>
              <w:br w:type="textWrapping"/>
            </w:r>
            <w:r>
              <w:rPr>
                <w:rFonts w:eastAsia="等线"/>
                <w:kern w:val="0"/>
                <w:sz w:val="20"/>
                <w:szCs w:val="20"/>
              </w:rPr>
              <w:t>4</w:t>
            </w:r>
            <w:r>
              <w:rPr>
                <w:rFonts w:hint="eastAsia" w:ascii="宋体" w:hAnsi="宋体"/>
                <w:kern w:val="0"/>
                <w:sz w:val="20"/>
                <w:szCs w:val="20"/>
              </w:rPr>
              <w:t>、支持视频、音频、图片、文件直接写入系统，数据流无需经过其他中转服务器；</w:t>
            </w:r>
            <w:r>
              <w:rPr>
                <w:rFonts w:hint="eastAsia" w:ascii="宋体" w:hAnsi="宋体"/>
                <w:kern w:val="0"/>
                <w:sz w:val="20"/>
                <w:szCs w:val="20"/>
              </w:rPr>
              <w:br w:type="textWrapping"/>
            </w:r>
            <w:r>
              <w:rPr>
                <w:rFonts w:eastAsia="等线"/>
                <w:kern w:val="0"/>
                <w:sz w:val="20"/>
                <w:szCs w:val="20"/>
              </w:rPr>
              <w:t>5</w:t>
            </w:r>
            <w:r>
              <w:rPr>
                <w:rFonts w:hint="eastAsia" w:ascii="宋体" w:hAnsi="宋体"/>
                <w:kern w:val="0"/>
                <w:sz w:val="20"/>
                <w:szCs w:val="20"/>
              </w:rPr>
              <w:t>、持节点间的自动业务负载均衡，差距小于</w:t>
            </w:r>
            <w:r>
              <w:rPr>
                <w:rFonts w:eastAsia="等线"/>
                <w:kern w:val="0"/>
                <w:sz w:val="20"/>
                <w:szCs w:val="20"/>
              </w:rPr>
              <w:t>2%</w:t>
            </w:r>
            <w:r>
              <w:rPr>
                <w:rFonts w:hint="eastAsia" w:ascii="宋体" w:hAnsi="宋体"/>
                <w:kern w:val="0"/>
                <w:sz w:val="20"/>
                <w:szCs w:val="20"/>
              </w:rPr>
              <w:t>；（提供公安部权威机构出具的产品检测报告，并加盖生产厂商公章）</w:t>
            </w:r>
            <w:r>
              <w:rPr>
                <w:rFonts w:hint="eastAsia" w:ascii="宋体" w:hAnsi="宋体"/>
                <w:kern w:val="0"/>
                <w:sz w:val="20"/>
                <w:szCs w:val="20"/>
              </w:rPr>
              <w:br w:type="textWrapping"/>
            </w:r>
            <w:r>
              <w:rPr>
                <w:rFonts w:eastAsia="等线"/>
                <w:kern w:val="0"/>
                <w:sz w:val="20"/>
                <w:szCs w:val="20"/>
              </w:rPr>
              <w:t>6</w:t>
            </w:r>
            <w:r>
              <w:rPr>
                <w:rFonts w:hint="eastAsia" w:ascii="宋体" w:hAnsi="宋体"/>
                <w:kern w:val="0"/>
                <w:sz w:val="20"/>
                <w:szCs w:val="20"/>
              </w:rPr>
              <w:t>、节点支持配置</w:t>
            </w:r>
            <w:r>
              <w:rPr>
                <w:rFonts w:eastAsia="等线"/>
                <w:kern w:val="0"/>
                <w:sz w:val="20"/>
                <w:szCs w:val="20"/>
              </w:rPr>
              <w:t>RAID0</w:t>
            </w:r>
            <w:r>
              <w:rPr>
                <w:rFonts w:hint="eastAsia" w:ascii="宋体" w:hAnsi="宋体"/>
                <w:kern w:val="0"/>
                <w:sz w:val="20"/>
                <w:szCs w:val="20"/>
              </w:rPr>
              <w:t>、</w:t>
            </w:r>
            <w:r>
              <w:rPr>
                <w:rFonts w:eastAsia="等线"/>
                <w:kern w:val="0"/>
                <w:sz w:val="20"/>
                <w:szCs w:val="20"/>
              </w:rPr>
              <w:t>RAID1</w:t>
            </w:r>
            <w:r>
              <w:rPr>
                <w:rFonts w:hint="eastAsia" w:ascii="宋体" w:hAnsi="宋体"/>
                <w:kern w:val="0"/>
                <w:sz w:val="20"/>
                <w:szCs w:val="20"/>
              </w:rPr>
              <w:t>、</w:t>
            </w:r>
            <w:r>
              <w:rPr>
                <w:rFonts w:eastAsia="等线"/>
                <w:kern w:val="0"/>
                <w:sz w:val="20"/>
                <w:szCs w:val="20"/>
              </w:rPr>
              <w:t>RAID5</w:t>
            </w:r>
            <w:r>
              <w:rPr>
                <w:rFonts w:hint="eastAsia" w:ascii="宋体" w:hAnsi="宋体"/>
                <w:kern w:val="0"/>
                <w:sz w:val="20"/>
                <w:szCs w:val="20"/>
              </w:rPr>
              <w:t>、</w:t>
            </w:r>
            <w:r>
              <w:rPr>
                <w:rFonts w:eastAsia="等线"/>
                <w:kern w:val="0"/>
                <w:sz w:val="20"/>
                <w:szCs w:val="20"/>
              </w:rPr>
              <w:t>RAID6</w:t>
            </w:r>
            <w:r>
              <w:rPr>
                <w:rFonts w:hint="eastAsia" w:ascii="宋体" w:hAnsi="宋体"/>
                <w:kern w:val="0"/>
                <w:sz w:val="20"/>
                <w:szCs w:val="20"/>
              </w:rPr>
              <w:t>、</w:t>
            </w:r>
            <w:r>
              <w:rPr>
                <w:rFonts w:eastAsia="等线"/>
                <w:kern w:val="0"/>
                <w:sz w:val="20"/>
                <w:szCs w:val="20"/>
              </w:rPr>
              <w:t>RAID10</w:t>
            </w:r>
            <w:r>
              <w:rPr>
                <w:rFonts w:hint="eastAsia" w:ascii="宋体" w:hAnsi="宋体"/>
                <w:kern w:val="0"/>
                <w:sz w:val="20"/>
                <w:szCs w:val="20"/>
              </w:rPr>
              <w:t>、</w:t>
            </w:r>
            <w:r>
              <w:rPr>
                <w:rFonts w:eastAsia="等线"/>
                <w:kern w:val="0"/>
                <w:sz w:val="20"/>
                <w:szCs w:val="20"/>
              </w:rPr>
              <w:t xml:space="preserve"> RAID50</w:t>
            </w:r>
            <w:r>
              <w:rPr>
                <w:rFonts w:hint="eastAsia" w:ascii="宋体" w:hAnsi="宋体"/>
                <w:kern w:val="0"/>
                <w:sz w:val="20"/>
                <w:szCs w:val="20"/>
              </w:rPr>
              <w:t>、</w:t>
            </w:r>
            <w:r>
              <w:rPr>
                <w:rFonts w:eastAsia="等线"/>
                <w:kern w:val="0"/>
                <w:sz w:val="20"/>
                <w:szCs w:val="20"/>
              </w:rPr>
              <w:t>RAID60</w:t>
            </w:r>
            <w:r>
              <w:rPr>
                <w:rFonts w:hint="eastAsia" w:ascii="宋体" w:hAnsi="宋体"/>
                <w:kern w:val="0"/>
                <w:sz w:val="20"/>
                <w:szCs w:val="20"/>
              </w:rPr>
              <w:t>等</w:t>
            </w:r>
            <w:r>
              <w:rPr>
                <w:rFonts w:eastAsia="等线"/>
                <w:kern w:val="0"/>
                <w:sz w:val="20"/>
                <w:szCs w:val="20"/>
              </w:rPr>
              <w:t>RAID</w:t>
            </w:r>
            <w:r>
              <w:rPr>
                <w:rFonts w:hint="eastAsia" w:ascii="宋体" w:hAnsi="宋体"/>
                <w:kern w:val="0"/>
                <w:sz w:val="20"/>
                <w:szCs w:val="20"/>
              </w:rPr>
              <w:t>模式。</w:t>
            </w:r>
            <w:r>
              <w:rPr>
                <w:rFonts w:hint="eastAsia" w:ascii="宋体" w:hAnsi="宋体"/>
                <w:kern w:val="0"/>
                <w:sz w:val="20"/>
                <w:szCs w:val="20"/>
              </w:rPr>
              <w:br w:type="textWrapping"/>
            </w:r>
            <w:r>
              <w:rPr>
                <w:rFonts w:eastAsia="等线"/>
                <w:kern w:val="0"/>
                <w:sz w:val="20"/>
                <w:szCs w:val="20"/>
              </w:rPr>
              <w:t>7</w:t>
            </w:r>
            <w:r>
              <w:rPr>
                <w:rFonts w:hint="eastAsia" w:ascii="宋体" w:hAnsi="宋体"/>
                <w:kern w:val="0"/>
                <w:sz w:val="20"/>
                <w:szCs w:val="20"/>
              </w:rPr>
              <w:t>、支持节点的双系统管理，支持一键主备系统切换。（提供公安部权威机构出具的产品检测报告，并加盖生产厂商公章）</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hint="eastAsia" w:ascii="宋体" w:hAnsi="宋体"/>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eastAsia="等线"/>
                <w:kern w:val="0"/>
                <w:sz w:val="20"/>
                <w:szCs w:val="20"/>
              </w:rPr>
              <w:t>1</w:t>
            </w:r>
          </w:p>
        </w:tc>
      </w:tr>
      <w:tr>
        <w:tblPrEx>
          <w:tblCellMar>
            <w:top w:w="0" w:type="dxa"/>
            <w:left w:w="108" w:type="dxa"/>
            <w:bottom w:w="0" w:type="dxa"/>
            <w:right w:w="108" w:type="dxa"/>
          </w:tblCellMar>
        </w:tblPrEx>
        <w:trPr>
          <w:trHeight w:val="285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hint="eastAsia" w:ascii="宋体" w:hAnsi="宋体"/>
                <w:kern w:val="0"/>
                <w:sz w:val="20"/>
                <w:szCs w:val="20"/>
              </w:rPr>
              <w:t>视频监控管理服务</w:t>
            </w:r>
          </w:p>
        </w:tc>
        <w:tc>
          <w:tcPr>
            <w:tcW w:w="5470" w:type="dxa"/>
            <w:tcBorders>
              <w:top w:val="nil"/>
              <w:left w:val="nil"/>
              <w:bottom w:val="single" w:color="auto" w:sz="4" w:space="0"/>
              <w:right w:val="single" w:color="auto" w:sz="4" w:space="0"/>
            </w:tcBorders>
            <w:shd w:val="clear" w:color="auto" w:fill="auto"/>
            <w:vAlign w:val="bottom"/>
          </w:tcPr>
          <w:p>
            <w:pPr>
              <w:widowControl/>
              <w:spacing w:line="240" w:lineRule="auto"/>
              <w:ind w:firstLine="0" w:firstLineChars="0"/>
              <w:jc w:val="both"/>
              <w:rPr>
                <w:rFonts w:eastAsia="等线"/>
                <w:kern w:val="0"/>
                <w:sz w:val="20"/>
                <w:szCs w:val="20"/>
              </w:rPr>
            </w:pPr>
            <w:r>
              <w:rPr>
                <w:rFonts w:eastAsia="等线"/>
                <w:kern w:val="0"/>
                <w:sz w:val="20"/>
                <w:szCs w:val="20"/>
              </w:rPr>
              <w:t>1</w:t>
            </w:r>
            <w:r>
              <w:rPr>
                <w:rFonts w:hint="eastAsia" w:ascii="宋体" w:hAnsi="宋体"/>
                <w:kern w:val="0"/>
                <w:sz w:val="20"/>
                <w:szCs w:val="20"/>
              </w:rPr>
              <w:t>、支持不少于</w:t>
            </w:r>
            <w:r>
              <w:rPr>
                <w:rFonts w:eastAsia="等线"/>
                <w:kern w:val="0"/>
                <w:sz w:val="20"/>
                <w:szCs w:val="20"/>
              </w:rPr>
              <w:t>5000</w:t>
            </w:r>
            <w:r>
              <w:rPr>
                <w:rFonts w:hint="eastAsia" w:ascii="宋体" w:hAnsi="宋体"/>
                <w:kern w:val="0"/>
                <w:sz w:val="20"/>
                <w:szCs w:val="20"/>
              </w:rPr>
              <w:t>路设备接入授权，支持不少于</w:t>
            </w:r>
            <w:r>
              <w:rPr>
                <w:rFonts w:eastAsia="等线"/>
                <w:kern w:val="0"/>
                <w:sz w:val="20"/>
                <w:szCs w:val="20"/>
              </w:rPr>
              <w:t>100000</w:t>
            </w:r>
            <w:r>
              <w:rPr>
                <w:rFonts w:hint="eastAsia" w:ascii="宋体" w:hAnsi="宋体"/>
                <w:kern w:val="0"/>
                <w:sz w:val="20"/>
                <w:szCs w:val="20"/>
              </w:rPr>
              <w:t>路设备级联管理；</w:t>
            </w:r>
            <w:r>
              <w:rPr>
                <w:rFonts w:hint="eastAsia" w:ascii="宋体" w:hAnsi="宋体"/>
                <w:kern w:val="0"/>
                <w:sz w:val="20"/>
                <w:szCs w:val="20"/>
              </w:rPr>
              <w:br w:type="textWrapping"/>
            </w:r>
            <w:r>
              <w:rPr>
                <w:rFonts w:eastAsia="等线"/>
                <w:kern w:val="0"/>
                <w:sz w:val="20"/>
                <w:szCs w:val="20"/>
              </w:rPr>
              <w:t>2.</w:t>
            </w:r>
            <w:r>
              <w:rPr>
                <w:rFonts w:hint="eastAsia" w:ascii="宋体" w:hAnsi="宋体"/>
                <w:kern w:val="0"/>
                <w:sz w:val="20"/>
                <w:szCs w:val="20"/>
              </w:rPr>
              <w:t>支持多画面同时浏览；支持浏览窗口布局自定义；支持单画面全屏和多画面全屏；支持浏览窗口视频轮巡，可独立设置每个画面间的轮巡间隔。</w:t>
            </w:r>
            <w:r>
              <w:rPr>
                <w:rFonts w:hint="eastAsia" w:ascii="宋体" w:hAnsi="宋体"/>
                <w:kern w:val="0"/>
                <w:sz w:val="20"/>
                <w:szCs w:val="20"/>
              </w:rPr>
              <w:br w:type="textWrapping"/>
            </w:r>
            <w:r>
              <w:rPr>
                <w:rFonts w:eastAsia="等线"/>
                <w:kern w:val="0"/>
                <w:sz w:val="20"/>
                <w:szCs w:val="20"/>
              </w:rPr>
              <w:t>3</w:t>
            </w:r>
            <w:r>
              <w:rPr>
                <w:rFonts w:hint="eastAsia" w:ascii="宋体" w:hAnsi="宋体"/>
                <w:kern w:val="0"/>
                <w:sz w:val="20"/>
                <w:szCs w:val="20"/>
              </w:rPr>
              <w:t>、支持录像计划自定义配置，包括视频通道、码流、时间模板、录像留存期等信息；</w:t>
            </w:r>
            <w:r>
              <w:rPr>
                <w:rFonts w:hint="eastAsia" w:ascii="宋体" w:hAnsi="宋体"/>
                <w:kern w:val="0"/>
                <w:sz w:val="20"/>
                <w:szCs w:val="20"/>
              </w:rPr>
              <w:br w:type="textWrapping"/>
            </w:r>
            <w:r>
              <w:rPr>
                <w:rFonts w:eastAsia="等线"/>
                <w:kern w:val="0"/>
                <w:sz w:val="20"/>
                <w:szCs w:val="20"/>
              </w:rPr>
              <w:t>4</w:t>
            </w:r>
            <w:r>
              <w:rPr>
                <w:rFonts w:hint="eastAsia" w:ascii="宋体" w:hAnsi="宋体"/>
                <w:kern w:val="0"/>
                <w:sz w:val="20"/>
                <w:szCs w:val="20"/>
              </w:rPr>
              <w:t>、支持录像的分段回放，用来对同一路通道的录像资料，分为几个不同的时间片段来回放；</w:t>
            </w:r>
            <w:r>
              <w:rPr>
                <w:rFonts w:hint="eastAsia" w:ascii="宋体" w:hAnsi="宋体"/>
                <w:kern w:val="0"/>
                <w:sz w:val="20"/>
                <w:szCs w:val="20"/>
              </w:rPr>
              <w:br w:type="textWrapping"/>
            </w:r>
            <w:r>
              <w:rPr>
                <w:rFonts w:eastAsia="等线"/>
                <w:kern w:val="0"/>
                <w:sz w:val="20"/>
                <w:szCs w:val="20"/>
              </w:rPr>
              <w:t>5</w:t>
            </w:r>
            <w:r>
              <w:rPr>
                <w:rFonts w:hint="eastAsia" w:ascii="宋体" w:hAnsi="宋体"/>
                <w:kern w:val="0"/>
                <w:sz w:val="20"/>
                <w:szCs w:val="20"/>
              </w:rPr>
              <w:t>、支持</w:t>
            </w:r>
            <w:r>
              <w:rPr>
                <w:rFonts w:eastAsia="等线"/>
                <w:kern w:val="0"/>
                <w:sz w:val="20"/>
                <w:szCs w:val="20"/>
              </w:rPr>
              <w:t>rtsp</w:t>
            </w:r>
            <w:r>
              <w:rPr>
                <w:rFonts w:hint="eastAsia" w:ascii="宋体" w:hAnsi="宋体"/>
                <w:kern w:val="0"/>
                <w:sz w:val="20"/>
                <w:szCs w:val="20"/>
              </w:rPr>
              <w:t>、</w:t>
            </w:r>
            <w:r>
              <w:rPr>
                <w:rFonts w:eastAsia="等线"/>
                <w:kern w:val="0"/>
                <w:sz w:val="20"/>
                <w:szCs w:val="20"/>
              </w:rPr>
              <w:t>rtmp</w:t>
            </w:r>
            <w:r>
              <w:rPr>
                <w:rFonts w:hint="eastAsia" w:ascii="宋体" w:hAnsi="宋体"/>
                <w:kern w:val="0"/>
                <w:sz w:val="20"/>
                <w:szCs w:val="20"/>
              </w:rPr>
              <w:t>、</w:t>
            </w:r>
            <w:r>
              <w:rPr>
                <w:rFonts w:eastAsia="等线"/>
                <w:kern w:val="0"/>
                <w:sz w:val="20"/>
                <w:szCs w:val="20"/>
              </w:rPr>
              <w:t>hls</w:t>
            </w:r>
            <w:r>
              <w:rPr>
                <w:rFonts w:hint="eastAsia" w:ascii="宋体" w:hAnsi="宋体"/>
                <w:kern w:val="0"/>
                <w:sz w:val="20"/>
                <w:szCs w:val="20"/>
              </w:rPr>
              <w:t>传输协议的取流和播放；</w:t>
            </w:r>
            <w:r>
              <w:rPr>
                <w:rFonts w:hint="eastAsia" w:ascii="宋体" w:hAnsi="宋体"/>
                <w:kern w:val="0"/>
                <w:sz w:val="20"/>
                <w:szCs w:val="20"/>
              </w:rPr>
              <w:br w:type="textWrapping"/>
            </w:r>
            <w:r>
              <w:rPr>
                <w:rFonts w:eastAsia="等线"/>
                <w:kern w:val="0"/>
                <w:sz w:val="20"/>
                <w:szCs w:val="20"/>
              </w:rPr>
              <w:t>6</w:t>
            </w:r>
            <w:r>
              <w:rPr>
                <w:rFonts w:hint="eastAsia" w:ascii="宋体" w:hAnsi="宋体"/>
                <w:kern w:val="0"/>
                <w:sz w:val="20"/>
                <w:szCs w:val="20"/>
              </w:rPr>
              <w:t>、支持浏览器无插件实时播放视频以及录像回放；</w:t>
            </w:r>
            <w:r>
              <w:rPr>
                <w:rFonts w:hint="eastAsia" w:ascii="宋体" w:hAnsi="宋体"/>
                <w:kern w:val="0"/>
                <w:sz w:val="20"/>
                <w:szCs w:val="20"/>
              </w:rPr>
              <w:br w:type="textWrapping"/>
            </w:r>
            <w:r>
              <w:rPr>
                <w:rFonts w:eastAsia="等线"/>
                <w:kern w:val="0"/>
                <w:sz w:val="20"/>
                <w:szCs w:val="20"/>
              </w:rPr>
              <w:t>7</w:t>
            </w:r>
            <w:r>
              <w:rPr>
                <w:rFonts w:hint="eastAsia" w:ascii="宋体" w:hAnsi="宋体"/>
                <w:kern w:val="0"/>
                <w:sz w:val="20"/>
                <w:szCs w:val="20"/>
              </w:rPr>
              <w:t>、支持对录像标签的管理，支持标签回放，支持录像文件的锁定和解锁；</w:t>
            </w:r>
            <w:r>
              <w:rPr>
                <w:rFonts w:hint="eastAsia" w:ascii="宋体" w:hAnsi="宋体"/>
                <w:kern w:val="0"/>
                <w:sz w:val="20"/>
                <w:szCs w:val="20"/>
              </w:rPr>
              <w:br w:type="textWrapping"/>
            </w:r>
            <w:r>
              <w:rPr>
                <w:rFonts w:eastAsia="等线"/>
                <w:kern w:val="0"/>
                <w:sz w:val="20"/>
                <w:szCs w:val="20"/>
              </w:rPr>
              <w:t>8</w:t>
            </w:r>
            <w:r>
              <w:rPr>
                <w:rFonts w:hint="eastAsia" w:ascii="宋体" w:hAnsi="宋体"/>
                <w:kern w:val="0"/>
                <w:sz w:val="20"/>
                <w:szCs w:val="20"/>
              </w:rPr>
              <w:t>、流媒体支持服务负载均衡，可将视频分发任务动态均衡到空闲流媒体服务上；（提供公安部权威机构出具的产品检测报告，并加盖生产厂商公章）</w:t>
            </w:r>
            <w:r>
              <w:rPr>
                <w:rFonts w:hint="eastAsia" w:ascii="宋体" w:hAnsi="宋体"/>
                <w:kern w:val="0"/>
                <w:sz w:val="20"/>
                <w:szCs w:val="20"/>
              </w:rPr>
              <w:br w:type="textWrapping"/>
            </w:r>
            <w:r>
              <w:rPr>
                <w:rFonts w:eastAsia="等线"/>
                <w:kern w:val="0"/>
                <w:sz w:val="20"/>
                <w:szCs w:val="20"/>
              </w:rPr>
              <w:t>9</w:t>
            </w:r>
            <w:r>
              <w:rPr>
                <w:rFonts w:hint="eastAsia" w:ascii="宋体" w:hAnsi="宋体"/>
                <w:kern w:val="0"/>
                <w:sz w:val="20"/>
                <w:szCs w:val="20"/>
              </w:rPr>
              <w:t>、具有</w:t>
            </w:r>
            <w:r>
              <w:rPr>
                <w:rFonts w:eastAsia="等线"/>
                <w:kern w:val="0"/>
                <w:sz w:val="20"/>
                <w:szCs w:val="20"/>
              </w:rPr>
              <w:t>GB/T 28181-2016</w:t>
            </w:r>
            <w:r>
              <w:rPr>
                <w:rFonts w:hint="eastAsia" w:ascii="宋体" w:hAnsi="宋体"/>
                <w:kern w:val="0"/>
                <w:sz w:val="20"/>
                <w:szCs w:val="20"/>
              </w:rPr>
              <w:t>检测报告</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hint="eastAsia" w:ascii="宋体" w:hAnsi="宋体"/>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eastAsia="等线"/>
                <w:kern w:val="0"/>
                <w:sz w:val="20"/>
                <w:szCs w:val="20"/>
              </w:rPr>
              <w:t>1</w:t>
            </w:r>
          </w:p>
        </w:tc>
      </w:tr>
      <w:tr>
        <w:tblPrEx>
          <w:tblCellMar>
            <w:top w:w="0" w:type="dxa"/>
            <w:left w:w="108" w:type="dxa"/>
            <w:bottom w:w="0" w:type="dxa"/>
            <w:right w:w="108" w:type="dxa"/>
          </w:tblCellMar>
        </w:tblPrEx>
        <w:trPr>
          <w:trHeight w:val="3360"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hint="eastAsia" w:ascii="宋体" w:hAnsi="宋体"/>
                <w:kern w:val="0"/>
                <w:sz w:val="20"/>
                <w:szCs w:val="20"/>
              </w:rPr>
              <w:t>视图库系统</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kern w:val="0"/>
                <w:sz w:val="20"/>
                <w:szCs w:val="20"/>
              </w:rPr>
            </w:pPr>
            <w:r>
              <w:rPr>
                <w:rFonts w:eastAsia="等线"/>
                <w:kern w:val="0"/>
                <w:sz w:val="20"/>
                <w:szCs w:val="20"/>
              </w:rPr>
              <w:t>1</w:t>
            </w:r>
            <w:r>
              <w:rPr>
                <w:rFonts w:hint="eastAsia" w:ascii="宋体" w:hAnsi="宋体"/>
                <w:kern w:val="0"/>
                <w:sz w:val="20"/>
                <w:szCs w:val="20"/>
              </w:rPr>
              <w:t>、支持不少于</w:t>
            </w:r>
            <w:r>
              <w:rPr>
                <w:rFonts w:eastAsia="等线"/>
                <w:kern w:val="0"/>
                <w:sz w:val="20"/>
                <w:szCs w:val="20"/>
              </w:rPr>
              <w:t>832</w:t>
            </w:r>
            <w:r>
              <w:rPr>
                <w:rFonts w:hint="eastAsia" w:ascii="宋体" w:hAnsi="宋体"/>
                <w:kern w:val="0"/>
                <w:sz w:val="20"/>
                <w:szCs w:val="20"/>
              </w:rPr>
              <w:t>路结构化相机、</w:t>
            </w:r>
            <w:r>
              <w:rPr>
                <w:rFonts w:eastAsia="等线"/>
                <w:kern w:val="0"/>
                <w:sz w:val="20"/>
                <w:szCs w:val="20"/>
              </w:rPr>
              <w:t>70</w:t>
            </w:r>
            <w:r>
              <w:rPr>
                <w:rFonts w:hint="eastAsia" w:ascii="宋体" w:hAnsi="宋体"/>
                <w:kern w:val="0"/>
                <w:sz w:val="20"/>
                <w:szCs w:val="20"/>
              </w:rPr>
              <w:t>路人脸相机图片流接入转发；并发能力不低于</w:t>
            </w:r>
            <w:r>
              <w:rPr>
                <w:rFonts w:eastAsia="等线"/>
                <w:kern w:val="0"/>
                <w:sz w:val="20"/>
                <w:szCs w:val="20"/>
              </w:rPr>
              <w:t>1500</w:t>
            </w:r>
            <w:r>
              <w:rPr>
                <w:rFonts w:hint="eastAsia" w:ascii="宋体" w:hAnsi="宋体"/>
                <w:kern w:val="0"/>
                <w:sz w:val="20"/>
                <w:szCs w:val="20"/>
              </w:rPr>
              <w:t>张</w:t>
            </w:r>
            <w:r>
              <w:rPr>
                <w:rFonts w:eastAsia="等线"/>
                <w:kern w:val="0"/>
                <w:sz w:val="20"/>
                <w:szCs w:val="20"/>
              </w:rPr>
              <w:t>/</w:t>
            </w:r>
            <w:r>
              <w:rPr>
                <w:rFonts w:hint="eastAsia" w:ascii="宋体" w:hAnsi="宋体"/>
                <w:kern w:val="0"/>
                <w:sz w:val="20"/>
                <w:szCs w:val="20"/>
              </w:rPr>
              <w:t>秒</w:t>
            </w:r>
            <w:r>
              <w:rPr>
                <w:rFonts w:hint="eastAsia" w:ascii="宋体" w:hAnsi="宋体"/>
                <w:kern w:val="0"/>
                <w:sz w:val="20"/>
                <w:szCs w:val="20"/>
              </w:rPr>
              <w:br w:type="textWrapping"/>
            </w:r>
            <w:r>
              <w:rPr>
                <w:rFonts w:eastAsia="等线"/>
                <w:kern w:val="0"/>
                <w:sz w:val="20"/>
                <w:szCs w:val="20"/>
              </w:rPr>
              <w:t>2</w:t>
            </w:r>
            <w:r>
              <w:rPr>
                <w:rFonts w:hint="eastAsia" w:ascii="宋体" w:hAnsi="宋体"/>
                <w:kern w:val="0"/>
                <w:sz w:val="20"/>
                <w:szCs w:val="20"/>
              </w:rPr>
              <w:t>、支持将接收的大</w:t>
            </w:r>
            <w:r>
              <w:rPr>
                <w:rFonts w:eastAsia="等线"/>
                <w:kern w:val="0"/>
                <w:sz w:val="20"/>
                <w:szCs w:val="20"/>
              </w:rPr>
              <w:t>/</w:t>
            </w:r>
            <w:r>
              <w:rPr>
                <w:rFonts w:hint="eastAsia" w:ascii="宋体" w:hAnsi="宋体"/>
                <w:kern w:val="0"/>
                <w:sz w:val="20"/>
                <w:szCs w:val="20"/>
              </w:rPr>
              <w:t>小图实时推送至视频专网；</w:t>
            </w:r>
            <w:r>
              <w:rPr>
                <w:rFonts w:hint="eastAsia" w:ascii="宋体" w:hAnsi="宋体"/>
                <w:kern w:val="0"/>
                <w:sz w:val="20"/>
                <w:szCs w:val="20"/>
              </w:rPr>
              <w:br w:type="textWrapping"/>
            </w:r>
            <w:r>
              <w:rPr>
                <w:rFonts w:eastAsia="等线"/>
                <w:kern w:val="0"/>
                <w:sz w:val="20"/>
                <w:szCs w:val="20"/>
              </w:rPr>
              <w:t>3</w:t>
            </w:r>
            <w:r>
              <w:rPr>
                <w:rFonts w:hint="eastAsia" w:ascii="宋体" w:hAnsi="宋体"/>
                <w:kern w:val="0"/>
                <w:sz w:val="20"/>
                <w:szCs w:val="20"/>
              </w:rPr>
              <w:t>、符合</w:t>
            </w:r>
            <w:r>
              <w:rPr>
                <w:rFonts w:eastAsia="等线"/>
                <w:kern w:val="0"/>
                <w:sz w:val="20"/>
                <w:szCs w:val="20"/>
              </w:rPr>
              <w:t xml:space="preserve"> GA/T 1400.3-2017</w:t>
            </w:r>
            <w:r>
              <w:rPr>
                <w:rFonts w:hint="eastAsia" w:ascii="宋体" w:hAnsi="宋体"/>
                <w:kern w:val="0"/>
                <w:sz w:val="20"/>
                <w:szCs w:val="20"/>
              </w:rPr>
              <w:t>公安视频图像信息应用系统</w:t>
            </w:r>
            <w:r>
              <w:rPr>
                <w:rFonts w:eastAsia="等线"/>
                <w:kern w:val="0"/>
                <w:sz w:val="20"/>
                <w:szCs w:val="20"/>
              </w:rPr>
              <w:t xml:space="preserve"> </w:t>
            </w:r>
            <w:r>
              <w:rPr>
                <w:rFonts w:hint="eastAsia" w:ascii="宋体" w:hAnsi="宋体"/>
                <w:kern w:val="0"/>
                <w:sz w:val="20"/>
                <w:szCs w:val="20"/>
              </w:rPr>
              <w:t>第</w:t>
            </w:r>
            <w:r>
              <w:rPr>
                <w:rFonts w:eastAsia="等线"/>
                <w:kern w:val="0"/>
                <w:sz w:val="20"/>
                <w:szCs w:val="20"/>
              </w:rPr>
              <w:t>3</w:t>
            </w:r>
            <w:r>
              <w:rPr>
                <w:rFonts w:hint="eastAsia" w:ascii="宋体" w:hAnsi="宋体"/>
                <w:kern w:val="0"/>
                <w:sz w:val="20"/>
                <w:szCs w:val="20"/>
              </w:rPr>
              <w:t>部分：数据库技术要求；</w:t>
            </w:r>
            <w:r>
              <w:rPr>
                <w:rFonts w:hint="eastAsia" w:ascii="宋体" w:hAnsi="宋体"/>
                <w:kern w:val="0"/>
                <w:sz w:val="20"/>
                <w:szCs w:val="20"/>
              </w:rPr>
              <w:br w:type="textWrapping"/>
            </w:r>
            <w:r>
              <w:rPr>
                <w:rFonts w:eastAsia="等线"/>
                <w:kern w:val="0"/>
                <w:sz w:val="20"/>
                <w:szCs w:val="20"/>
              </w:rPr>
              <w:t>4</w:t>
            </w:r>
            <w:r>
              <w:rPr>
                <w:rFonts w:hint="eastAsia" w:ascii="宋体" w:hAnsi="宋体"/>
                <w:kern w:val="0"/>
                <w:sz w:val="20"/>
                <w:szCs w:val="20"/>
              </w:rPr>
              <w:t>、符合</w:t>
            </w:r>
            <w:r>
              <w:rPr>
                <w:rFonts w:eastAsia="等线"/>
                <w:kern w:val="0"/>
                <w:sz w:val="20"/>
                <w:szCs w:val="20"/>
              </w:rPr>
              <w:t xml:space="preserve"> GA/T 1400.4-2017</w:t>
            </w:r>
            <w:r>
              <w:rPr>
                <w:rFonts w:hint="eastAsia" w:ascii="宋体" w:hAnsi="宋体"/>
                <w:kern w:val="0"/>
                <w:sz w:val="20"/>
                <w:szCs w:val="20"/>
              </w:rPr>
              <w:t>公安视频图像信息应用系统</w:t>
            </w:r>
            <w:r>
              <w:rPr>
                <w:rFonts w:eastAsia="等线"/>
                <w:kern w:val="0"/>
                <w:sz w:val="20"/>
                <w:szCs w:val="20"/>
              </w:rPr>
              <w:t xml:space="preserve"> </w:t>
            </w:r>
            <w:r>
              <w:rPr>
                <w:rFonts w:hint="eastAsia" w:ascii="宋体" w:hAnsi="宋体"/>
                <w:kern w:val="0"/>
                <w:sz w:val="20"/>
                <w:szCs w:val="20"/>
              </w:rPr>
              <w:t>第</w:t>
            </w:r>
            <w:r>
              <w:rPr>
                <w:rFonts w:eastAsia="等线"/>
                <w:kern w:val="0"/>
                <w:sz w:val="20"/>
                <w:szCs w:val="20"/>
              </w:rPr>
              <w:t>4</w:t>
            </w:r>
            <w:r>
              <w:rPr>
                <w:rFonts w:hint="eastAsia" w:ascii="宋体" w:hAnsi="宋体"/>
                <w:kern w:val="0"/>
                <w:sz w:val="20"/>
                <w:szCs w:val="20"/>
              </w:rPr>
              <w:t>部分：接口协议要求；</w:t>
            </w:r>
            <w:r>
              <w:rPr>
                <w:rFonts w:hint="eastAsia" w:ascii="宋体" w:hAnsi="宋体"/>
                <w:kern w:val="0"/>
                <w:sz w:val="20"/>
                <w:szCs w:val="20"/>
              </w:rPr>
              <w:br w:type="textWrapping"/>
            </w:r>
            <w:r>
              <w:rPr>
                <w:rFonts w:eastAsia="等线"/>
                <w:kern w:val="0"/>
                <w:sz w:val="20"/>
                <w:szCs w:val="20"/>
              </w:rPr>
              <w:t>5</w:t>
            </w:r>
            <w:r>
              <w:rPr>
                <w:rFonts w:hint="eastAsia" w:ascii="宋体" w:hAnsi="宋体"/>
                <w:kern w:val="0"/>
                <w:sz w:val="20"/>
                <w:szCs w:val="20"/>
              </w:rPr>
              <w:t>、支持人脸、车辆、人员、终端特征信息数据接入；（提供公安部权威机构出具的产品检测报告，并加盖生产厂商公章）</w:t>
            </w:r>
            <w:r>
              <w:rPr>
                <w:rFonts w:hint="eastAsia" w:ascii="宋体" w:hAnsi="宋体"/>
                <w:kern w:val="0"/>
                <w:sz w:val="20"/>
                <w:szCs w:val="20"/>
              </w:rPr>
              <w:br w:type="textWrapping"/>
            </w:r>
            <w:r>
              <w:rPr>
                <w:rFonts w:eastAsia="等线"/>
                <w:kern w:val="0"/>
                <w:sz w:val="20"/>
                <w:szCs w:val="20"/>
              </w:rPr>
              <w:t>6</w:t>
            </w:r>
            <w:r>
              <w:rPr>
                <w:rFonts w:hint="eastAsia" w:ascii="宋体" w:hAnsi="宋体"/>
                <w:kern w:val="0"/>
                <w:sz w:val="20"/>
                <w:szCs w:val="20"/>
              </w:rPr>
              <w:t>、支持各类结构化、特征数据留存期设置；</w:t>
            </w:r>
            <w:r>
              <w:rPr>
                <w:rFonts w:hint="eastAsia" w:ascii="宋体" w:hAnsi="宋体"/>
                <w:kern w:val="0"/>
                <w:sz w:val="20"/>
                <w:szCs w:val="20"/>
              </w:rPr>
              <w:br w:type="textWrapping"/>
            </w:r>
            <w:r>
              <w:rPr>
                <w:rFonts w:eastAsia="等线"/>
                <w:kern w:val="0"/>
                <w:sz w:val="20"/>
                <w:szCs w:val="20"/>
              </w:rPr>
              <w:t>7</w:t>
            </w:r>
            <w:r>
              <w:rPr>
                <w:rFonts w:hint="eastAsia" w:ascii="宋体" w:hAnsi="宋体"/>
                <w:kern w:val="0"/>
                <w:sz w:val="20"/>
                <w:szCs w:val="20"/>
              </w:rPr>
              <w:t>、提供视图库数据的快速检索引擎，支持基于人脸属性信息、人员结构化信息、车辆结构化信息、非机动车结构化信息等各种属性和字段进行全文检索；</w:t>
            </w:r>
            <w:r>
              <w:rPr>
                <w:rFonts w:hint="eastAsia" w:ascii="宋体" w:hAnsi="宋体"/>
                <w:kern w:val="0"/>
                <w:sz w:val="20"/>
                <w:szCs w:val="20"/>
              </w:rPr>
              <w:br w:type="textWrapping"/>
            </w:r>
            <w:r>
              <w:rPr>
                <w:rFonts w:eastAsia="等线"/>
                <w:kern w:val="0"/>
                <w:sz w:val="20"/>
                <w:szCs w:val="20"/>
              </w:rPr>
              <w:t>8.</w:t>
            </w:r>
            <w:r>
              <w:rPr>
                <w:rFonts w:hint="eastAsia" w:ascii="宋体" w:hAnsi="宋体"/>
                <w:kern w:val="0"/>
                <w:sz w:val="20"/>
                <w:szCs w:val="20"/>
              </w:rPr>
              <w:t>数据的标准格式化存储以及人、车、物等不同对象的分类存储；</w:t>
            </w:r>
            <w:r>
              <w:rPr>
                <w:rFonts w:hint="eastAsia" w:ascii="宋体" w:hAnsi="宋体"/>
                <w:kern w:val="0"/>
                <w:sz w:val="20"/>
                <w:szCs w:val="20"/>
              </w:rPr>
              <w:br w:type="textWrapping"/>
            </w:r>
            <w:r>
              <w:rPr>
                <w:rFonts w:eastAsia="等线"/>
                <w:kern w:val="0"/>
                <w:sz w:val="20"/>
                <w:szCs w:val="20"/>
              </w:rPr>
              <w:t>9</w:t>
            </w:r>
            <w:r>
              <w:rPr>
                <w:rFonts w:hint="eastAsia" w:ascii="宋体" w:hAnsi="宋体"/>
                <w:kern w:val="0"/>
                <w:sz w:val="20"/>
                <w:szCs w:val="20"/>
              </w:rPr>
              <w:t>、支持在</w:t>
            </w:r>
            <w:r>
              <w:rPr>
                <w:rFonts w:eastAsia="等线"/>
                <w:kern w:val="0"/>
                <w:sz w:val="20"/>
                <w:szCs w:val="20"/>
              </w:rPr>
              <w:t>50</w:t>
            </w:r>
            <w:r>
              <w:rPr>
                <w:rFonts w:hint="eastAsia" w:ascii="宋体" w:hAnsi="宋体"/>
                <w:kern w:val="0"/>
                <w:sz w:val="20"/>
                <w:szCs w:val="20"/>
              </w:rPr>
              <w:t>亿数据量下按人员结构化信息进行检索的平均检索时间≤</w:t>
            </w:r>
            <w:r>
              <w:rPr>
                <w:rFonts w:eastAsia="等线"/>
                <w:kern w:val="0"/>
                <w:sz w:val="20"/>
                <w:szCs w:val="20"/>
              </w:rPr>
              <w:t>3</w:t>
            </w:r>
            <w:r>
              <w:rPr>
                <w:rFonts w:hint="eastAsia" w:ascii="宋体" w:hAnsi="宋体"/>
                <w:kern w:val="0"/>
                <w:sz w:val="20"/>
                <w:szCs w:val="20"/>
              </w:rPr>
              <w:t>秒；（提供公安部权威机构出具的产品检测报告，并加盖生产厂商公章）</w:t>
            </w:r>
            <w:r>
              <w:rPr>
                <w:rFonts w:hint="eastAsia" w:ascii="宋体" w:hAnsi="宋体"/>
                <w:kern w:val="0"/>
                <w:sz w:val="20"/>
                <w:szCs w:val="20"/>
              </w:rPr>
              <w:br w:type="textWrapping"/>
            </w:r>
            <w:r>
              <w:rPr>
                <w:rFonts w:eastAsia="等线"/>
                <w:kern w:val="0"/>
                <w:sz w:val="20"/>
                <w:szCs w:val="20"/>
              </w:rPr>
              <w:t>10</w:t>
            </w:r>
            <w:r>
              <w:rPr>
                <w:rFonts w:hint="eastAsia" w:ascii="宋体" w:hAnsi="宋体"/>
                <w:kern w:val="0"/>
                <w:sz w:val="20"/>
                <w:szCs w:val="20"/>
              </w:rPr>
              <w:t>、支持采集数据（含大图加小图）存储不低于</w:t>
            </w:r>
            <w:r>
              <w:rPr>
                <w:rFonts w:eastAsia="等线"/>
                <w:kern w:val="0"/>
                <w:sz w:val="20"/>
                <w:szCs w:val="20"/>
              </w:rPr>
              <w:t>7</w:t>
            </w:r>
            <w:r>
              <w:rPr>
                <w:rFonts w:hint="eastAsia" w:ascii="宋体" w:hAnsi="宋体"/>
                <w:kern w:val="0"/>
                <w:sz w:val="20"/>
                <w:szCs w:val="20"/>
              </w:rPr>
              <w:t>天，万兆光口网卡视图库服务器。</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hint="eastAsia" w:ascii="宋体" w:hAnsi="宋体"/>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kern w:val="0"/>
                <w:sz w:val="20"/>
                <w:szCs w:val="20"/>
              </w:rPr>
            </w:pPr>
            <w:r>
              <w:rPr>
                <w:rFonts w:eastAsia="等线"/>
                <w:kern w:val="0"/>
                <w:sz w:val="20"/>
                <w:szCs w:val="20"/>
              </w:rPr>
              <w:t>1</w:t>
            </w:r>
          </w:p>
        </w:tc>
      </w:tr>
      <w:tr>
        <w:tblPrEx>
          <w:tblCellMar>
            <w:top w:w="0" w:type="dxa"/>
            <w:left w:w="108" w:type="dxa"/>
            <w:bottom w:w="0" w:type="dxa"/>
            <w:right w:w="108" w:type="dxa"/>
          </w:tblCellMar>
        </w:tblPrEx>
        <w:trPr>
          <w:trHeight w:val="3096" w:hRule="atLeast"/>
        </w:trPr>
        <w:tc>
          <w:tcPr>
            <w:tcW w:w="60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4</w:t>
            </w:r>
          </w:p>
        </w:tc>
        <w:tc>
          <w:tcPr>
            <w:tcW w:w="74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视频专网建设内容</w:t>
            </w: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存储服务</w:t>
            </w:r>
          </w:p>
        </w:tc>
        <w:tc>
          <w:tcPr>
            <w:tcW w:w="5470" w:type="dxa"/>
            <w:tcBorders>
              <w:top w:val="nil"/>
              <w:left w:val="nil"/>
              <w:bottom w:val="single" w:color="auto" w:sz="4" w:space="0"/>
              <w:right w:val="single" w:color="auto" w:sz="4" w:space="0"/>
            </w:tcBorders>
            <w:shd w:val="clear" w:color="auto" w:fill="auto"/>
            <w:vAlign w:val="bottom"/>
          </w:tcPr>
          <w:p>
            <w:pPr>
              <w:widowControl/>
              <w:spacing w:line="240" w:lineRule="auto"/>
              <w:ind w:firstLine="0" w:firstLineChars="0"/>
              <w:jc w:val="both"/>
              <w:rPr>
                <w:rFonts w:eastAsia="等线"/>
                <w:color w:val="000000"/>
                <w:kern w:val="0"/>
                <w:sz w:val="20"/>
                <w:szCs w:val="20"/>
              </w:rPr>
            </w:pPr>
            <w:r>
              <w:rPr>
                <w:rFonts w:eastAsia="等线"/>
                <w:color w:val="000000"/>
                <w:kern w:val="0"/>
                <w:sz w:val="20"/>
                <w:szCs w:val="20"/>
              </w:rPr>
              <w:t>1</w:t>
            </w:r>
            <w:r>
              <w:rPr>
                <w:rFonts w:hint="eastAsia" w:ascii="宋体" w:hAnsi="宋体"/>
                <w:color w:val="000000"/>
                <w:kern w:val="0"/>
                <w:sz w:val="20"/>
                <w:szCs w:val="20"/>
              </w:rPr>
              <w:t>、提供存储服务，满足本次建设智能前端视频流存储不少于</w:t>
            </w:r>
            <w:r>
              <w:rPr>
                <w:rFonts w:eastAsia="等线"/>
                <w:color w:val="000000"/>
                <w:kern w:val="0"/>
                <w:sz w:val="20"/>
                <w:szCs w:val="20"/>
              </w:rPr>
              <w:t>60</w:t>
            </w:r>
            <w:r>
              <w:rPr>
                <w:rFonts w:hint="eastAsia" w:ascii="宋体" w:hAnsi="宋体"/>
                <w:color w:val="000000"/>
                <w:kern w:val="0"/>
                <w:sz w:val="20"/>
                <w:szCs w:val="20"/>
              </w:rPr>
              <w:t>天，图片流存储不少于</w:t>
            </w:r>
            <w:r>
              <w:rPr>
                <w:rFonts w:eastAsia="等线"/>
                <w:color w:val="000000"/>
                <w:kern w:val="0"/>
                <w:sz w:val="20"/>
                <w:szCs w:val="20"/>
              </w:rPr>
              <w:t>365</w:t>
            </w:r>
            <w:r>
              <w:rPr>
                <w:rFonts w:hint="eastAsia" w:ascii="宋体" w:hAnsi="宋体"/>
                <w:color w:val="000000"/>
                <w:kern w:val="0"/>
                <w:sz w:val="20"/>
                <w:szCs w:val="20"/>
              </w:rPr>
              <w:t>天；</w:t>
            </w:r>
            <w:r>
              <w:rPr>
                <w:rFonts w:hint="eastAsia" w:ascii="宋体" w:hAnsi="宋体"/>
                <w:color w:val="000000"/>
                <w:kern w:val="0"/>
                <w:sz w:val="20"/>
                <w:szCs w:val="20"/>
              </w:rPr>
              <w:br w:type="textWrapping"/>
            </w:r>
            <w:r>
              <w:rPr>
                <w:rFonts w:eastAsia="等线"/>
                <w:color w:val="000000"/>
                <w:kern w:val="0"/>
                <w:sz w:val="20"/>
                <w:szCs w:val="20"/>
              </w:rPr>
              <w:t>2</w:t>
            </w:r>
            <w:r>
              <w:rPr>
                <w:rFonts w:hint="eastAsia" w:ascii="宋体" w:hAnsi="宋体"/>
                <w:color w:val="000000"/>
                <w:kern w:val="0"/>
                <w:sz w:val="20"/>
                <w:szCs w:val="20"/>
              </w:rPr>
              <w:t>、提供存储容量不低于</w:t>
            </w:r>
            <w:r>
              <w:rPr>
                <w:rFonts w:eastAsia="等线"/>
                <w:color w:val="000000"/>
                <w:kern w:val="0"/>
                <w:sz w:val="20"/>
                <w:szCs w:val="20"/>
              </w:rPr>
              <w:t>8328.57TB</w:t>
            </w:r>
            <w:r>
              <w:rPr>
                <w:rFonts w:hint="eastAsia" w:ascii="宋体" w:hAnsi="宋体"/>
                <w:color w:val="000000"/>
                <w:kern w:val="0"/>
                <w:sz w:val="20"/>
                <w:szCs w:val="20"/>
              </w:rPr>
              <w:t>；</w:t>
            </w:r>
            <w:r>
              <w:rPr>
                <w:rFonts w:hint="eastAsia" w:ascii="宋体" w:hAnsi="宋体"/>
                <w:color w:val="000000"/>
                <w:kern w:val="0"/>
                <w:sz w:val="20"/>
                <w:szCs w:val="20"/>
              </w:rPr>
              <w:br w:type="textWrapping"/>
            </w:r>
            <w:r>
              <w:rPr>
                <w:rFonts w:eastAsia="等线"/>
                <w:color w:val="000000"/>
                <w:kern w:val="0"/>
                <w:sz w:val="20"/>
                <w:szCs w:val="20"/>
              </w:rPr>
              <w:t>3</w:t>
            </w:r>
            <w:r>
              <w:rPr>
                <w:rFonts w:hint="eastAsia" w:ascii="宋体" w:hAnsi="宋体"/>
                <w:color w:val="000000"/>
                <w:kern w:val="0"/>
                <w:sz w:val="20"/>
                <w:szCs w:val="20"/>
              </w:rPr>
              <w:t>、云存储系统读写性能不低于</w:t>
            </w:r>
            <w:r>
              <w:rPr>
                <w:rFonts w:eastAsia="等线"/>
                <w:color w:val="000000"/>
                <w:kern w:val="0"/>
                <w:sz w:val="20"/>
                <w:szCs w:val="20"/>
              </w:rPr>
              <w:t>12869Mbps;</w:t>
            </w:r>
            <w:r>
              <w:rPr>
                <w:rFonts w:eastAsia="等线"/>
                <w:color w:val="000000"/>
                <w:kern w:val="0"/>
                <w:sz w:val="20"/>
                <w:szCs w:val="20"/>
              </w:rPr>
              <w:br w:type="textWrapping"/>
            </w:r>
            <w:r>
              <w:rPr>
                <w:rFonts w:eastAsia="等线"/>
                <w:color w:val="000000"/>
                <w:kern w:val="0"/>
                <w:sz w:val="20"/>
                <w:szCs w:val="20"/>
              </w:rPr>
              <w:t>4</w:t>
            </w:r>
            <w:r>
              <w:rPr>
                <w:rFonts w:hint="eastAsia" w:ascii="宋体" w:hAnsi="宋体"/>
                <w:color w:val="000000"/>
                <w:kern w:val="0"/>
                <w:sz w:val="20"/>
                <w:szCs w:val="20"/>
              </w:rPr>
              <w:t>、支持视频、音频、图片、文件直接写入系统，数据流无需经过其他中转服务器；</w:t>
            </w:r>
            <w:r>
              <w:rPr>
                <w:rFonts w:hint="eastAsia" w:ascii="宋体" w:hAnsi="宋体"/>
                <w:color w:val="000000"/>
                <w:kern w:val="0"/>
                <w:sz w:val="20"/>
                <w:szCs w:val="20"/>
              </w:rPr>
              <w:br w:type="textWrapping"/>
            </w:r>
            <w:r>
              <w:rPr>
                <w:rFonts w:eastAsia="等线"/>
                <w:color w:val="000000"/>
                <w:kern w:val="0"/>
                <w:sz w:val="20"/>
                <w:szCs w:val="20"/>
              </w:rPr>
              <w:t>5</w:t>
            </w:r>
            <w:r>
              <w:rPr>
                <w:rFonts w:hint="eastAsia" w:ascii="宋体" w:hAnsi="宋体"/>
                <w:color w:val="000000"/>
                <w:kern w:val="0"/>
                <w:sz w:val="20"/>
                <w:szCs w:val="20"/>
              </w:rPr>
              <w:t>、支持节点间的存储容量负载均衡，各节点上的存储数据量在稳定情况下，存储容量使用率差距小于</w:t>
            </w:r>
            <w:r>
              <w:rPr>
                <w:rFonts w:eastAsia="等线"/>
                <w:color w:val="000000"/>
                <w:kern w:val="0"/>
                <w:sz w:val="20"/>
                <w:szCs w:val="20"/>
              </w:rPr>
              <w:t>1%</w:t>
            </w:r>
            <w:r>
              <w:rPr>
                <w:rFonts w:hint="eastAsia" w:ascii="宋体" w:hAnsi="宋体"/>
                <w:color w:val="000000"/>
                <w:kern w:val="0"/>
                <w:sz w:val="20"/>
                <w:szCs w:val="20"/>
              </w:rPr>
              <w:t>；（提供公安部权威机构出具的产品检测报告，并加盖生产厂商公章）</w:t>
            </w:r>
            <w:r>
              <w:rPr>
                <w:rFonts w:hint="eastAsia" w:ascii="宋体" w:hAnsi="宋体"/>
                <w:color w:val="000000"/>
                <w:kern w:val="0"/>
                <w:sz w:val="20"/>
                <w:szCs w:val="20"/>
              </w:rPr>
              <w:br w:type="textWrapping"/>
            </w:r>
            <w:r>
              <w:rPr>
                <w:rFonts w:eastAsia="等线"/>
                <w:color w:val="000000"/>
                <w:kern w:val="0"/>
                <w:sz w:val="20"/>
                <w:szCs w:val="20"/>
              </w:rPr>
              <w:t>6</w:t>
            </w:r>
            <w:r>
              <w:rPr>
                <w:rFonts w:hint="eastAsia" w:ascii="宋体" w:hAnsi="宋体"/>
                <w:color w:val="000000"/>
                <w:kern w:val="0"/>
                <w:sz w:val="20"/>
                <w:szCs w:val="20"/>
              </w:rPr>
              <w:t>、支持</w:t>
            </w:r>
            <w:r>
              <w:rPr>
                <w:rFonts w:eastAsia="等线"/>
                <w:color w:val="000000"/>
                <w:kern w:val="0"/>
                <w:sz w:val="20"/>
                <w:szCs w:val="20"/>
              </w:rPr>
              <w:t>N+M</w:t>
            </w:r>
            <w:r>
              <w:rPr>
                <w:rFonts w:hint="eastAsia" w:ascii="宋体" w:hAnsi="宋体"/>
                <w:color w:val="000000"/>
                <w:kern w:val="0"/>
                <w:sz w:val="20"/>
                <w:szCs w:val="20"/>
              </w:rPr>
              <w:t>纠删码，</w:t>
            </w:r>
            <w:r>
              <w:rPr>
                <w:rFonts w:eastAsia="等线"/>
                <w:color w:val="000000"/>
                <w:kern w:val="0"/>
                <w:sz w:val="20"/>
                <w:szCs w:val="20"/>
              </w:rPr>
              <w:t>N+M</w:t>
            </w:r>
            <w:r>
              <w:rPr>
                <w:rFonts w:hint="eastAsia" w:ascii="宋体" w:hAnsi="宋体"/>
                <w:color w:val="000000"/>
                <w:kern w:val="0"/>
                <w:sz w:val="20"/>
                <w:szCs w:val="20"/>
              </w:rPr>
              <w:t>可设。支持在一个硬盘池内创建多个存储池，每个存储池可采用不同的冗余策略；</w:t>
            </w:r>
            <w:r>
              <w:rPr>
                <w:rFonts w:hint="eastAsia" w:ascii="宋体" w:hAnsi="宋体"/>
                <w:color w:val="000000"/>
                <w:kern w:val="0"/>
                <w:sz w:val="20"/>
                <w:szCs w:val="20"/>
              </w:rPr>
              <w:br w:type="textWrapping"/>
            </w:r>
            <w:r>
              <w:rPr>
                <w:rFonts w:eastAsia="等线"/>
                <w:color w:val="000000"/>
                <w:kern w:val="0"/>
                <w:sz w:val="20"/>
                <w:szCs w:val="20"/>
              </w:rPr>
              <w:t>7</w:t>
            </w:r>
            <w:r>
              <w:rPr>
                <w:rFonts w:hint="eastAsia" w:ascii="宋体" w:hAnsi="宋体"/>
                <w:color w:val="000000"/>
                <w:kern w:val="0"/>
                <w:sz w:val="20"/>
                <w:szCs w:val="20"/>
              </w:rPr>
              <w:t>、支持保护域和故障域设置，可将业务数据保存在配置范围内，范围内硬件故障造成的数据重构只在配置范围内，不影响范围外其它硬件运行以及业务数据使用。（提供公安部权威机构出具的产品检测报告，并加盖生产厂商公章）</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4920"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视频监控管理服务</w:t>
            </w:r>
          </w:p>
        </w:tc>
        <w:tc>
          <w:tcPr>
            <w:tcW w:w="5470" w:type="dxa"/>
            <w:tcBorders>
              <w:top w:val="nil"/>
              <w:left w:val="nil"/>
              <w:bottom w:val="single" w:color="auto" w:sz="4" w:space="0"/>
              <w:right w:val="single" w:color="auto" w:sz="4" w:space="0"/>
            </w:tcBorders>
            <w:shd w:val="clear" w:color="auto" w:fill="auto"/>
            <w:vAlign w:val="bottom"/>
          </w:tcPr>
          <w:p>
            <w:pPr>
              <w:widowControl/>
              <w:spacing w:line="240" w:lineRule="auto"/>
              <w:ind w:firstLine="0" w:firstLineChars="0"/>
              <w:rPr>
                <w:rFonts w:eastAsia="等线"/>
                <w:kern w:val="0"/>
                <w:sz w:val="20"/>
                <w:szCs w:val="20"/>
              </w:rPr>
            </w:pPr>
            <w:r>
              <w:rPr>
                <w:rFonts w:eastAsia="等线"/>
                <w:kern w:val="0"/>
                <w:sz w:val="20"/>
                <w:szCs w:val="20"/>
              </w:rPr>
              <w:t>1</w:t>
            </w:r>
            <w:r>
              <w:rPr>
                <w:rFonts w:hint="eastAsia" w:ascii="宋体" w:hAnsi="宋体"/>
                <w:kern w:val="0"/>
                <w:sz w:val="20"/>
                <w:szCs w:val="20"/>
              </w:rPr>
              <w:t>、支持不少于</w:t>
            </w:r>
            <w:r>
              <w:rPr>
                <w:rFonts w:eastAsia="等线"/>
                <w:kern w:val="0"/>
                <w:sz w:val="20"/>
                <w:szCs w:val="20"/>
              </w:rPr>
              <w:t>5000</w:t>
            </w:r>
            <w:r>
              <w:rPr>
                <w:rFonts w:hint="eastAsia" w:ascii="宋体" w:hAnsi="宋体"/>
                <w:kern w:val="0"/>
                <w:sz w:val="20"/>
                <w:szCs w:val="20"/>
              </w:rPr>
              <w:t>路设备接入授权，支持不少于</w:t>
            </w:r>
            <w:r>
              <w:rPr>
                <w:rFonts w:eastAsia="等线"/>
                <w:kern w:val="0"/>
                <w:sz w:val="20"/>
                <w:szCs w:val="20"/>
              </w:rPr>
              <w:t>100000</w:t>
            </w:r>
            <w:r>
              <w:rPr>
                <w:rFonts w:hint="eastAsia" w:ascii="宋体" w:hAnsi="宋体"/>
                <w:kern w:val="0"/>
                <w:sz w:val="20"/>
                <w:szCs w:val="20"/>
              </w:rPr>
              <w:t>路设备级联管理；</w:t>
            </w:r>
            <w:r>
              <w:rPr>
                <w:rFonts w:hint="eastAsia" w:ascii="宋体" w:hAnsi="宋体"/>
                <w:kern w:val="0"/>
                <w:sz w:val="20"/>
                <w:szCs w:val="20"/>
              </w:rPr>
              <w:br w:type="textWrapping"/>
            </w:r>
            <w:r>
              <w:rPr>
                <w:rFonts w:eastAsia="等线"/>
                <w:kern w:val="0"/>
                <w:sz w:val="20"/>
                <w:szCs w:val="20"/>
              </w:rPr>
              <w:t>2.</w:t>
            </w:r>
            <w:r>
              <w:rPr>
                <w:rFonts w:hint="eastAsia" w:ascii="宋体" w:hAnsi="宋体"/>
                <w:kern w:val="0"/>
                <w:sz w:val="20"/>
                <w:szCs w:val="20"/>
              </w:rPr>
              <w:t>支持多画面同时浏览；支持浏览窗口布局自定义；支持单画面全屏和多画面全屏；支持浏览窗口视频轮巡，可独立设置每个画面间的轮巡间隔。</w:t>
            </w:r>
            <w:r>
              <w:rPr>
                <w:rFonts w:hint="eastAsia" w:ascii="宋体" w:hAnsi="宋体"/>
                <w:kern w:val="0"/>
                <w:sz w:val="20"/>
                <w:szCs w:val="20"/>
              </w:rPr>
              <w:br w:type="textWrapping"/>
            </w:r>
            <w:r>
              <w:rPr>
                <w:rFonts w:eastAsia="等线"/>
                <w:kern w:val="0"/>
                <w:sz w:val="20"/>
                <w:szCs w:val="20"/>
              </w:rPr>
              <w:t>3</w:t>
            </w:r>
            <w:r>
              <w:rPr>
                <w:rFonts w:hint="eastAsia" w:ascii="宋体" w:hAnsi="宋体"/>
                <w:kern w:val="0"/>
                <w:sz w:val="20"/>
                <w:szCs w:val="20"/>
              </w:rPr>
              <w:t>、支持录像计划自定义配置，包括视频通道、码流、时间模板、录像留存期等信息；</w:t>
            </w:r>
            <w:r>
              <w:rPr>
                <w:rFonts w:hint="eastAsia" w:ascii="宋体" w:hAnsi="宋体"/>
                <w:kern w:val="0"/>
                <w:sz w:val="20"/>
                <w:szCs w:val="20"/>
              </w:rPr>
              <w:br w:type="textWrapping"/>
            </w:r>
            <w:r>
              <w:rPr>
                <w:rFonts w:eastAsia="等线"/>
                <w:kern w:val="0"/>
                <w:sz w:val="20"/>
                <w:szCs w:val="20"/>
              </w:rPr>
              <w:t>4</w:t>
            </w:r>
            <w:r>
              <w:rPr>
                <w:rFonts w:hint="eastAsia" w:ascii="宋体" w:hAnsi="宋体"/>
                <w:kern w:val="0"/>
                <w:sz w:val="20"/>
                <w:szCs w:val="20"/>
              </w:rPr>
              <w:t>、支持录像的分段回放，用来对同一路通道的录像资料，分为几个不同的时间片段来回放；</w:t>
            </w:r>
            <w:r>
              <w:rPr>
                <w:rFonts w:hint="eastAsia" w:ascii="宋体" w:hAnsi="宋体"/>
                <w:kern w:val="0"/>
                <w:sz w:val="20"/>
                <w:szCs w:val="20"/>
              </w:rPr>
              <w:br w:type="textWrapping"/>
            </w:r>
            <w:r>
              <w:rPr>
                <w:rFonts w:eastAsia="等线"/>
                <w:kern w:val="0"/>
                <w:sz w:val="20"/>
                <w:szCs w:val="20"/>
              </w:rPr>
              <w:t>5</w:t>
            </w:r>
            <w:r>
              <w:rPr>
                <w:rFonts w:hint="eastAsia" w:ascii="宋体" w:hAnsi="宋体"/>
                <w:kern w:val="0"/>
                <w:sz w:val="20"/>
                <w:szCs w:val="20"/>
              </w:rPr>
              <w:t>、支持</w:t>
            </w:r>
            <w:r>
              <w:rPr>
                <w:rFonts w:eastAsia="等线"/>
                <w:kern w:val="0"/>
                <w:sz w:val="20"/>
                <w:szCs w:val="20"/>
              </w:rPr>
              <w:t>rtsp</w:t>
            </w:r>
            <w:r>
              <w:rPr>
                <w:rFonts w:hint="eastAsia" w:ascii="宋体" w:hAnsi="宋体"/>
                <w:kern w:val="0"/>
                <w:sz w:val="20"/>
                <w:szCs w:val="20"/>
              </w:rPr>
              <w:t>、</w:t>
            </w:r>
            <w:r>
              <w:rPr>
                <w:rFonts w:eastAsia="等线"/>
                <w:kern w:val="0"/>
                <w:sz w:val="20"/>
                <w:szCs w:val="20"/>
              </w:rPr>
              <w:t>rtmp</w:t>
            </w:r>
            <w:r>
              <w:rPr>
                <w:rFonts w:hint="eastAsia" w:ascii="宋体" w:hAnsi="宋体"/>
                <w:kern w:val="0"/>
                <w:sz w:val="20"/>
                <w:szCs w:val="20"/>
              </w:rPr>
              <w:t>、</w:t>
            </w:r>
            <w:r>
              <w:rPr>
                <w:rFonts w:eastAsia="等线"/>
                <w:kern w:val="0"/>
                <w:sz w:val="20"/>
                <w:szCs w:val="20"/>
              </w:rPr>
              <w:t>hls</w:t>
            </w:r>
            <w:r>
              <w:rPr>
                <w:rFonts w:hint="eastAsia" w:ascii="宋体" w:hAnsi="宋体"/>
                <w:kern w:val="0"/>
                <w:sz w:val="20"/>
                <w:szCs w:val="20"/>
              </w:rPr>
              <w:t>传输协议的取流和播放；</w:t>
            </w:r>
            <w:r>
              <w:rPr>
                <w:rFonts w:hint="eastAsia" w:ascii="宋体" w:hAnsi="宋体"/>
                <w:kern w:val="0"/>
                <w:sz w:val="20"/>
                <w:szCs w:val="20"/>
              </w:rPr>
              <w:br w:type="textWrapping"/>
            </w:r>
            <w:r>
              <w:rPr>
                <w:rFonts w:eastAsia="等线"/>
                <w:kern w:val="0"/>
                <w:sz w:val="20"/>
                <w:szCs w:val="20"/>
              </w:rPr>
              <w:t>6</w:t>
            </w:r>
            <w:r>
              <w:rPr>
                <w:rFonts w:hint="eastAsia" w:ascii="宋体" w:hAnsi="宋体"/>
                <w:kern w:val="0"/>
                <w:sz w:val="20"/>
                <w:szCs w:val="20"/>
              </w:rPr>
              <w:t>、支持浏览器无插件实时播放视频以及录像回放；</w:t>
            </w:r>
            <w:r>
              <w:rPr>
                <w:rFonts w:hint="eastAsia" w:ascii="宋体" w:hAnsi="宋体"/>
                <w:kern w:val="0"/>
                <w:sz w:val="20"/>
                <w:szCs w:val="20"/>
              </w:rPr>
              <w:br w:type="textWrapping"/>
            </w:r>
            <w:r>
              <w:rPr>
                <w:rFonts w:eastAsia="等线"/>
                <w:kern w:val="0"/>
                <w:sz w:val="20"/>
                <w:szCs w:val="20"/>
              </w:rPr>
              <w:t>7</w:t>
            </w:r>
            <w:r>
              <w:rPr>
                <w:rFonts w:hint="eastAsia" w:ascii="宋体" w:hAnsi="宋体"/>
                <w:kern w:val="0"/>
                <w:sz w:val="20"/>
                <w:szCs w:val="20"/>
              </w:rPr>
              <w:t>、支持对录像标签的管理，支持标签回放，支持录像文件的锁定和解锁；</w:t>
            </w:r>
            <w:r>
              <w:rPr>
                <w:rFonts w:hint="eastAsia" w:ascii="宋体" w:hAnsi="宋体"/>
                <w:kern w:val="0"/>
                <w:sz w:val="20"/>
                <w:szCs w:val="20"/>
              </w:rPr>
              <w:br w:type="textWrapping"/>
            </w:r>
            <w:r>
              <w:rPr>
                <w:rFonts w:eastAsia="等线"/>
                <w:kern w:val="0"/>
                <w:sz w:val="20"/>
                <w:szCs w:val="20"/>
              </w:rPr>
              <w:t>8</w:t>
            </w:r>
            <w:r>
              <w:rPr>
                <w:rFonts w:hint="eastAsia" w:ascii="宋体" w:hAnsi="宋体"/>
                <w:kern w:val="0"/>
                <w:sz w:val="20"/>
                <w:szCs w:val="20"/>
              </w:rPr>
              <w:t>、流媒体支持服务负载均衡，可将视频分发任务动态均衡到空闲流媒体服务上；</w:t>
            </w:r>
            <w:r>
              <w:rPr>
                <w:rFonts w:hint="eastAsia" w:ascii="宋体" w:hAnsi="宋体"/>
                <w:kern w:val="0"/>
                <w:sz w:val="20"/>
                <w:szCs w:val="20"/>
              </w:rPr>
              <w:br w:type="textWrapping"/>
            </w:r>
            <w:r>
              <w:rPr>
                <w:rFonts w:eastAsia="等线"/>
                <w:kern w:val="0"/>
                <w:sz w:val="20"/>
                <w:szCs w:val="20"/>
              </w:rPr>
              <w:t>9</w:t>
            </w:r>
            <w:r>
              <w:rPr>
                <w:rFonts w:hint="eastAsia" w:ascii="宋体" w:hAnsi="宋体"/>
                <w:kern w:val="0"/>
                <w:sz w:val="20"/>
                <w:szCs w:val="20"/>
              </w:rPr>
              <w:t>、实现地图细节缩放展示，支持不少于</w:t>
            </w:r>
            <w:r>
              <w:rPr>
                <w:rFonts w:eastAsia="等线"/>
                <w:kern w:val="0"/>
                <w:sz w:val="20"/>
                <w:szCs w:val="20"/>
              </w:rPr>
              <w:t>18</w:t>
            </w:r>
            <w:r>
              <w:rPr>
                <w:rFonts w:hint="eastAsia" w:ascii="宋体" w:hAnsi="宋体"/>
                <w:kern w:val="0"/>
                <w:sz w:val="20"/>
                <w:szCs w:val="20"/>
              </w:rPr>
              <w:t>级缩放效果；</w:t>
            </w:r>
            <w:r>
              <w:rPr>
                <w:rFonts w:hint="eastAsia" w:ascii="宋体" w:hAnsi="宋体"/>
                <w:kern w:val="0"/>
                <w:sz w:val="20"/>
                <w:szCs w:val="20"/>
              </w:rPr>
              <w:br w:type="textWrapping"/>
            </w:r>
            <w:r>
              <w:rPr>
                <w:rFonts w:eastAsia="等线"/>
                <w:kern w:val="0"/>
                <w:sz w:val="20"/>
                <w:szCs w:val="20"/>
              </w:rPr>
              <w:t>10</w:t>
            </w:r>
            <w:r>
              <w:rPr>
                <w:rFonts w:hint="eastAsia" w:ascii="宋体" w:hAnsi="宋体"/>
                <w:kern w:val="0"/>
                <w:sz w:val="20"/>
                <w:szCs w:val="20"/>
              </w:rPr>
              <w:t>、支持配置</w:t>
            </w:r>
            <w:r>
              <w:rPr>
                <w:rFonts w:eastAsia="等线"/>
                <w:kern w:val="0"/>
                <w:sz w:val="20"/>
                <w:szCs w:val="20"/>
              </w:rPr>
              <w:t>JPG</w:t>
            </w:r>
            <w:r>
              <w:rPr>
                <w:rFonts w:hint="eastAsia" w:ascii="宋体" w:hAnsi="宋体"/>
                <w:kern w:val="0"/>
                <w:sz w:val="20"/>
                <w:szCs w:val="20"/>
              </w:rPr>
              <w:t>、</w:t>
            </w:r>
            <w:r>
              <w:rPr>
                <w:rFonts w:eastAsia="等线"/>
                <w:kern w:val="0"/>
                <w:sz w:val="20"/>
                <w:szCs w:val="20"/>
              </w:rPr>
              <w:t>PNG</w:t>
            </w:r>
            <w:r>
              <w:rPr>
                <w:rFonts w:hint="eastAsia" w:ascii="宋体" w:hAnsi="宋体"/>
                <w:kern w:val="0"/>
                <w:sz w:val="20"/>
                <w:szCs w:val="20"/>
              </w:rPr>
              <w:t>静态图片的电子地图、</w:t>
            </w:r>
            <w:r>
              <w:rPr>
                <w:rFonts w:eastAsia="等线"/>
                <w:kern w:val="0"/>
                <w:sz w:val="20"/>
                <w:szCs w:val="20"/>
              </w:rPr>
              <w:t>GIS</w:t>
            </w:r>
            <w:r>
              <w:rPr>
                <w:rFonts w:hint="eastAsia" w:ascii="宋体" w:hAnsi="宋体"/>
                <w:kern w:val="0"/>
                <w:sz w:val="20"/>
                <w:szCs w:val="20"/>
              </w:rPr>
              <w:t>和百度地图，并标注摄像机点位；</w:t>
            </w:r>
            <w:r>
              <w:rPr>
                <w:rFonts w:hint="eastAsia" w:ascii="宋体" w:hAnsi="宋体"/>
                <w:kern w:val="0"/>
                <w:sz w:val="20"/>
                <w:szCs w:val="20"/>
              </w:rPr>
              <w:br w:type="textWrapping"/>
            </w:r>
            <w:r>
              <w:rPr>
                <w:rFonts w:eastAsia="等线"/>
                <w:kern w:val="0"/>
                <w:sz w:val="20"/>
                <w:szCs w:val="20"/>
              </w:rPr>
              <w:t>11</w:t>
            </w:r>
            <w:r>
              <w:rPr>
                <w:rFonts w:hint="eastAsia" w:ascii="宋体" w:hAnsi="宋体"/>
                <w:kern w:val="0"/>
                <w:sz w:val="20"/>
                <w:szCs w:val="20"/>
              </w:rPr>
              <w:t>、支持地图上监控点的实况视频、云台控制、录像回放；</w:t>
            </w:r>
            <w:r>
              <w:rPr>
                <w:rFonts w:hint="eastAsia" w:ascii="宋体" w:hAnsi="宋体"/>
                <w:kern w:val="0"/>
                <w:sz w:val="20"/>
                <w:szCs w:val="20"/>
              </w:rPr>
              <w:br w:type="textWrapping"/>
            </w:r>
            <w:r>
              <w:rPr>
                <w:rFonts w:eastAsia="等线"/>
                <w:kern w:val="0"/>
                <w:sz w:val="20"/>
                <w:szCs w:val="20"/>
              </w:rPr>
              <w:t>12</w:t>
            </w:r>
            <w:r>
              <w:rPr>
                <w:rFonts w:hint="eastAsia" w:ascii="宋体" w:hAnsi="宋体"/>
                <w:kern w:val="0"/>
                <w:sz w:val="20"/>
                <w:szCs w:val="20"/>
              </w:rPr>
              <w:t>、支持条纹干扰、视频信号丢失、视频遮挡、视频卡顿（冻结）、视频对比度异常、亮度异常、噪声干扰、颜色异常、清晰度异常、场景变化；</w:t>
            </w:r>
            <w:r>
              <w:rPr>
                <w:rFonts w:hint="eastAsia" w:ascii="宋体" w:hAnsi="宋体"/>
                <w:kern w:val="0"/>
                <w:sz w:val="20"/>
                <w:szCs w:val="20"/>
              </w:rPr>
              <w:br w:type="textWrapping"/>
            </w:r>
            <w:r>
              <w:rPr>
                <w:rFonts w:eastAsia="等线"/>
                <w:kern w:val="0"/>
                <w:sz w:val="20"/>
                <w:szCs w:val="20"/>
              </w:rPr>
              <w:t>13</w:t>
            </w:r>
            <w:r>
              <w:rPr>
                <w:rFonts w:hint="eastAsia" w:ascii="宋体" w:hAnsi="宋体"/>
                <w:kern w:val="0"/>
                <w:sz w:val="20"/>
                <w:szCs w:val="20"/>
              </w:rPr>
              <w:t>、支持监控点统计，包括设备在线率、通道在线率、录像视频达标率、报警统计等；</w:t>
            </w:r>
            <w:r>
              <w:rPr>
                <w:rFonts w:hint="eastAsia" w:ascii="宋体" w:hAnsi="宋体"/>
                <w:kern w:val="0"/>
                <w:sz w:val="20"/>
                <w:szCs w:val="20"/>
              </w:rPr>
              <w:br w:type="textWrapping"/>
            </w:r>
            <w:r>
              <w:rPr>
                <w:rFonts w:eastAsia="等线"/>
                <w:kern w:val="0"/>
                <w:sz w:val="20"/>
                <w:szCs w:val="20"/>
              </w:rPr>
              <w:t>14</w:t>
            </w:r>
            <w:r>
              <w:rPr>
                <w:rFonts w:hint="eastAsia" w:ascii="宋体" w:hAnsi="宋体"/>
                <w:kern w:val="0"/>
                <w:sz w:val="20"/>
                <w:szCs w:val="20"/>
              </w:rPr>
              <w:t>、支持视频质量诊断方案和预案的显示、添加、修改、删除、批量删除，以及预案的启用、批量启用、禁用、批量禁用；（提供公安部权威机构出具的产品检测报告，并加盖生产厂商公章）</w:t>
            </w:r>
            <w:r>
              <w:rPr>
                <w:rFonts w:hint="eastAsia" w:ascii="宋体" w:hAnsi="宋体"/>
                <w:kern w:val="0"/>
                <w:sz w:val="20"/>
                <w:szCs w:val="20"/>
              </w:rPr>
              <w:br w:type="textWrapping"/>
            </w:r>
            <w:r>
              <w:rPr>
                <w:rFonts w:eastAsia="等线"/>
                <w:kern w:val="0"/>
                <w:sz w:val="20"/>
                <w:szCs w:val="20"/>
              </w:rPr>
              <w:t>15</w:t>
            </w:r>
            <w:r>
              <w:rPr>
                <w:rFonts w:hint="eastAsia" w:ascii="宋体" w:hAnsi="宋体"/>
                <w:kern w:val="0"/>
                <w:sz w:val="20"/>
                <w:szCs w:val="20"/>
              </w:rPr>
              <w:t>、具有</w:t>
            </w:r>
            <w:r>
              <w:rPr>
                <w:rFonts w:eastAsia="等线"/>
                <w:kern w:val="0"/>
                <w:sz w:val="20"/>
                <w:szCs w:val="20"/>
              </w:rPr>
              <w:t>GB/T 28181-2016</w:t>
            </w:r>
            <w:r>
              <w:rPr>
                <w:rFonts w:hint="eastAsia" w:ascii="宋体" w:hAnsi="宋体"/>
                <w:kern w:val="0"/>
                <w:sz w:val="20"/>
                <w:szCs w:val="20"/>
              </w:rPr>
              <w:t>检测报告</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2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非标卡口接入</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eastAsia="等线"/>
                <w:color w:val="000000"/>
                <w:kern w:val="0"/>
                <w:sz w:val="20"/>
                <w:szCs w:val="20"/>
              </w:rPr>
              <w:t>1</w:t>
            </w:r>
            <w:r>
              <w:rPr>
                <w:rFonts w:hint="eastAsia" w:ascii="宋体" w:hAnsi="宋体"/>
                <w:color w:val="000000"/>
                <w:kern w:val="0"/>
                <w:sz w:val="20"/>
                <w:szCs w:val="20"/>
              </w:rPr>
              <w:t>、支持现有</w:t>
            </w:r>
            <w:r>
              <w:rPr>
                <w:rFonts w:eastAsia="等线"/>
                <w:color w:val="000000"/>
                <w:kern w:val="0"/>
                <w:sz w:val="20"/>
                <w:szCs w:val="20"/>
              </w:rPr>
              <w:t>230</w:t>
            </w:r>
            <w:r>
              <w:rPr>
                <w:rFonts w:hint="eastAsia" w:ascii="宋体" w:hAnsi="宋体"/>
                <w:color w:val="000000"/>
                <w:kern w:val="0"/>
                <w:sz w:val="20"/>
                <w:szCs w:val="20"/>
              </w:rPr>
              <w:t>路非标卡口接入</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3624"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视图库系统</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kern w:val="0"/>
                <w:sz w:val="20"/>
                <w:szCs w:val="20"/>
              </w:rPr>
            </w:pPr>
            <w:r>
              <w:rPr>
                <w:rFonts w:eastAsia="等线"/>
                <w:kern w:val="0"/>
                <w:sz w:val="20"/>
                <w:szCs w:val="20"/>
              </w:rPr>
              <w:t>1</w:t>
            </w:r>
            <w:r>
              <w:rPr>
                <w:rFonts w:hint="eastAsia" w:ascii="宋体" w:hAnsi="宋体"/>
                <w:kern w:val="0"/>
                <w:sz w:val="20"/>
                <w:szCs w:val="20"/>
              </w:rPr>
              <w:t>、支持不少于</w:t>
            </w:r>
            <w:r>
              <w:rPr>
                <w:rFonts w:eastAsia="等线"/>
                <w:kern w:val="0"/>
                <w:sz w:val="20"/>
                <w:szCs w:val="20"/>
              </w:rPr>
              <w:t>2043</w:t>
            </w:r>
            <w:r>
              <w:rPr>
                <w:rFonts w:hint="eastAsia" w:ascii="宋体" w:hAnsi="宋体"/>
                <w:kern w:val="0"/>
                <w:sz w:val="20"/>
                <w:szCs w:val="20"/>
              </w:rPr>
              <w:t>路结构化相机、</w:t>
            </w:r>
            <w:r>
              <w:rPr>
                <w:rFonts w:eastAsia="等线"/>
                <w:kern w:val="0"/>
                <w:sz w:val="20"/>
                <w:szCs w:val="20"/>
              </w:rPr>
              <w:t>100</w:t>
            </w:r>
            <w:r>
              <w:rPr>
                <w:rFonts w:hint="eastAsia" w:ascii="宋体" w:hAnsi="宋体"/>
                <w:kern w:val="0"/>
                <w:sz w:val="20"/>
                <w:szCs w:val="20"/>
              </w:rPr>
              <w:t>路人脸相机、</w:t>
            </w:r>
            <w:r>
              <w:rPr>
                <w:rFonts w:eastAsia="等线"/>
                <w:kern w:val="0"/>
                <w:sz w:val="20"/>
                <w:szCs w:val="20"/>
              </w:rPr>
              <w:t>110</w:t>
            </w:r>
            <w:r>
              <w:rPr>
                <w:rFonts w:hint="eastAsia" w:ascii="宋体" w:hAnsi="宋体"/>
                <w:kern w:val="0"/>
                <w:sz w:val="20"/>
                <w:szCs w:val="20"/>
              </w:rPr>
              <w:t>路电警卡口、原有</w:t>
            </w:r>
            <w:r>
              <w:rPr>
                <w:rFonts w:eastAsia="等线"/>
                <w:kern w:val="0"/>
                <w:sz w:val="20"/>
                <w:szCs w:val="20"/>
              </w:rPr>
              <w:t>230</w:t>
            </w:r>
            <w:r>
              <w:rPr>
                <w:rFonts w:hint="eastAsia" w:ascii="宋体" w:hAnsi="宋体"/>
                <w:kern w:val="0"/>
                <w:sz w:val="20"/>
                <w:szCs w:val="20"/>
              </w:rPr>
              <w:t>路非标车辆卡口转码后进行解析图片流接入转发，并发大小图、</w:t>
            </w:r>
            <w:r>
              <w:rPr>
                <w:rFonts w:eastAsia="等线"/>
                <w:kern w:val="0"/>
                <w:sz w:val="20"/>
                <w:szCs w:val="20"/>
              </w:rPr>
              <w:t>URL</w:t>
            </w:r>
            <w:r>
              <w:rPr>
                <w:rFonts w:hint="eastAsia" w:ascii="宋体" w:hAnsi="宋体"/>
                <w:kern w:val="0"/>
                <w:sz w:val="20"/>
                <w:szCs w:val="20"/>
              </w:rPr>
              <w:t>不低于</w:t>
            </w:r>
            <w:r>
              <w:rPr>
                <w:rFonts w:eastAsia="等线"/>
                <w:kern w:val="0"/>
                <w:sz w:val="20"/>
                <w:szCs w:val="20"/>
              </w:rPr>
              <w:t>2500</w:t>
            </w:r>
            <w:r>
              <w:rPr>
                <w:rFonts w:hint="eastAsia" w:ascii="宋体" w:hAnsi="宋体"/>
                <w:kern w:val="0"/>
                <w:sz w:val="20"/>
                <w:szCs w:val="20"/>
              </w:rPr>
              <w:t>条</w:t>
            </w:r>
            <w:r>
              <w:rPr>
                <w:rFonts w:eastAsia="等线"/>
                <w:kern w:val="0"/>
                <w:sz w:val="20"/>
                <w:szCs w:val="20"/>
              </w:rPr>
              <w:t>/</w:t>
            </w:r>
            <w:r>
              <w:rPr>
                <w:rFonts w:hint="eastAsia" w:ascii="宋体" w:hAnsi="宋体"/>
                <w:kern w:val="0"/>
                <w:sz w:val="20"/>
                <w:szCs w:val="20"/>
              </w:rPr>
              <w:t>秒；</w:t>
            </w:r>
            <w:r>
              <w:rPr>
                <w:rFonts w:hint="eastAsia" w:ascii="宋体" w:hAnsi="宋体"/>
                <w:kern w:val="0"/>
                <w:sz w:val="20"/>
                <w:szCs w:val="20"/>
              </w:rPr>
              <w:br w:type="textWrapping"/>
            </w:r>
            <w:r>
              <w:rPr>
                <w:rFonts w:eastAsia="等线"/>
                <w:kern w:val="0"/>
                <w:sz w:val="20"/>
                <w:szCs w:val="20"/>
              </w:rPr>
              <w:t>2</w:t>
            </w:r>
            <w:r>
              <w:rPr>
                <w:rFonts w:hint="eastAsia" w:ascii="宋体" w:hAnsi="宋体"/>
                <w:kern w:val="0"/>
                <w:sz w:val="20"/>
                <w:szCs w:val="20"/>
              </w:rPr>
              <w:t>、支持将接收的小图和</w:t>
            </w:r>
            <w:r>
              <w:rPr>
                <w:rFonts w:eastAsia="等线"/>
                <w:kern w:val="0"/>
                <w:sz w:val="20"/>
                <w:szCs w:val="20"/>
              </w:rPr>
              <w:t>URL</w:t>
            </w:r>
            <w:r>
              <w:rPr>
                <w:rFonts w:hint="eastAsia" w:ascii="宋体" w:hAnsi="宋体"/>
                <w:kern w:val="0"/>
                <w:sz w:val="20"/>
                <w:szCs w:val="20"/>
              </w:rPr>
              <w:t>推送至鄂尔多斯市公安局视图库；</w:t>
            </w:r>
            <w:r>
              <w:rPr>
                <w:rFonts w:hint="eastAsia" w:ascii="宋体" w:hAnsi="宋体"/>
                <w:kern w:val="0"/>
                <w:sz w:val="20"/>
                <w:szCs w:val="20"/>
              </w:rPr>
              <w:br w:type="textWrapping"/>
            </w:r>
            <w:r>
              <w:rPr>
                <w:rFonts w:eastAsia="等线"/>
                <w:kern w:val="0"/>
                <w:sz w:val="20"/>
                <w:szCs w:val="20"/>
              </w:rPr>
              <w:t>3</w:t>
            </w:r>
            <w:r>
              <w:rPr>
                <w:rFonts w:hint="eastAsia" w:ascii="宋体" w:hAnsi="宋体"/>
                <w:kern w:val="0"/>
                <w:sz w:val="20"/>
                <w:szCs w:val="20"/>
              </w:rPr>
              <w:t>、符合</w:t>
            </w:r>
            <w:r>
              <w:rPr>
                <w:rFonts w:eastAsia="等线"/>
                <w:kern w:val="0"/>
                <w:sz w:val="20"/>
                <w:szCs w:val="20"/>
              </w:rPr>
              <w:t xml:space="preserve"> GA/T 1400.3-2017</w:t>
            </w:r>
            <w:r>
              <w:rPr>
                <w:rFonts w:hint="eastAsia" w:ascii="宋体" w:hAnsi="宋体"/>
                <w:kern w:val="0"/>
                <w:sz w:val="20"/>
                <w:szCs w:val="20"/>
              </w:rPr>
              <w:t>公安视频图像信息应用系统</w:t>
            </w:r>
            <w:r>
              <w:rPr>
                <w:rFonts w:eastAsia="等线"/>
                <w:kern w:val="0"/>
                <w:sz w:val="20"/>
                <w:szCs w:val="20"/>
              </w:rPr>
              <w:t xml:space="preserve"> </w:t>
            </w:r>
            <w:r>
              <w:rPr>
                <w:rFonts w:hint="eastAsia" w:ascii="宋体" w:hAnsi="宋体"/>
                <w:kern w:val="0"/>
                <w:sz w:val="20"/>
                <w:szCs w:val="20"/>
              </w:rPr>
              <w:t>第</w:t>
            </w:r>
            <w:r>
              <w:rPr>
                <w:rFonts w:eastAsia="等线"/>
                <w:kern w:val="0"/>
                <w:sz w:val="20"/>
                <w:szCs w:val="20"/>
              </w:rPr>
              <w:t>3</w:t>
            </w:r>
            <w:r>
              <w:rPr>
                <w:rFonts w:hint="eastAsia" w:ascii="宋体" w:hAnsi="宋体"/>
                <w:kern w:val="0"/>
                <w:sz w:val="20"/>
                <w:szCs w:val="20"/>
              </w:rPr>
              <w:t>部分：数据库技术要求；</w:t>
            </w:r>
            <w:r>
              <w:rPr>
                <w:rFonts w:hint="eastAsia" w:ascii="宋体" w:hAnsi="宋体"/>
                <w:kern w:val="0"/>
                <w:sz w:val="20"/>
                <w:szCs w:val="20"/>
              </w:rPr>
              <w:br w:type="textWrapping"/>
            </w:r>
            <w:r>
              <w:rPr>
                <w:rFonts w:eastAsia="等线"/>
                <w:kern w:val="0"/>
                <w:sz w:val="20"/>
                <w:szCs w:val="20"/>
              </w:rPr>
              <w:t>4</w:t>
            </w:r>
            <w:r>
              <w:rPr>
                <w:rFonts w:hint="eastAsia" w:ascii="宋体" w:hAnsi="宋体"/>
                <w:kern w:val="0"/>
                <w:sz w:val="20"/>
                <w:szCs w:val="20"/>
              </w:rPr>
              <w:t>、符合</w:t>
            </w:r>
            <w:r>
              <w:rPr>
                <w:rFonts w:eastAsia="等线"/>
                <w:kern w:val="0"/>
                <w:sz w:val="20"/>
                <w:szCs w:val="20"/>
              </w:rPr>
              <w:t xml:space="preserve"> GA/T 1400.4-2017</w:t>
            </w:r>
            <w:r>
              <w:rPr>
                <w:rFonts w:hint="eastAsia" w:ascii="宋体" w:hAnsi="宋体"/>
                <w:kern w:val="0"/>
                <w:sz w:val="20"/>
                <w:szCs w:val="20"/>
              </w:rPr>
              <w:t>公安视频图像信息应用系统</w:t>
            </w:r>
            <w:r>
              <w:rPr>
                <w:rFonts w:eastAsia="等线"/>
                <w:kern w:val="0"/>
                <w:sz w:val="20"/>
                <w:szCs w:val="20"/>
              </w:rPr>
              <w:t xml:space="preserve"> </w:t>
            </w:r>
            <w:r>
              <w:rPr>
                <w:rFonts w:hint="eastAsia" w:ascii="宋体" w:hAnsi="宋体"/>
                <w:kern w:val="0"/>
                <w:sz w:val="20"/>
                <w:szCs w:val="20"/>
              </w:rPr>
              <w:t>第</w:t>
            </w:r>
            <w:r>
              <w:rPr>
                <w:rFonts w:eastAsia="等线"/>
                <w:kern w:val="0"/>
                <w:sz w:val="20"/>
                <w:szCs w:val="20"/>
              </w:rPr>
              <w:t>4</w:t>
            </w:r>
            <w:r>
              <w:rPr>
                <w:rFonts w:hint="eastAsia" w:ascii="宋体" w:hAnsi="宋体"/>
                <w:kern w:val="0"/>
                <w:sz w:val="20"/>
                <w:szCs w:val="20"/>
              </w:rPr>
              <w:t>部分：接口协议要求；</w:t>
            </w:r>
            <w:r>
              <w:rPr>
                <w:rFonts w:hint="eastAsia" w:ascii="宋体" w:hAnsi="宋体"/>
                <w:kern w:val="0"/>
                <w:sz w:val="20"/>
                <w:szCs w:val="20"/>
              </w:rPr>
              <w:br w:type="textWrapping"/>
            </w:r>
            <w:r>
              <w:rPr>
                <w:rFonts w:eastAsia="等线"/>
                <w:kern w:val="0"/>
                <w:sz w:val="20"/>
                <w:szCs w:val="20"/>
              </w:rPr>
              <w:t>5</w:t>
            </w:r>
            <w:r>
              <w:rPr>
                <w:rFonts w:hint="eastAsia" w:ascii="宋体" w:hAnsi="宋体"/>
                <w:kern w:val="0"/>
                <w:sz w:val="20"/>
                <w:szCs w:val="20"/>
              </w:rPr>
              <w:t>、支持人脸、车辆、人员、终端特征信息数据接入；</w:t>
            </w:r>
            <w:r>
              <w:rPr>
                <w:rFonts w:hint="eastAsia" w:ascii="宋体" w:hAnsi="宋体"/>
                <w:kern w:val="0"/>
                <w:sz w:val="20"/>
                <w:szCs w:val="20"/>
              </w:rPr>
              <w:br w:type="textWrapping"/>
            </w:r>
            <w:r>
              <w:rPr>
                <w:rFonts w:eastAsia="等线"/>
                <w:kern w:val="0"/>
                <w:sz w:val="20"/>
                <w:szCs w:val="20"/>
              </w:rPr>
              <w:t>6</w:t>
            </w:r>
            <w:r>
              <w:rPr>
                <w:rFonts w:hint="eastAsia" w:ascii="宋体" w:hAnsi="宋体"/>
                <w:kern w:val="0"/>
                <w:sz w:val="20"/>
                <w:szCs w:val="20"/>
              </w:rPr>
              <w:t>、支持各类结构化、特征数据留存期设置；（提供公安部权威机构出具的产品检测报告，并加盖生产厂商公章）</w:t>
            </w:r>
            <w:r>
              <w:rPr>
                <w:rFonts w:hint="eastAsia" w:ascii="宋体" w:hAnsi="宋体"/>
                <w:kern w:val="0"/>
                <w:sz w:val="20"/>
                <w:szCs w:val="20"/>
              </w:rPr>
              <w:br w:type="textWrapping"/>
            </w:r>
            <w:r>
              <w:rPr>
                <w:rFonts w:eastAsia="等线"/>
                <w:kern w:val="0"/>
                <w:sz w:val="20"/>
                <w:szCs w:val="20"/>
              </w:rPr>
              <w:t>7</w:t>
            </w:r>
            <w:r>
              <w:rPr>
                <w:rFonts w:hint="eastAsia" w:ascii="宋体" w:hAnsi="宋体"/>
                <w:kern w:val="0"/>
                <w:sz w:val="20"/>
                <w:szCs w:val="20"/>
              </w:rPr>
              <w:t>、提供视图库数据的快速检索引擎，支持基于人脸属性信息、人员结构化信息、车辆结构化信息、非机动车结构化信息等各种属性和字段进行全文检索；</w:t>
            </w:r>
            <w:r>
              <w:rPr>
                <w:rFonts w:hint="eastAsia" w:ascii="宋体" w:hAnsi="宋体"/>
                <w:kern w:val="0"/>
                <w:sz w:val="20"/>
                <w:szCs w:val="20"/>
              </w:rPr>
              <w:br w:type="textWrapping"/>
            </w:r>
            <w:r>
              <w:rPr>
                <w:rFonts w:eastAsia="等线"/>
                <w:kern w:val="0"/>
                <w:sz w:val="20"/>
                <w:szCs w:val="20"/>
              </w:rPr>
              <w:t>8.</w:t>
            </w:r>
            <w:r>
              <w:rPr>
                <w:rFonts w:hint="eastAsia" w:ascii="宋体" w:hAnsi="宋体"/>
                <w:kern w:val="0"/>
                <w:sz w:val="20"/>
                <w:szCs w:val="20"/>
              </w:rPr>
              <w:t>数据的标准格式化存储以及人、车、物等不同对象的分类存储。</w:t>
            </w:r>
            <w:r>
              <w:rPr>
                <w:rFonts w:hint="eastAsia" w:ascii="宋体" w:hAnsi="宋体"/>
                <w:kern w:val="0"/>
                <w:sz w:val="20"/>
                <w:szCs w:val="20"/>
              </w:rPr>
              <w:br w:type="textWrapping"/>
            </w:r>
            <w:r>
              <w:rPr>
                <w:rFonts w:eastAsia="等线"/>
                <w:kern w:val="0"/>
                <w:sz w:val="20"/>
                <w:szCs w:val="20"/>
              </w:rPr>
              <w:t>9</w:t>
            </w:r>
            <w:r>
              <w:rPr>
                <w:rFonts w:hint="eastAsia" w:ascii="宋体" w:hAnsi="宋体"/>
                <w:kern w:val="0"/>
                <w:sz w:val="20"/>
                <w:szCs w:val="20"/>
              </w:rPr>
              <w:t>、支持在</w:t>
            </w:r>
            <w:r>
              <w:rPr>
                <w:rFonts w:eastAsia="等线"/>
                <w:kern w:val="0"/>
                <w:sz w:val="20"/>
                <w:szCs w:val="20"/>
              </w:rPr>
              <w:t>50</w:t>
            </w:r>
            <w:r>
              <w:rPr>
                <w:rFonts w:hint="eastAsia" w:ascii="宋体" w:hAnsi="宋体"/>
                <w:kern w:val="0"/>
                <w:sz w:val="20"/>
                <w:szCs w:val="20"/>
              </w:rPr>
              <w:t>亿数据量下按人员结构化信息进行检索的平均检索时间≤</w:t>
            </w:r>
            <w:r>
              <w:rPr>
                <w:rFonts w:eastAsia="等线"/>
                <w:kern w:val="0"/>
                <w:sz w:val="20"/>
                <w:szCs w:val="20"/>
              </w:rPr>
              <w:t>3</w:t>
            </w:r>
            <w:r>
              <w:rPr>
                <w:rFonts w:hint="eastAsia" w:ascii="宋体" w:hAnsi="宋体"/>
                <w:kern w:val="0"/>
                <w:sz w:val="20"/>
                <w:szCs w:val="20"/>
              </w:rPr>
              <w:t>秒；（提供公安部权威机构出具的产品检测报告，并加盖生产厂商公章）</w:t>
            </w:r>
            <w:r>
              <w:rPr>
                <w:rFonts w:hint="eastAsia" w:ascii="宋体" w:hAnsi="宋体"/>
                <w:kern w:val="0"/>
                <w:sz w:val="20"/>
                <w:szCs w:val="20"/>
              </w:rPr>
              <w:br w:type="textWrapping"/>
            </w:r>
            <w:r>
              <w:rPr>
                <w:rFonts w:eastAsia="等线"/>
                <w:kern w:val="0"/>
                <w:sz w:val="20"/>
                <w:szCs w:val="20"/>
              </w:rPr>
              <w:t>10</w:t>
            </w:r>
            <w:r>
              <w:rPr>
                <w:rFonts w:hint="eastAsia" w:ascii="宋体" w:hAnsi="宋体"/>
                <w:kern w:val="0"/>
                <w:sz w:val="20"/>
                <w:szCs w:val="20"/>
              </w:rPr>
              <w:t>、支持采集数据（含大图加小图）存储不低于</w:t>
            </w:r>
            <w:r>
              <w:rPr>
                <w:rFonts w:eastAsia="等线"/>
                <w:kern w:val="0"/>
                <w:sz w:val="20"/>
                <w:szCs w:val="20"/>
              </w:rPr>
              <w:t>365</w:t>
            </w:r>
            <w:r>
              <w:rPr>
                <w:rFonts w:hint="eastAsia" w:ascii="宋体" w:hAnsi="宋体"/>
                <w:kern w:val="0"/>
                <w:sz w:val="20"/>
                <w:szCs w:val="20"/>
              </w:rPr>
              <w:t>天，万兆光口网卡视图库服务器。</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5280"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数据库服务</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eastAsia="等线"/>
                <w:color w:val="000000"/>
                <w:kern w:val="0"/>
                <w:sz w:val="20"/>
                <w:szCs w:val="20"/>
              </w:rPr>
              <w:t>1.采用无共享分布式分析型数据库，无专门的管理（主）节点，所有节点完全对等，共同参与数据加载和处理。</w:t>
            </w:r>
            <w:r>
              <w:rPr>
                <w:rFonts w:eastAsia="等线"/>
                <w:color w:val="000000"/>
                <w:kern w:val="0"/>
                <w:sz w:val="20"/>
                <w:szCs w:val="20"/>
              </w:rPr>
              <w:br w:type="textWrapping"/>
            </w:r>
            <w:r>
              <w:rPr>
                <w:rFonts w:eastAsia="等线"/>
                <w:color w:val="000000"/>
                <w:kern w:val="0"/>
                <w:sz w:val="20"/>
                <w:szCs w:val="20"/>
              </w:rPr>
              <w:t>2.支持列式存储与计算。大数据分析性能的关键消除I/O开销瓶颈，列式存储和计算（列式引擎）相结合，提供包括增加、删除、修改操作在内的完整功能，支持大数据条件下支持高性能分析查询和和即席查询；</w:t>
            </w:r>
            <w:r>
              <w:rPr>
                <w:rFonts w:eastAsia="等线"/>
                <w:color w:val="000000"/>
                <w:kern w:val="0"/>
                <w:sz w:val="20"/>
                <w:szCs w:val="20"/>
              </w:rPr>
              <w:br w:type="textWrapping"/>
            </w:r>
            <w:r>
              <w:rPr>
                <w:rFonts w:eastAsia="等线"/>
                <w:color w:val="000000"/>
                <w:kern w:val="0"/>
                <w:sz w:val="20"/>
                <w:szCs w:val="20"/>
              </w:rPr>
              <w:t>3.支持完成海量业务系统数据存储，主要存储前端设备抓拍大小图Url地址，图片抓拍时间，抓拍图片结构化属性等；</w:t>
            </w:r>
            <w:r>
              <w:rPr>
                <w:rFonts w:eastAsia="等线"/>
                <w:color w:val="000000"/>
                <w:kern w:val="0"/>
                <w:sz w:val="20"/>
                <w:szCs w:val="20"/>
              </w:rPr>
              <w:br w:type="textWrapping"/>
            </w:r>
            <w:r>
              <w:rPr>
                <w:rFonts w:eastAsia="等线"/>
                <w:color w:val="000000"/>
                <w:kern w:val="0"/>
                <w:sz w:val="20"/>
                <w:szCs w:val="20"/>
              </w:rPr>
              <w:t>4.支持在线扩容和缩容，且在线扩容过程中无需中断业务；</w:t>
            </w:r>
            <w:r>
              <w:rPr>
                <w:rFonts w:eastAsia="等线"/>
                <w:color w:val="000000"/>
                <w:kern w:val="0"/>
                <w:sz w:val="20"/>
                <w:szCs w:val="20"/>
              </w:rPr>
              <w:br w:type="textWrapping"/>
            </w:r>
            <w:r>
              <w:rPr>
                <w:rFonts w:eastAsia="等线"/>
                <w:color w:val="000000"/>
                <w:kern w:val="0"/>
                <w:sz w:val="20"/>
                <w:szCs w:val="20"/>
              </w:rPr>
              <w:t>5.支持存储与计算分离。支持S3\NAS\HDFS等多种存储方式；冷热数据可以分开放置；根据业务部门隔离查询集群；</w:t>
            </w:r>
            <w:r>
              <w:rPr>
                <w:rFonts w:eastAsia="等线"/>
                <w:color w:val="000000"/>
                <w:kern w:val="0"/>
                <w:sz w:val="20"/>
                <w:szCs w:val="20"/>
              </w:rPr>
              <w:br w:type="textWrapping"/>
            </w:r>
            <w:r>
              <w:rPr>
                <w:rFonts w:eastAsia="等线"/>
                <w:color w:val="000000"/>
                <w:kern w:val="0"/>
                <w:sz w:val="20"/>
                <w:szCs w:val="20"/>
              </w:rPr>
              <w:t>6.支持对任务的并发度、优先级、以及对CPU/内存等资源的灵活调度和隔离，避免不同类型任务相关影响；</w:t>
            </w:r>
            <w:r>
              <w:rPr>
                <w:rFonts w:eastAsia="等线"/>
                <w:color w:val="000000"/>
                <w:kern w:val="0"/>
                <w:sz w:val="20"/>
                <w:szCs w:val="20"/>
              </w:rPr>
              <w:br w:type="textWrapping"/>
            </w:r>
            <w:r>
              <w:rPr>
                <w:rFonts w:eastAsia="等线"/>
                <w:color w:val="000000"/>
                <w:kern w:val="0"/>
                <w:sz w:val="20"/>
                <w:szCs w:val="20"/>
              </w:rPr>
              <w:t>7.支持数据在库内三副本存储，提高可靠性；</w:t>
            </w:r>
            <w:r>
              <w:rPr>
                <w:rFonts w:eastAsia="等线"/>
                <w:color w:val="000000"/>
                <w:kern w:val="0"/>
                <w:sz w:val="20"/>
                <w:szCs w:val="20"/>
              </w:rPr>
              <w:br w:type="textWrapping"/>
            </w:r>
            <w:r>
              <w:rPr>
                <w:rFonts w:eastAsia="等线"/>
                <w:color w:val="000000"/>
                <w:kern w:val="0"/>
                <w:sz w:val="20"/>
                <w:szCs w:val="20"/>
              </w:rPr>
              <w:t>8.提供基于SQL的直接分析查询JSON格式的海量半结构化数据能力；</w:t>
            </w:r>
            <w:r>
              <w:rPr>
                <w:rFonts w:eastAsia="等线"/>
                <w:color w:val="000000"/>
                <w:kern w:val="0"/>
                <w:sz w:val="20"/>
                <w:szCs w:val="20"/>
              </w:rPr>
              <w:br w:type="textWrapping"/>
            </w:r>
            <w:r>
              <w:rPr>
                <w:rFonts w:eastAsia="等线"/>
                <w:color w:val="000000"/>
                <w:kern w:val="0"/>
                <w:sz w:val="20"/>
                <w:szCs w:val="20"/>
              </w:rPr>
              <w:t>9.支持混合查询负载。针对不同的业务场景，例如简单查询，复杂查询，数据加载，通过负载均衡，可以在不同节点上并发执行这些任务；支持对每个任务进行资源隔离；</w:t>
            </w:r>
            <w:r>
              <w:rPr>
                <w:rFonts w:eastAsia="等线"/>
                <w:color w:val="000000"/>
                <w:kern w:val="0"/>
                <w:sz w:val="20"/>
                <w:szCs w:val="20"/>
              </w:rPr>
              <w:br w:type="textWrapping"/>
            </w:r>
            <w:r>
              <w:rPr>
                <w:rFonts w:eastAsia="等线"/>
                <w:color w:val="000000"/>
                <w:kern w:val="0"/>
                <w:sz w:val="20"/>
                <w:szCs w:val="20"/>
              </w:rPr>
              <w:t>10.支持查询结果直接写到kafka大规模并行消息队列系统，快速分享分析结果给其他系统；</w:t>
            </w:r>
            <w:r>
              <w:rPr>
                <w:rFonts w:eastAsia="等线"/>
                <w:color w:val="000000"/>
                <w:kern w:val="0"/>
                <w:sz w:val="20"/>
                <w:szCs w:val="20"/>
              </w:rPr>
              <w:br w:type="textWrapping"/>
            </w:r>
            <w:r>
              <w:rPr>
                <w:rFonts w:eastAsia="等线"/>
                <w:color w:val="000000"/>
                <w:kern w:val="0"/>
                <w:sz w:val="20"/>
                <w:szCs w:val="20"/>
              </w:rPr>
              <w:t>11.支持快速装载kafka大规模并行消息队列系统中的海量实时数据，同时在相同的表中进行高性能的分析和即席查询；</w:t>
            </w:r>
            <w:r>
              <w:rPr>
                <w:rFonts w:eastAsia="等线"/>
                <w:color w:val="000000"/>
                <w:kern w:val="0"/>
                <w:sz w:val="20"/>
                <w:szCs w:val="20"/>
              </w:rPr>
              <w:br w:type="textWrapping"/>
            </w:r>
            <w:r>
              <w:rPr>
                <w:rFonts w:eastAsia="等线"/>
                <w:color w:val="000000"/>
                <w:kern w:val="0"/>
                <w:sz w:val="20"/>
                <w:szCs w:val="20"/>
              </w:rPr>
              <w:t>12.单台服务器的数据库数据存储量不低于50亿条；</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573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解析服务</w:t>
            </w:r>
          </w:p>
        </w:tc>
        <w:tc>
          <w:tcPr>
            <w:tcW w:w="5470" w:type="dxa"/>
            <w:tcBorders>
              <w:top w:val="nil"/>
              <w:left w:val="nil"/>
              <w:bottom w:val="single" w:color="auto" w:sz="4" w:space="0"/>
              <w:right w:val="single" w:color="auto" w:sz="4" w:space="0"/>
            </w:tcBorders>
            <w:shd w:val="clear" w:color="auto" w:fill="auto"/>
            <w:vAlign w:val="bottom"/>
          </w:tcPr>
          <w:p>
            <w:pPr>
              <w:widowControl/>
              <w:spacing w:line="240" w:lineRule="auto"/>
              <w:ind w:firstLine="0" w:firstLineChars="0"/>
              <w:rPr>
                <w:rFonts w:ascii="宋体" w:hAnsi="宋体" w:cs="宋体"/>
                <w:kern w:val="0"/>
                <w:sz w:val="20"/>
                <w:szCs w:val="20"/>
              </w:rPr>
            </w:pPr>
            <w:r>
              <w:rPr>
                <w:rFonts w:hint="eastAsia" w:ascii="宋体" w:hAnsi="宋体" w:cs="宋体"/>
                <w:kern w:val="0"/>
                <w:sz w:val="20"/>
                <w:szCs w:val="20"/>
              </w:rPr>
              <w:t>1、支持不少于2500路图片流实时解析，支持不少于200路400万像素视频流（可对新旧前端）实时解析；</w:t>
            </w:r>
            <w:r>
              <w:rPr>
                <w:rFonts w:hint="eastAsia" w:ascii="宋体" w:hAnsi="宋体" w:cs="宋体"/>
                <w:kern w:val="0"/>
                <w:sz w:val="20"/>
                <w:szCs w:val="20"/>
              </w:rPr>
              <w:br w:type="textWrapping"/>
            </w:r>
            <w:r>
              <w:rPr>
                <w:rFonts w:hint="eastAsia" w:ascii="宋体" w:hAnsi="宋体" w:cs="宋体"/>
                <w:kern w:val="0"/>
                <w:sz w:val="20"/>
                <w:szCs w:val="20"/>
              </w:rPr>
              <w:t>2、支持人脸图片流解析并发不低于710张/秒，解析能力可扩容；</w:t>
            </w:r>
            <w:r>
              <w:rPr>
                <w:rFonts w:hint="eastAsia" w:ascii="宋体" w:hAnsi="宋体" w:cs="宋体"/>
                <w:kern w:val="0"/>
                <w:sz w:val="20"/>
                <w:szCs w:val="20"/>
              </w:rPr>
              <w:br w:type="textWrapping"/>
            </w:r>
            <w:r>
              <w:rPr>
                <w:rFonts w:hint="eastAsia" w:ascii="宋体" w:hAnsi="宋体" w:cs="宋体"/>
                <w:kern w:val="0"/>
                <w:sz w:val="20"/>
                <w:szCs w:val="20"/>
              </w:rPr>
              <w:t>3、支持人体、机动车、非机动车图片流解析并发不低于1500张/秒，解析能力可扩容；</w:t>
            </w:r>
            <w:r>
              <w:rPr>
                <w:rFonts w:hint="eastAsia" w:ascii="宋体" w:hAnsi="宋体" w:cs="宋体"/>
                <w:kern w:val="0"/>
                <w:sz w:val="20"/>
                <w:szCs w:val="20"/>
              </w:rPr>
              <w:br w:type="textWrapping"/>
            </w:r>
            <w:r>
              <w:rPr>
                <w:rFonts w:hint="eastAsia" w:ascii="宋体" w:hAnsi="宋体" w:cs="宋体"/>
                <w:kern w:val="0"/>
                <w:sz w:val="20"/>
                <w:szCs w:val="20"/>
              </w:rPr>
              <w:t>4、支持识别人脸年龄段（包括儿童、少年、青年、中年、老年）、是否戴墨镜、是否戴口罩、头发长度（包括长发、短发）等属性；</w:t>
            </w:r>
            <w:r>
              <w:rPr>
                <w:rFonts w:hint="eastAsia" w:ascii="宋体" w:hAnsi="宋体" w:cs="宋体"/>
                <w:kern w:val="0"/>
                <w:sz w:val="20"/>
                <w:szCs w:val="20"/>
              </w:rPr>
              <w:br w:type="textWrapping"/>
            </w:r>
            <w:r>
              <w:rPr>
                <w:rFonts w:hint="eastAsia" w:ascii="宋体" w:hAnsi="宋体" w:cs="宋体"/>
                <w:kern w:val="0"/>
                <w:sz w:val="20"/>
                <w:szCs w:val="20"/>
              </w:rPr>
              <w:t>5、支持对同一静态画面内人脸检测数量不小于150个；</w:t>
            </w:r>
            <w:r>
              <w:rPr>
                <w:rFonts w:hint="eastAsia" w:ascii="宋体" w:hAnsi="宋体" w:cs="宋体"/>
                <w:kern w:val="0"/>
                <w:sz w:val="20"/>
                <w:szCs w:val="20"/>
              </w:rPr>
              <w:br w:type="textWrapping"/>
            </w:r>
            <w:r>
              <w:rPr>
                <w:rFonts w:hint="eastAsia" w:ascii="宋体" w:hAnsi="宋体" w:cs="宋体"/>
                <w:kern w:val="0"/>
                <w:sz w:val="20"/>
                <w:szCs w:val="20"/>
              </w:rPr>
              <w:t>6、支持行人性别、年龄段、头发长度、是否戴帽子、包款式、上衣长度、裤子长度、上衣款式、裤子款式、上衣颜色、裤子颜色、上衣纹理、是否有手拎物、是否打伞、是否抱小孩、是否骑行等属性；</w:t>
            </w:r>
            <w:r>
              <w:rPr>
                <w:rFonts w:hint="eastAsia" w:ascii="宋体" w:hAnsi="宋体" w:cs="宋体"/>
                <w:kern w:val="0"/>
                <w:sz w:val="20"/>
                <w:szCs w:val="20"/>
              </w:rPr>
              <w:br w:type="textWrapping"/>
            </w:r>
            <w:r>
              <w:rPr>
                <w:rFonts w:hint="eastAsia" w:ascii="宋体" w:hAnsi="宋体" w:cs="宋体"/>
                <w:kern w:val="0"/>
                <w:sz w:val="20"/>
                <w:szCs w:val="20"/>
              </w:rPr>
              <w:t>7、支持识别非机动车种类：自行车、摩托车、三轮车等；是否载人；是否有雨棚；非机动车颜色；是否戴头盔、车牌等属性；</w:t>
            </w:r>
            <w:r>
              <w:rPr>
                <w:rFonts w:hint="eastAsia" w:ascii="宋体" w:hAnsi="宋体" w:cs="宋体"/>
                <w:kern w:val="0"/>
                <w:sz w:val="20"/>
                <w:szCs w:val="20"/>
              </w:rPr>
              <w:br w:type="textWrapping"/>
            </w:r>
            <w:r>
              <w:rPr>
                <w:rFonts w:hint="eastAsia" w:ascii="宋体" w:hAnsi="宋体" w:cs="宋体"/>
                <w:kern w:val="0"/>
                <w:sz w:val="20"/>
                <w:szCs w:val="20"/>
              </w:rPr>
              <w:t>8、支持车头车尾均识别不少于12种特殊车型，包括：大货车、中货车、小货车、大客车、中客车、轿车、面包车、suv、 mpv、皮卡车、微型车、三轮车；</w:t>
            </w:r>
            <w:r>
              <w:rPr>
                <w:rFonts w:hint="eastAsia" w:ascii="宋体" w:hAnsi="宋体" w:cs="宋体"/>
                <w:kern w:val="0"/>
                <w:sz w:val="20"/>
                <w:szCs w:val="20"/>
              </w:rPr>
              <w:br w:type="textWrapping"/>
            </w:r>
            <w:r>
              <w:rPr>
                <w:rFonts w:hint="eastAsia" w:ascii="宋体" w:hAnsi="宋体" w:cs="宋体"/>
                <w:kern w:val="0"/>
                <w:sz w:val="20"/>
                <w:szCs w:val="20"/>
              </w:rPr>
              <w:t>9、支持不同车身颜色识别能力，至少包含黑、白、灰、红、蓝、黄、橙、棕、绿、紫、青、粉、银；</w:t>
            </w:r>
            <w:r>
              <w:rPr>
                <w:rFonts w:hint="eastAsia" w:ascii="宋体" w:hAnsi="宋体" w:cs="宋体"/>
                <w:kern w:val="0"/>
                <w:sz w:val="20"/>
                <w:szCs w:val="20"/>
              </w:rPr>
              <w:br w:type="textWrapping"/>
            </w:r>
            <w:r>
              <w:rPr>
                <w:rFonts w:hint="eastAsia" w:ascii="宋体" w:hAnsi="宋体" w:cs="宋体"/>
                <w:kern w:val="0"/>
                <w:sz w:val="20"/>
                <w:szCs w:val="20"/>
              </w:rPr>
              <w:t>10、白天机动车、非机动车、人体三类活动目标类型识别率≥99%；（提供公安部权威机构出具的产品检测报告，并加盖生产厂商公章）</w:t>
            </w:r>
            <w:r>
              <w:rPr>
                <w:rFonts w:hint="eastAsia" w:ascii="宋体" w:hAnsi="宋体" w:cs="宋体"/>
                <w:kern w:val="0"/>
                <w:sz w:val="20"/>
                <w:szCs w:val="20"/>
              </w:rPr>
              <w:br w:type="textWrapping"/>
            </w:r>
            <w:r>
              <w:rPr>
                <w:rFonts w:hint="eastAsia" w:ascii="宋体" w:hAnsi="宋体" w:cs="宋体"/>
                <w:kern w:val="0"/>
                <w:sz w:val="20"/>
                <w:szCs w:val="20"/>
              </w:rPr>
              <w:t>11、支持主、副驾驶未系安全带检测识别，识别准确率不低于95%；</w:t>
            </w:r>
            <w:r>
              <w:rPr>
                <w:rFonts w:hint="eastAsia" w:ascii="宋体" w:hAnsi="宋体" w:cs="宋体"/>
                <w:kern w:val="0"/>
                <w:sz w:val="20"/>
                <w:szCs w:val="20"/>
              </w:rPr>
              <w:br w:type="textWrapping"/>
            </w:r>
            <w:r>
              <w:rPr>
                <w:rFonts w:hint="eastAsia" w:ascii="宋体" w:hAnsi="宋体" w:cs="宋体"/>
                <w:kern w:val="0"/>
                <w:sz w:val="20"/>
                <w:szCs w:val="20"/>
              </w:rPr>
              <w:t>12、支持多分辨率混合调度、亲和性调度、智能调度、负载均衡调度、定时调度等多种任务调度策略；（提供公安部权威机构出具的产品检测报告，并加盖生产厂商公章）</w:t>
            </w:r>
            <w:r>
              <w:rPr>
                <w:rFonts w:hint="eastAsia" w:ascii="宋体" w:hAnsi="宋体" w:cs="宋体"/>
                <w:kern w:val="0"/>
                <w:sz w:val="20"/>
                <w:szCs w:val="20"/>
              </w:rPr>
              <w:br w:type="textWrapping"/>
            </w:r>
            <w:r>
              <w:rPr>
                <w:rFonts w:hint="eastAsia" w:ascii="宋体" w:hAnsi="宋体" w:cs="宋体"/>
                <w:kern w:val="0"/>
                <w:sz w:val="20"/>
                <w:szCs w:val="20"/>
              </w:rPr>
              <w:t>13、支持通过界面展示查看算法仓库支持的算法列表，列表展示内容包括算法名称、分析类型、算法厂商、芯片平台、算法版本和详细信息；</w:t>
            </w:r>
            <w:r>
              <w:rPr>
                <w:rFonts w:hint="eastAsia" w:ascii="宋体" w:hAnsi="宋体" w:cs="宋体"/>
                <w:kern w:val="0"/>
                <w:sz w:val="20"/>
                <w:szCs w:val="20"/>
              </w:rPr>
              <w:br w:type="textWrapping"/>
            </w:r>
            <w:r>
              <w:rPr>
                <w:rFonts w:hint="eastAsia" w:ascii="宋体" w:hAnsi="宋体" w:cs="宋体"/>
                <w:kern w:val="0"/>
                <w:sz w:val="20"/>
                <w:szCs w:val="20"/>
              </w:rPr>
              <w:t>14、支持集成运行第三方（其他厂商或组织）算法，并可对算法进行管理（包括添加、删除、安装、卸载等）；</w:t>
            </w:r>
          </w:p>
        </w:tc>
        <w:tc>
          <w:tcPr>
            <w:tcW w:w="462"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套</w:t>
            </w:r>
          </w:p>
        </w:tc>
        <w:tc>
          <w:tcPr>
            <w:tcW w:w="70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8192"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综合实战平台</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eastAsia="等线"/>
                <w:color w:val="000000"/>
                <w:kern w:val="0"/>
                <w:sz w:val="20"/>
                <w:szCs w:val="20"/>
              </w:rPr>
              <w:t>1</w:t>
            </w:r>
            <w:r>
              <w:rPr>
                <w:rFonts w:hint="eastAsia" w:ascii="宋体" w:hAnsi="宋体"/>
                <w:color w:val="000000"/>
                <w:kern w:val="0"/>
                <w:sz w:val="20"/>
                <w:szCs w:val="20"/>
              </w:rPr>
              <w:t>、车辆数据搜索：系统支持按照车牌号码全匹配搜索车辆抓拍信息，上传</w:t>
            </w:r>
            <w:r>
              <w:rPr>
                <w:rFonts w:eastAsia="等线"/>
                <w:color w:val="000000"/>
                <w:kern w:val="0"/>
                <w:sz w:val="20"/>
                <w:szCs w:val="20"/>
              </w:rPr>
              <w:t xml:space="preserve">png\jpg\jpeg\bmp </w:t>
            </w:r>
            <w:r>
              <w:rPr>
                <w:rFonts w:hint="eastAsia" w:ascii="宋体" w:hAnsi="宋体"/>
                <w:color w:val="000000"/>
                <w:kern w:val="0"/>
                <w:sz w:val="20"/>
                <w:szCs w:val="20"/>
              </w:rPr>
              <w:t>格式图片进行车辆搜索（抓拍时间、抓拍地点、车辆特征条件搜索），车辆搜索结果展示图片、车牌、抓拍时间、抓拍设备以及操作，支持图片下载的功能；</w:t>
            </w:r>
            <w:r>
              <w:rPr>
                <w:rFonts w:hint="eastAsia" w:ascii="宋体" w:hAnsi="宋体"/>
                <w:color w:val="000000"/>
                <w:kern w:val="0"/>
                <w:sz w:val="20"/>
                <w:szCs w:val="20"/>
              </w:rPr>
              <w:br w:type="textWrapping"/>
            </w:r>
            <w:r>
              <w:rPr>
                <w:rFonts w:eastAsia="等线"/>
                <w:color w:val="000000"/>
                <w:kern w:val="0"/>
                <w:sz w:val="20"/>
                <w:szCs w:val="20"/>
              </w:rPr>
              <w:t>2</w:t>
            </w:r>
            <w:r>
              <w:rPr>
                <w:rFonts w:hint="eastAsia" w:ascii="宋体" w:hAnsi="宋体"/>
                <w:color w:val="000000"/>
                <w:kern w:val="0"/>
                <w:sz w:val="20"/>
                <w:szCs w:val="20"/>
              </w:rPr>
              <w:t>、人脸数据搜索：系统支持上传人脸图片查询人脸抓拍信息，展示人脸检索结果，包括抓拍图、抓拍时间、抓拍设备、相似度以及操作，支持下载图片、多维轨迹查询的功能；</w:t>
            </w:r>
            <w:r>
              <w:rPr>
                <w:rFonts w:hint="eastAsia" w:ascii="宋体" w:hAnsi="宋体"/>
                <w:color w:val="000000"/>
                <w:kern w:val="0"/>
                <w:sz w:val="20"/>
                <w:szCs w:val="20"/>
              </w:rPr>
              <w:br w:type="textWrapping"/>
            </w:r>
            <w:r>
              <w:rPr>
                <w:rFonts w:eastAsia="等线"/>
                <w:color w:val="000000"/>
                <w:kern w:val="0"/>
                <w:sz w:val="20"/>
                <w:szCs w:val="20"/>
              </w:rPr>
              <w:t>3</w:t>
            </w:r>
            <w:r>
              <w:rPr>
                <w:rFonts w:hint="eastAsia" w:ascii="宋体" w:hAnsi="宋体"/>
                <w:color w:val="000000"/>
                <w:kern w:val="0"/>
                <w:sz w:val="20"/>
                <w:szCs w:val="20"/>
              </w:rPr>
              <w:t>、实时视频播放：系统支持指定设备实时视频播放、回放、切换辅码流和主码流，打开</w:t>
            </w:r>
            <w:r>
              <w:rPr>
                <w:rFonts w:eastAsia="等线"/>
                <w:color w:val="000000"/>
                <w:kern w:val="0"/>
                <w:sz w:val="20"/>
                <w:szCs w:val="20"/>
              </w:rPr>
              <w:t>/</w:t>
            </w:r>
            <w:r>
              <w:rPr>
                <w:rFonts w:hint="eastAsia" w:ascii="宋体" w:hAnsi="宋体"/>
                <w:color w:val="000000"/>
                <w:kern w:val="0"/>
                <w:sz w:val="20"/>
                <w:szCs w:val="20"/>
              </w:rPr>
              <w:t>停止语音对讲，抓图、画面放大、云台控制、预置点、巡航、收藏的功能；</w:t>
            </w:r>
            <w:r>
              <w:rPr>
                <w:rFonts w:hint="eastAsia" w:ascii="宋体" w:hAnsi="宋体"/>
                <w:color w:val="000000"/>
                <w:kern w:val="0"/>
                <w:sz w:val="20"/>
                <w:szCs w:val="20"/>
              </w:rPr>
              <w:br w:type="textWrapping"/>
            </w:r>
            <w:r>
              <w:rPr>
                <w:rFonts w:eastAsia="等线"/>
                <w:color w:val="000000"/>
                <w:kern w:val="0"/>
                <w:sz w:val="20"/>
                <w:szCs w:val="20"/>
              </w:rPr>
              <w:t>4</w:t>
            </w:r>
            <w:r>
              <w:rPr>
                <w:rFonts w:hint="eastAsia" w:ascii="宋体" w:hAnsi="宋体"/>
                <w:color w:val="000000"/>
                <w:kern w:val="0"/>
                <w:sz w:val="20"/>
                <w:szCs w:val="20"/>
              </w:rPr>
              <w:t>、录像回放：系统支持指定设备录像播放，录像添加、删除、修改标签，录像下载的功能；</w:t>
            </w:r>
            <w:r>
              <w:rPr>
                <w:rFonts w:hint="eastAsia" w:ascii="宋体" w:hAnsi="宋体"/>
                <w:color w:val="000000"/>
                <w:kern w:val="0"/>
                <w:sz w:val="20"/>
                <w:szCs w:val="20"/>
              </w:rPr>
              <w:br w:type="textWrapping"/>
            </w:r>
            <w:r>
              <w:rPr>
                <w:rFonts w:eastAsia="等线"/>
                <w:color w:val="000000"/>
                <w:kern w:val="0"/>
                <w:sz w:val="20"/>
                <w:szCs w:val="20"/>
              </w:rPr>
              <w:t>5</w:t>
            </w:r>
            <w:r>
              <w:rPr>
                <w:rFonts w:hint="eastAsia" w:ascii="宋体" w:hAnsi="宋体"/>
                <w:color w:val="000000"/>
                <w:kern w:val="0"/>
                <w:sz w:val="20"/>
                <w:szCs w:val="20"/>
              </w:rPr>
              <w:t>、实时人脸：系统支持展示实时人脸抓拍记录及实时告警记录的功能；</w:t>
            </w:r>
            <w:r>
              <w:rPr>
                <w:rFonts w:hint="eastAsia" w:ascii="宋体" w:hAnsi="宋体"/>
                <w:color w:val="000000"/>
                <w:kern w:val="0"/>
                <w:sz w:val="20"/>
                <w:szCs w:val="20"/>
              </w:rPr>
              <w:br w:type="textWrapping"/>
            </w:r>
            <w:r>
              <w:rPr>
                <w:rFonts w:eastAsia="等线"/>
                <w:color w:val="000000"/>
                <w:kern w:val="0"/>
                <w:sz w:val="20"/>
                <w:szCs w:val="20"/>
              </w:rPr>
              <w:t>6</w:t>
            </w:r>
            <w:r>
              <w:rPr>
                <w:rFonts w:hint="eastAsia" w:ascii="宋体" w:hAnsi="宋体"/>
                <w:color w:val="000000"/>
                <w:kern w:val="0"/>
                <w:sz w:val="20"/>
                <w:szCs w:val="20"/>
              </w:rPr>
              <w:t>、实时过车：系统支持展示实时过车信息，包括车牌号码（号码</w:t>
            </w:r>
            <w:r>
              <w:rPr>
                <w:rFonts w:eastAsia="等线"/>
                <w:color w:val="000000"/>
                <w:kern w:val="0"/>
                <w:sz w:val="20"/>
                <w:szCs w:val="20"/>
              </w:rPr>
              <w:t>+</w:t>
            </w:r>
            <w:r>
              <w:rPr>
                <w:rFonts w:hint="eastAsia" w:ascii="宋体" w:hAnsi="宋体"/>
                <w:color w:val="000000"/>
                <w:kern w:val="0"/>
                <w:sz w:val="20"/>
                <w:szCs w:val="20"/>
              </w:rPr>
              <w:t>颜色）、车牌图片、抓拍卡口、过车车道、过车时间、车辆类型、车辆品牌、车标、驾驶行为；</w:t>
            </w:r>
            <w:r>
              <w:rPr>
                <w:rFonts w:hint="eastAsia" w:ascii="宋体" w:hAnsi="宋体"/>
                <w:color w:val="000000"/>
                <w:kern w:val="0"/>
                <w:sz w:val="20"/>
                <w:szCs w:val="20"/>
              </w:rPr>
              <w:br w:type="textWrapping"/>
            </w:r>
            <w:r>
              <w:rPr>
                <w:rFonts w:eastAsia="等线"/>
                <w:color w:val="000000"/>
                <w:kern w:val="0"/>
                <w:sz w:val="20"/>
                <w:szCs w:val="20"/>
              </w:rPr>
              <w:t>7</w:t>
            </w:r>
            <w:r>
              <w:rPr>
                <w:rFonts w:hint="eastAsia" w:ascii="宋体" w:hAnsi="宋体"/>
                <w:color w:val="000000"/>
                <w:kern w:val="0"/>
                <w:sz w:val="20"/>
                <w:szCs w:val="20"/>
              </w:rPr>
              <w:t>、名单库管理：系统支持导入、新建、删除、修改、查询名单库的功能；</w:t>
            </w:r>
            <w:r>
              <w:rPr>
                <w:rFonts w:hint="eastAsia" w:ascii="宋体" w:hAnsi="宋体"/>
                <w:color w:val="000000"/>
                <w:kern w:val="0"/>
                <w:sz w:val="20"/>
                <w:szCs w:val="20"/>
              </w:rPr>
              <w:br w:type="textWrapping"/>
            </w:r>
            <w:r>
              <w:rPr>
                <w:rFonts w:eastAsia="等线"/>
                <w:color w:val="000000"/>
                <w:kern w:val="0"/>
                <w:sz w:val="20"/>
                <w:szCs w:val="20"/>
              </w:rPr>
              <w:t>8</w:t>
            </w:r>
            <w:r>
              <w:rPr>
                <w:rFonts w:hint="eastAsia" w:ascii="宋体" w:hAnsi="宋体"/>
                <w:color w:val="000000"/>
                <w:kern w:val="0"/>
                <w:sz w:val="20"/>
                <w:szCs w:val="20"/>
              </w:rPr>
              <w:t>、多维布控：系统支持新建布控、删除布控、撤销布控、修改布控、查询布控、审核布控、导出本页或全部布控数据的功能；</w:t>
            </w:r>
            <w:r>
              <w:rPr>
                <w:rFonts w:hint="eastAsia" w:ascii="宋体" w:hAnsi="宋体"/>
                <w:color w:val="000000"/>
                <w:kern w:val="0"/>
                <w:sz w:val="20"/>
                <w:szCs w:val="20"/>
              </w:rPr>
              <w:br w:type="textWrapping"/>
            </w:r>
            <w:r>
              <w:rPr>
                <w:rFonts w:eastAsia="等线"/>
                <w:color w:val="000000"/>
                <w:kern w:val="0"/>
                <w:sz w:val="20"/>
                <w:szCs w:val="20"/>
              </w:rPr>
              <w:t>9</w:t>
            </w:r>
            <w:r>
              <w:rPr>
                <w:rFonts w:hint="eastAsia" w:ascii="宋体" w:hAnsi="宋体"/>
                <w:color w:val="000000"/>
                <w:kern w:val="0"/>
                <w:sz w:val="20"/>
                <w:szCs w:val="20"/>
              </w:rPr>
              <w:t>、车辆抓拍检索：系统支持查询范围、车牌号码、过车时间、车身颜色、车牌类型、车辆类型、行驶方向、车辆品牌搜索车辆抓拍，搜索结果图片模式展示抓拍图片、过车地点、车牌号码、过车时间以及详情和操作，搜索结果列表模式展示序号、车牌图片、车牌号码、抓拍地点、行驶方向、过车车道、过车时间、车辆类型、车辆品牌、车标、驾驶行为的功能；</w:t>
            </w:r>
            <w:r>
              <w:rPr>
                <w:rFonts w:hint="eastAsia" w:ascii="宋体" w:hAnsi="宋体"/>
                <w:color w:val="000000"/>
                <w:kern w:val="0"/>
                <w:sz w:val="20"/>
                <w:szCs w:val="20"/>
              </w:rPr>
              <w:br w:type="textWrapping"/>
            </w:r>
            <w:r>
              <w:rPr>
                <w:rFonts w:eastAsia="等线"/>
                <w:color w:val="000000"/>
                <w:kern w:val="0"/>
                <w:sz w:val="20"/>
                <w:szCs w:val="20"/>
              </w:rPr>
              <w:t>10</w:t>
            </w:r>
            <w:r>
              <w:rPr>
                <w:rFonts w:hint="eastAsia" w:ascii="宋体" w:hAnsi="宋体"/>
                <w:color w:val="000000"/>
                <w:kern w:val="0"/>
                <w:sz w:val="20"/>
                <w:szCs w:val="20"/>
              </w:rPr>
              <w:t>、车辆以图搜图：系统支持查询方式、相似度、过车图片、过车时段、查询范围检索车辆抓拍，搜索结果展示相似度、抓拍图片、过车地点、车牌号码、过车时间以及详情和操作的功能；</w:t>
            </w:r>
            <w:r>
              <w:rPr>
                <w:rFonts w:hint="eastAsia" w:ascii="宋体" w:hAnsi="宋体"/>
                <w:color w:val="000000"/>
                <w:kern w:val="0"/>
                <w:sz w:val="20"/>
                <w:szCs w:val="20"/>
              </w:rPr>
              <w:br w:type="textWrapping"/>
            </w:r>
            <w:r>
              <w:rPr>
                <w:rFonts w:eastAsia="等线"/>
                <w:color w:val="000000"/>
                <w:kern w:val="0"/>
                <w:sz w:val="20"/>
                <w:szCs w:val="20"/>
              </w:rPr>
              <w:t>11</w:t>
            </w:r>
            <w:r>
              <w:rPr>
                <w:rFonts w:hint="eastAsia" w:ascii="宋体" w:hAnsi="宋体"/>
                <w:color w:val="000000"/>
                <w:kern w:val="0"/>
                <w:sz w:val="20"/>
                <w:szCs w:val="20"/>
              </w:rPr>
              <w:t>、人体抓拍检索：系统支持按查询时间、设备、性别、年龄段、上身颜色、下身颜色、其他（是否骑行、是否戴帽子，是否背包）对人体图片进行检索，检索结果显示抓拍图片、设备名称、时间及操作，支持二次搜索、图片下载、大图查看、展示抓拍大图和人体结构化信息，导出查询结果的功能；</w:t>
            </w:r>
            <w:r>
              <w:rPr>
                <w:rFonts w:hint="eastAsia" w:ascii="宋体" w:hAnsi="宋体"/>
                <w:color w:val="000000"/>
                <w:kern w:val="0"/>
                <w:sz w:val="20"/>
                <w:szCs w:val="20"/>
              </w:rPr>
              <w:br w:type="textWrapping"/>
            </w:r>
            <w:r>
              <w:rPr>
                <w:rFonts w:eastAsia="等线"/>
                <w:color w:val="000000"/>
                <w:kern w:val="0"/>
                <w:sz w:val="20"/>
                <w:szCs w:val="20"/>
              </w:rPr>
              <w:t>12</w:t>
            </w:r>
            <w:r>
              <w:rPr>
                <w:rFonts w:hint="eastAsia" w:ascii="宋体" w:hAnsi="宋体"/>
                <w:color w:val="000000"/>
                <w:kern w:val="0"/>
                <w:sz w:val="20"/>
                <w:szCs w:val="20"/>
              </w:rPr>
              <w:t>、人体以图搜图：系统支持上传本地人体的图片并按相似度、查询时间、设备对人体图片进行以图搜图，检索结果显示抓拍图片、相似度、设备名称、时间及其他详情，支持二次搜索、图片下载、大图查看、展示搜索图片、抓拍大图、相似度和人体结构化信息，支持导出查询结果的功能；</w:t>
            </w:r>
            <w:r>
              <w:rPr>
                <w:rFonts w:hint="eastAsia" w:ascii="宋体" w:hAnsi="宋体"/>
                <w:color w:val="000000"/>
                <w:kern w:val="0"/>
                <w:sz w:val="20"/>
                <w:szCs w:val="20"/>
              </w:rPr>
              <w:br w:type="textWrapping"/>
            </w:r>
            <w:r>
              <w:rPr>
                <w:rFonts w:eastAsia="等线"/>
                <w:color w:val="000000"/>
                <w:kern w:val="0"/>
                <w:sz w:val="20"/>
                <w:szCs w:val="20"/>
              </w:rPr>
              <w:t>13</w:t>
            </w:r>
            <w:r>
              <w:rPr>
                <w:rFonts w:hint="eastAsia" w:ascii="宋体" w:hAnsi="宋体"/>
                <w:color w:val="000000"/>
                <w:kern w:val="0"/>
                <w:sz w:val="20"/>
                <w:szCs w:val="20"/>
              </w:rPr>
              <w:t>、人脸抓拍检索：系统支持按查询时间、设备、性别、年龄段、其他（是否戴眼镜、是否戴口罩）对人脸图片进行检索，检索结果显示抓拍图片、设备名称、时间及操作，支持二次搜索、图片下载、大图查看、展示抓拍大图和人脸结构化信息，导出查询结果的功能；</w:t>
            </w:r>
            <w:r>
              <w:rPr>
                <w:rFonts w:hint="eastAsia" w:ascii="宋体" w:hAnsi="宋体"/>
                <w:color w:val="000000"/>
                <w:kern w:val="0"/>
                <w:sz w:val="20"/>
                <w:szCs w:val="20"/>
              </w:rPr>
              <w:br w:type="textWrapping"/>
            </w:r>
            <w:r>
              <w:rPr>
                <w:rFonts w:eastAsia="等线"/>
                <w:color w:val="000000"/>
                <w:kern w:val="0"/>
                <w:sz w:val="20"/>
                <w:szCs w:val="20"/>
              </w:rPr>
              <w:t>14</w:t>
            </w:r>
            <w:r>
              <w:rPr>
                <w:rFonts w:hint="eastAsia" w:ascii="宋体" w:hAnsi="宋体"/>
                <w:color w:val="000000"/>
                <w:kern w:val="0"/>
                <w:sz w:val="20"/>
                <w:szCs w:val="20"/>
              </w:rPr>
              <w:t>、人脸以图搜图：系统支持上传本地人脸的图片，设置相似度、范围、抓拍时间对人脸进行以图搜图，检索结果显示抓拍图片、相似度、设备名称、时间及操作，支持二次搜索、图片下载、大图查看、展示搜索原图、相似度、抓拍大图和人脸结构化信息，导出查询结果的功能；</w:t>
            </w:r>
            <w:r>
              <w:rPr>
                <w:rFonts w:hint="eastAsia" w:ascii="宋体" w:hAnsi="宋体"/>
                <w:color w:val="000000"/>
                <w:kern w:val="0"/>
                <w:sz w:val="20"/>
                <w:szCs w:val="20"/>
              </w:rPr>
              <w:br w:type="textWrapping"/>
            </w:r>
            <w:r>
              <w:rPr>
                <w:rFonts w:eastAsia="等线"/>
                <w:color w:val="000000"/>
                <w:kern w:val="0"/>
                <w:sz w:val="20"/>
                <w:szCs w:val="20"/>
              </w:rPr>
              <w:t>15</w:t>
            </w:r>
            <w:r>
              <w:rPr>
                <w:rFonts w:hint="eastAsia" w:ascii="宋体" w:hAnsi="宋体"/>
                <w:color w:val="000000"/>
                <w:kern w:val="0"/>
                <w:sz w:val="20"/>
                <w:szCs w:val="20"/>
              </w:rPr>
              <w:t>、非机动车抓拍检索：系统支持按车辆类型、查询范围、车牌号码、过车时间、车身颜色进行检索，搜索结果抓拍图片、抓拍地点、抓拍时间及详情及操作的功能；</w:t>
            </w:r>
            <w:r>
              <w:rPr>
                <w:rFonts w:hint="eastAsia" w:ascii="宋体" w:hAnsi="宋体"/>
                <w:color w:val="000000"/>
                <w:kern w:val="0"/>
                <w:sz w:val="20"/>
                <w:szCs w:val="20"/>
              </w:rPr>
              <w:br w:type="textWrapping"/>
            </w:r>
            <w:r>
              <w:rPr>
                <w:rFonts w:eastAsia="等线"/>
                <w:color w:val="000000"/>
                <w:kern w:val="0"/>
                <w:sz w:val="20"/>
                <w:szCs w:val="20"/>
              </w:rPr>
              <w:t>16</w:t>
            </w:r>
            <w:r>
              <w:rPr>
                <w:rFonts w:hint="eastAsia" w:ascii="宋体" w:hAnsi="宋体"/>
                <w:color w:val="000000"/>
                <w:kern w:val="0"/>
                <w:sz w:val="20"/>
                <w:szCs w:val="20"/>
              </w:rPr>
              <w:t>、非机动车以图搜图：系统支持上传本地非机动车图片，设置相似度、查询方式、查询范围、过车时段对非机动车进行图片检索，检索结果显示相似度、抓拍图片、设备名称、时间及详情和操作的功能；</w:t>
            </w:r>
            <w:r>
              <w:rPr>
                <w:rFonts w:hint="eastAsia" w:ascii="宋体" w:hAnsi="宋体"/>
                <w:color w:val="000000"/>
                <w:kern w:val="0"/>
                <w:sz w:val="20"/>
                <w:szCs w:val="20"/>
              </w:rPr>
              <w:br w:type="textWrapping"/>
            </w:r>
            <w:r>
              <w:rPr>
                <w:rFonts w:eastAsia="等线"/>
                <w:color w:val="000000"/>
                <w:kern w:val="0"/>
                <w:sz w:val="20"/>
                <w:szCs w:val="20"/>
              </w:rPr>
              <w:t>17</w:t>
            </w:r>
            <w:r>
              <w:rPr>
                <w:rFonts w:hint="eastAsia" w:ascii="宋体" w:hAnsi="宋体"/>
                <w:color w:val="000000"/>
                <w:kern w:val="0"/>
                <w:sz w:val="20"/>
                <w:szCs w:val="20"/>
              </w:rPr>
              <w:t>、系统支持本地上传人体侧面或背向图片并录入检索条件（查询时间、查询设备、上身颜色、下身颜色、是否带帽、是否背包）进行以图搜图，检索出相似及关联的人脸、人体图片的功能；</w:t>
            </w:r>
            <w:r>
              <w:rPr>
                <w:rFonts w:hint="eastAsia" w:ascii="宋体" w:hAnsi="宋体"/>
                <w:color w:val="000000"/>
                <w:kern w:val="0"/>
                <w:sz w:val="20"/>
                <w:szCs w:val="20"/>
              </w:rPr>
              <w:br w:type="textWrapping"/>
            </w:r>
            <w:r>
              <w:rPr>
                <w:rFonts w:eastAsia="等线"/>
                <w:color w:val="000000"/>
                <w:kern w:val="0"/>
                <w:sz w:val="20"/>
                <w:szCs w:val="20"/>
              </w:rPr>
              <w:t>18</w:t>
            </w:r>
            <w:r>
              <w:rPr>
                <w:rFonts w:hint="eastAsia" w:ascii="宋体" w:hAnsi="宋体"/>
                <w:color w:val="000000"/>
                <w:kern w:val="0"/>
                <w:sz w:val="20"/>
                <w:szCs w:val="20"/>
              </w:rPr>
              <w:t>、系统支持对本域及下级域的录像进行解析，解析结果分人体和人脸，并对解析结果图片进行一键回放、下载、以图搜图的功能；</w:t>
            </w:r>
            <w:r>
              <w:rPr>
                <w:rFonts w:hint="eastAsia" w:ascii="宋体" w:hAnsi="宋体"/>
                <w:color w:val="000000"/>
                <w:kern w:val="0"/>
                <w:sz w:val="20"/>
                <w:szCs w:val="20"/>
              </w:rPr>
              <w:br w:type="textWrapping"/>
            </w:r>
            <w:r>
              <w:rPr>
                <w:rFonts w:eastAsia="等线"/>
                <w:color w:val="000000"/>
                <w:kern w:val="0"/>
                <w:sz w:val="20"/>
                <w:szCs w:val="20"/>
              </w:rPr>
              <w:t>19</w:t>
            </w:r>
            <w:r>
              <w:rPr>
                <w:rFonts w:hint="eastAsia" w:ascii="宋体" w:hAnsi="宋体"/>
                <w:color w:val="000000"/>
                <w:kern w:val="0"/>
                <w:sz w:val="20"/>
                <w:szCs w:val="20"/>
              </w:rPr>
              <w:t>、系统支持在线索摸排中通过点击地图上设备进行实时视频播放，在画面中框选局部区域进行解析和结果查看的功能；</w:t>
            </w:r>
            <w:r>
              <w:rPr>
                <w:rFonts w:hint="eastAsia" w:ascii="宋体" w:hAnsi="宋体"/>
                <w:color w:val="000000"/>
                <w:kern w:val="0"/>
                <w:sz w:val="20"/>
                <w:szCs w:val="20"/>
              </w:rPr>
              <w:br w:type="textWrapping"/>
            </w:r>
            <w:r>
              <w:rPr>
                <w:rFonts w:eastAsia="等线"/>
                <w:color w:val="000000"/>
                <w:kern w:val="0"/>
                <w:sz w:val="20"/>
                <w:szCs w:val="20"/>
              </w:rPr>
              <w:t>20</w:t>
            </w:r>
            <w:r>
              <w:rPr>
                <w:rFonts w:hint="eastAsia" w:ascii="宋体" w:hAnsi="宋体"/>
                <w:color w:val="000000"/>
                <w:kern w:val="0"/>
                <w:sz w:val="20"/>
                <w:szCs w:val="20"/>
              </w:rPr>
              <w:t>、系统支持在实时视频中选择一个人体目标，自动检测周边摄像机，当此目标出现在其他摄像机时，新摄像机的实时画面自动弹出播放，此时系统自动以新摄像机为中心继续分析周边相机，对此目标实时追踪的功能；</w:t>
            </w:r>
            <w:r>
              <w:rPr>
                <w:rFonts w:hint="eastAsia" w:ascii="宋体" w:hAnsi="宋体"/>
                <w:color w:val="000000"/>
                <w:kern w:val="0"/>
                <w:sz w:val="20"/>
                <w:szCs w:val="20"/>
              </w:rPr>
              <w:br w:type="textWrapping"/>
            </w:r>
            <w:r>
              <w:rPr>
                <w:rFonts w:eastAsia="等线"/>
                <w:color w:val="000000"/>
                <w:kern w:val="0"/>
                <w:sz w:val="20"/>
                <w:szCs w:val="20"/>
              </w:rPr>
              <w:t>21</w:t>
            </w:r>
            <w:r>
              <w:rPr>
                <w:rFonts w:hint="eastAsia" w:ascii="宋体" w:hAnsi="宋体"/>
                <w:color w:val="000000"/>
                <w:kern w:val="0"/>
                <w:sz w:val="20"/>
                <w:szCs w:val="20"/>
              </w:rPr>
              <w:t>、系统支持车辆技战法，包含疑似套牌车分析、车辆落脚点分析、同行车分析、车辆路径策略分析、车辆昼伏夜出分析、车辆初次入城分析</w:t>
            </w:r>
            <w:r>
              <w:rPr>
                <w:rFonts w:eastAsia="等线"/>
                <w:color w:val="000000"/>
                <w:kern w:val="0"/>
                <w:sz w:val="20"/>
                <w:szCs w:val="20"/>
              </w:rPr>
              <w:t xml:space="preserve"> </w:t>
            </w:r>
            <w:r>
              <w:rPr>
                <w:rFonts w:hint="eastAsia" w:ascii="宋体" w:hAnsi="宋体"/>
                <w:color w:val="000000"/>
                <w:kern w:val="0"/>
                <w:sz w:val="20"/>
                <w:szCs w:val="20"/>
              </w:rPr>
              <w:t>、频繁出没车辆分析；</w:t>
            </w:r>
            <w:r>
              <w:rPr>
                <w:rFonts w:hint="eastAsia" w:ascii="宋体" w:hAnsi="宋体"/>
                <w:color w:val="000000"/>
                <w:kern w:val="0"/>
                <w:sz w:val="20"/>
                <w:szCs w:val="20"/>
              </w:rPr>
              <w:br w:type="textWrapping"/>
            </w:r>
            <w:r>
              <w:rPr>
                <w:rFonts w:eastAsia="等线"/>
                <w:color w:val="000000"/>
                <w:kern w:val="0"/>
                <w:sz w:val="20"/>
                <w:szCs w:val="20"/>
              </w:rPr>
              <w:t>22</w:t>
            </w:r>
            <w:r>
              <w:rPr>
                <w:rFonts w:hint="eastAsia" w:ascii="宋体" w:hAnsi="宋体"/>
                <w:color w:val="000000"/>
                <w:kern w:val="0"/>
                <w:sz w:val="20"/>
                <w:szCs w:val="20"/>
              </w:rPr>
              <w:t>、系统支持人像技战法，包含人员落脚点分析、人员频繁出没分析、人员区域徘徊、人员首次出现、人员昼伏夜出、伴随同行人员；</w:t>
            </w:r>
            <w:r>
              <w:rPr>
                <w:rFonts w:hint="eastAsia" w:ascii="宋体" w:hAnsi="宋体"/>
                <w:color w:val="000000"/>
                <w:kern w:val="0"/>
                <w:sz w:val="20"/>
                <w:szCs w:val="20"/>
              </w:rPr>
              <w:br w:type="textWrapping"/>
            </w:r>
            <w:r>
              <w:rPr>
                <w:rFonts w:eastAsia="等线"/>
                <w:color w:val="000000"/>
                <w:kern w:val="0"/>
                <w:sz w:val="20"/>
                <w:szCs w:val="20"/>
              </w:rPr>
              <w:t>23</w:t>
            </w:r>
            <w:r>
              <w:rPr>
                <w:rFonts w:hint="eastAsia" w:ascii="宋体" w:hAnsi="宋体"/>
                <w:color w:val="000000"/>
                <w:kern w:val="0"/>
                <w:sz w:val="20"/>
                <w:szCs w:val="20"/>
              </w:rPr>
              <w:t>、系统支持列表模式展示告警状态、布控目标、告警时间、告警点位、布控任务名称，并能处理告警，查看告警详情的功能；系统支持通过短信的方式将告警和布控信息发送给相关布控民警</w:t>
            </w:r>
            <w:r>
              <w:rPr>
                <w:rFonts w:eastAsia="等线"/>
                <w:color w:val="000000"/>
                <w:kern w:val="0"/>
                <w:sz w:val="20"/>
                <w:szCs w:val="20"/>
              </w:rPr>
              <w:t>.</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310" w:hRule="atLeast"/>
        </w:trPr>
        <w:tc>
          <w:tcPr>
            <w:tcW w:w="60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5</w:t>
            </w:r>
          </w:p>
        </w:tc>
        <w:tc>
          <w:tcPr>
            <w:tcW w:w="74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智能运维系统</w:t>
            </w: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资产管理</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eastAsia="等线"/>
                <w:color w:val="000000"/>
                <w:kern w:val="0"/>
                <w:sz w:val="20"/>
                <w:szCs w:val="20"/>
              </w:rPr>
              <w:t>1</w:t>
            </w:r>
            <w:r>
              <w:rPr>
                <w:rFonts w:hint="eastAsia" w:ascii="宋体" w:hAnsi="宋体"/>
                <w:color w:val="000000"/>
                <w:kern w:val="0"/>
                <w:sz w:val="20"/>
                <w:szCs w:val="20"/>
              </w:rPr>
              <w:t>、支持不少于</w:t>
            </w:r>
            <w:r>
              <w:rPr>
                <w:rFonts w:eastAsia="等线"/>
                <w:color w:val="000000"/>
                <w:kern w:val="0"/>
                <w:sz w:val="20"/>
                <w:szCs w:val="20"/>
              </w:rPr>
              <w:t>5000</w:t>
            </w:r>
            <w:r>
              <w:rPr>
                <w:rFonts w:hint="eastAsia" w:ascii="宋体" w:hAnsi="宋体"/>
                <w:color w:val="000000"/>
                <w:kern w:val="0"/>
                <w:sz w:val="20"/>
                <w:szCs w:val="20"/>
              </w:rPr>
              <w:t>路设备管理</w:t>
            </w:r>
            <w:r>
              <w:rPr>
                <w:rFonts w:hint="eastAsia" w:ascii="宋体" w:hAnsi="宋体"/>
                <w:color w:val="000000"/>
                <w:kern w:val="0"/>
                <w:sz w:val="20"/>
                <w:szCs w:val="20"/>
              </w:rPr>
              <w:br w:type="textWrapping"/>
            </w:r>
            <w:r>
              <w:rPr>
                <w:rFonts w:eastAsia="等线"/>
                <w:color w:val="000000"/>
                <w:kern w:val="0"/>
                <w:sz w:val="20"/>
                <w:szCs w:val="20"/>
              </w:rPr>
              <w:t>2</w:t>
            </w:r>
            <w:r>
              <w:rPr>
                <w:rFonts w:hint="eastAsia" w:ascii="宋体" w:hAnsi="宋体"/>
                <w:color w:val="000000"/>
                <w:kern w:val="0"/>
                <w:sz w:val="20"/>
                <w:szCs w:val="20"/>
              </w:rPr>
              <w:t>、信息采集-支持通过GB/T28181（联网平台）、GA/T1400（视图库）标准同步联网点位的基础信息；</w:t>
            </w:r>
            <w:r>
              <w:rPr>
                <w:rFonts w:hint="eastAsia" w:ascii="宋体" w:hAnsi="宋体"/>
                <w:color w:val="000000"/>
                <w:kern w:val="0"/>
                <w:sz w:val="20"/>
                <w:szCs w:val="20"/>
              </w:rPr>
              <w:br w:type="textWrapping"/>
            </w:r>
            <w:r>
              <w:rPr>
                <w:rFonts w:eastAsia="等线"/>
                <w:color w:val="000000"/>
                <w:kern w:val="0"/>
                <w:sz w:val="20"/>
                <w:szCs w:val="20"/>
              </w:rPr>
              <w:t>3</w:t>
            </w:r>
            <w:r>
              <w:rPr>
                <w:rFonts w:hint="eastAsia" w:ascii="宋体" w:hAnsi="宋体"/>
                <w:color w:val="000000"/>
                <w:kern w:val="0"/>
                <w:sz w:val="20"/>
                <w:szCs w:val="20"/>
              </w:rPr>
              <w:t>、信息录入</w:t>
            </w:r>
            <w:r>
              <w:rPr>
                <w:rFonts w:eastAsia="等线"/>
                <w:color w:val="000000"/>
                <w:kern w:val="0"/>
                <w:sz w:val="20"/>
                <w:szCs w:val="20"/>
              </w:rPr>
              <w:t>-</w:t>
            </w:r>
            <w:r>
              <w:rPr>
                <w:rFonts w:hint="eastAsia" w:ascii="宋体" w:hAnsi="宋体"/>
                <w:color w:val="000000"/>
                <w:kern w:val="0"/>
                <w:sz w:val="20"/>
                <w:szCs w:val="20"/>
              </w:rPr>
              <w:t>支持前端点位摄像机的基础属性、建设信息、应用信息、设备信息和维护信息的采集录入；</w:t>
            </w:r>
            <w:r>
              <w:rPr>
                <w:rFonts w:hint="eastAsia" w:ascii="宋体" w:hAnsi="宋体"/>
                <w:color w:val="000000"/>
                <w:kern w:val="0"/>
                <w:sz w:val="20"/>
                <w:szCs w:val="20"/>
              </w:rPr>
              <w:br w:type="textWrapping"/>
            </w:r>
            <w:r>
              <w:rPr>
                <w:rFonts w:eastAsia="等线"/>
                <w:color w:val="000000"/>
                <w:kern w:val="0"/>
                <w:sz w:val="20"/>
                <w:szCs w:val="20"/>
              </w:rPr>
              <w:t>4</w:t>
            </w:r>
            <w:r>
              <w:rPr>
                <w:rFonts w:hint="eastAsia" w:ascii="宋体" w:hAnsi="宋体"/>
                <w:color w:val="000000"/>
                <w:kern w:val="0"/>
                <w:sz w:val="20"/>
                <w:szCs w:val="20"/>
              </w:rPr>
              <w:t>、基础属性：</w:t>
            </w:r>
            <w:r>
              <w:rPr>
                <w:rFonts w:eastAsia="等线"/>
                <w:color w:val="000000"/>
                <w:kern w:val="0"/>
                <w:sz w:val="20"/>
                <w:szCs w:val="20"/>
              </w:rPr>
              <w:t>IP</w:t>
            </w:r>
            <w:r>
              <w:rPr>
                <w:rFonts w:hint="eastAsia" w:ascii="宋体" w:hAnsi="宋体"/>
                <w:color w:val="000000"/>
                <w:kern w:val="0"/>
                <w:sz w:val="20"/>
                <w:szCs w:val="20"/>
              </w:rPr>
              <w:t>地址、所属区域、设备名称、设备厂商等；</w:t>
            </w:r>
            <w:r>
              <w:rPr>
                <w:rFonts w:hint="eastAsia" w:ascii="宋体" w:hAnsi="宋体"/>
                <w:color w:val="000000"/>
                <w:kern w:val="0"/>
                <w:sz w:val="20"/>
                <w:szCs w:val="20"/>
              </w:rPr>
              <w:br w:type="textWrapping"/>
            </w:r>
            <w:r>
              <w:rPr>
                <w:rFonts w:eastAsia="等线"/>
                <w:color w:val="000000"/>
                <w:kern w:val="0"/>
                <w:sz w:val="20"/>
                <w:szCs w:val="20"/>
              </w:rPr>
              <w:t>5</w:t>
            </w:r>
            <w:r>
              <w:rPr>
                <w:rFonts w:hint="eastAsia" w:ascii="宋体" w:hAnsi="宋体"/>
                <w:color w:val="000000"/>
                <w:kern w:val="0"/>
                <w:sz w:val="20"/>
                <w:szCs w:val="20"/>
              </w:rPr>
              <w:t>、建设信息：经纬度、管理单位、管理单位联系人、所属区域等；</w:t>
            </w:r>
            <w:r>
              <w:rPr>
                <w:rFonts w:hint="eastAsia" w:ascii="宋体" w:hAnsi="宋体"/>
                <w:color w:val="000000"/>
                <w:kern w:val="0"/>
                <w:sz w:val="20"/>
                <w:szCs w:val="20"/>
              </w:rPr>
              <w:br w:type="textWrapping"/>
            </w:r>
            <w:r>
              <w:rPr>
                <w:rFonts w:eastAsia="等线"/>
                <w:color w:val="000000"/>
                <w:kern w:val="0"/>
                <w:sz w:val="20"/>
                <w:szCs w:val="20"/>
              </w:rPr>
              <w:t>6</w:t>
            </w:r>
            <w:r>
              <w:rPr>
                <w:rFonts w:hint="eastAsia" w:ascii="宋体" w:hAnsi="宋体"/>
                <w:color w:val="000000"/>
                <w:kern w:val="0"/>
                <w:sz w:val="20"/>
                <w:szCs w:val="20"/>
              </w:rPr>
              <w:t>、维保信息：维保单位、安装时间、维保起止时间等；</w:t>
            </w:r>
            <w:r>
              <w:rPr>
                <w:rFonts w:hint="eastAsia" w:ascii="宋体" w:hAnsi="宋体"/>
                <w:color w:val="000000"/>
                <w:kern w:val="0"/>
                <w:sz w:val="20"/>
                <w:szCs w:val="20"/>
              </w:rPr>
              <w:br w:type="textWrapping"/>
            </w:r>
            <w:r>
              <w:rPr>
                <w:rFonts w:eastAsia="等线"/>
                <w:color w:val="000000"/>
                <w:kern w:val="0"/>
                <w:sz w:val="20"/>
                <w:szCs w:val="20"/>
              </w:rPr>
              <w:t>7</w:t>
            </w:r>
            <w:r>
              <w:rPr>
                <w:rFonts w:hint="eastAsia" w:ascii="宋体" w:hAnsi="宋体"/>
                <w:color w:val="000000"/>
                <w:kern w:val="0"/>
                <w:sz w:val="20"/>
                <w:szCs w:val="20"/>
              </w:rPr>
              <w:t>、支持设备状态检测，在平台界面显示设备异常状态，支持生成设备异常信息报表并导出报表；</w:t>
            </w:r>
            <w:r>
              <w:rPr>
                <w:rFonts w:hint="eastAsia" w:ascii="宋体" w:hAnsi="宋体"/>
                <w:color w:val="000000"/>
                <w:kern w:val="0"/>
                <w:sz w:val="20"/>
                <w:szCs w:val="20"/>
              </w:rPr>
              <w:br w:type="textWrapping"/>
            </w:r>
            <w:r>
              <w:rPr>
                <w:rFonts w:eastAsia="等线"/>
                <w:color w:val="000000"/>
                <w:kern w:val="0"/>
                <w:sz w:val="20"/>
                <w:szCs w:val="20"/>
              </w:rPr>
              <w:t>8</w:t>
            </w:r>
            <w:r>
              <w:rPr>
                <w:rFonts w:hint="eastAsia" w:ascii="宋体" w:hAnsi="宋体"/>
                <w:color w:val="000000"/>
                <w:kern w:val="0"/>
                <w:sz w:val="20"/>
                <w:szCs w:val="20"/>
              </w:rPr>
              <w:t>、支持经纬度检测，可检测经纬度缺失、不在辖区、经纬度精度过低，支持生成经纬度异常报表并导出报表；</w:t>
            </w:r>
            <w:r>
              <w:rPr>
                <w:rFonts w:hint="eastAsia" w:ascii="宋体" w:hAnsi="宋体"/>
                <w:color w:val="000000"/>
                <w:kern w:val="0"/>
                <w:sz w:val="20"/>
                <w:szCs w:val="20"/>
              </w:rPr>
              <w:br w:type="textWrapping"/>
            </w:r>
            <w:r>
              <w:rPr>
                <w:rFonts w:eastAsia="等线"/>
                <w:color w:val="000000"/>
                <w:kern w:val="0"/>
                <w:sz w:val="20"/>
                <w:szCs w:val="20"/>
              </w:rPr>
              <w:t>9</w:t>
            </w:r>
            <w:r>
              <w:rPr>
                <w:rFonts w:hint="eastAsia" w:ascii="宋体" w:hAnsi="宋体"/>
                <w:color w:val="000000"/>
                <w:kern w:val="0"/>
                <w:sz w:val="20"/>
                <w:szCs w:val="20"/>
              </w:rPr>
              <w:t>、支持检测</w:t>
            </w:r>
            <w:r>
              <w:rPr>
                <w:rFonts w:eastAsia="等线"/>
                <w:color w:val="000000"/>
                <w:kern w:val="0"/>
                <w:sz w:val="20"/>
                <w:szCs w:val="20"/>
              </w:rPr>
              <w:t>MAC</w:t>
            </w:r>
            <w:r>
              <w:rPr>
                <w:rFonts w:hint="eastAsia" w:ascii="宋体" w:hAnsi="宋体"/>
                <w:color w:val="000000"/>
                <w:kern w:val="0"/>
                <w:sz w:val="20"/>
                <w:szCs w:val="20"/>
              </w:rPr>
              <w:t>地址，可检测</w:t>
            </w:r>
            <w:r>
              <w:rPr>
                <w:rFonts w:eastAsia="等线"/>
                <w:color w:val="000000"/>
                <w:kern w:val="0"/>
                <w:sz w:val="20"/>
                <w:szCs w:val="20"/>
              </w:rPr>
              <w:t>MAC</w:t>
            </w:r>
            <w:r>
              <w:rPr>
                <w:rFonts w:hint="eastAsia" w:ascii="宋体" w:hAnsi="宋体"/>
                <w:color w:val="000000"/>
                <w:kern w:val="0"/>
                <w:sz w:val="20"/>
                <w:szCs w:val="20"/>
              </w:rPr>
              <w:t>地址的规范性，是否冲突，是否空值等状态，支持生成</w:t>
            </w:r>
            <w:r>
              <w:rPr>
                <w:rFonts w:eastAsia="等线"/>
                <w:color w:val="000000"/>
                <w:kern w:val="0"/>
                <w:sz w:val="20"/>
                <w:szCs w:val="20"/>
              </w:rPr>
              <w:t>MAC</w:t>
            </w:r>
            <w:r>
              <w:rPr>
                <w:rFonts w:hint="eastAsia" w:ascii="宋体" w:hAnsi="宋体"/>
                <w:color w:val="000000"/>
                <w:kern w:val="0"/>
                <w:sz w:val="20"/>
                <w:szCs w:val="20"/>
              </w:rPr>
              <w:t>地址异常报表并导出报表；</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1776" w:hRule="atLeast"/>
        </w:trPr>
        <w:tc>
          <w:tcPr>
            <w:tcW w:w="6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74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eastAsia="等线"/>
                <w:color w:val="000000"/>
                <w:kern w:val="0"/>
                <w:sz w:val="20"/>
                <w:szCs w:val="20"/>
              </w:rPr>
            </w:pPr>
          </w:p>
        </w:tc>
        <w:tc>
          <w:tcPr>
            <w:tcW w:w="14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智能运维</w:t>
            </w:r>
          </w:p>
        </w:tc>
        <w:tc>
          <w:tcPr>
            <w:tcW w:w="547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eastAsia="等线"/>
                <w:color w:val="000000"/>
                <w:kern w:val="0"/>
                <w:sz w:val="20"/>
                <w:szCs w:val="20"/>
              </w:rPr>
            </w:pPr>
            <w:r>
              <w:rPr>
                <w:rFonts w:eastAsia="等线"/>
                <w:color w:val="000000"/>
                <w:kern w:val="0"/>
                <w:sz w:val="20"/>
                <w:szCs w:val="20"/>
              </w:rPr>
              <w:t>1</w:t>
            </w:r>
            <w:r>
              <w:rPr>
                <w:rFonts w:hint="eastAsia" w:ascii="宋体" w:hAnsi="宋体"/>
                <w:color w:val="000000"/>
                <w:kern w:val="0"/>
                <w:sz w:val="20"/>
                <w:szCs w:val="20"/>
              </w:rPr>
              <w:t>、视频可调阅性</w:t>
            </w:r>
            <w:r>
              <w:rPr>
                <w:rFonts w:eastAsia="等线"/>
                <w:color w:val="000000"/>
                <w:kern w:val="0"/>
                <w:sz w:val="20"/>
                <w:szCs w:val="20"/>
              </w:rPr>
              <w:t>-</w:t>
            </w:r>
            <w:r>
              <w:rPr>
                <w:rFonts w:hint="eastAsia" w:ascii="宋体" w:hAnsi="宋体"/>
                <w:color w:val="000000"/>
                <w:kern w:val="0"/>
                <w:sz w:val="20"/>
                <w:szCs w:val="20"/>
              </w:rPr>
              <w:t>实时视频通畅率检测，每天定时全量诊断重点联网监控摄像机，记录是否能实时播放；</w:t>
            </w:r>
            <w:r>
              <w:rPr>
                <w:rFonts w:hint="eastAsia" w:ascii="宋体" w:hAnsi="宋体"/>
                <w:color w:val="000000"/>
                <w:kern w:val="0"/>
                <w:sz w:val="20"/>
                <w:szCs w:val="20"/>
              </w:rPr>
              <w:br w:type="textWrapping"/>
            </w:r>
            <w:r>
              <w:rPr>
                <w:rFonts w:eastAsia="等线"/>
                <w:color w:val="000000"/>
                <w:kern w:val="0"/>
                <w:sz w:val="20"/>
                <w:szCs w:val="20"/>
              </w:rPr>
              <w:t>2</w:t>
            </w:r>
            <w:r>
              <w:rPr>
                <w:rFonts w:hint="eastAsia" w:ascii="宋体" w:hAnsi="宋体"/>
                <w:color w:val="000000"/>
                <w:kern w:val="0"/>
                <w:sz w:val="20"/>
                <w:szCs w:val="20"/>
              </w:rPr>
              <w:t>、视频可调阅性</w:t>
            </w:r>
            <w:r>
              <w:rPr>
                <w:rFonts w:eastAsia="等线"/>
                <w:color w:val="000000"/>
                <w:kern w:val="0"/>
                <w:sz w:val="20"/>
                <w:szCs w:val="20"/>
              </w:rPr>
              <w:t>-</w:t>
            </w:r>
            <w:r>
              <w:rPr>
                <w:rFonts w:hint="eastAsia" w:ascii="宋体" w:hAnsi="宋体"/>
                <w:color w:val="000000"/>
                <w:kern w:val="0"/>
                <w:sz w:val="20"/>
                <w:szCs w:val="20"/>
              </w:rPr>
              <w:t>支持历史录像可调阅性监测；</w:t>
            </w:r>
            <w:r>
              <w:rPr>
                <w:rFonts w:hint="eastAsia" w:ascii="宋体" w:hAnsi="宋体"/>
                <w:color w:val="000000"/>
                <w:kern w:val="0"/>
                <w:sz w:val="20"/>
                <w:szCs w:val="20"/>
              </w:rPr>
              <w:br w:type="textWrapping"/>
            </w:r>
            <w:r>
              <w:rPr>
                <w:rFonts w:eastAsia="等线"/>
                <w:color w:val="000000"/>
                <w:kern w:val="0"/>
                <w:sz w:val="20"/>
                <w:szCs w:val="20"/>
              </w:rPr>
              <w:t>3</w:t>
            </w:r>
            <w:r>
              <w:rPr>
                <w:rFonts w:hint="eastAsia" w:ascii="宋体" w:hAnsi="宋体"/>
                <w:color w:val="000000"/>
                <w:kern w:val="0"/>
                <w:sz w:val="20"/>
                <w:szCs w:val="20"/>
              </w:rPr>
              <w:t>、支持对车辆抓拍数据完整性进行监测，对上传的部分数据进行分析，判断车牌号码、车牌颜色属性等字段是否完整；</w:t>
            </w:r>
            <w:r>
              <w:rPr>
                <w:rFonts w:hint="eastAsia" w:ascii="宋体" w:hAnsi="宋体"/>
                <w:color w:val="000000"/>
                <w:kern w:val="0"/>
                <w:sz w:val="20"/>
                <w:szCs w:val="20"/>
              </w:rPr>
              <w:br w:type="textWrapping"/>
            </w:r>
            <w:r>
              <w:rPr>
                <w:rFonts w:eastAsia="等线"/>
                <w:color w:val="000000"/>
                <w:kern w:val="0"/>
                <w:sz w:val="20"/>
                <w:szCs w:val="20"/>
              </w:rPr>
              <w:t>4</w:t>
            </w:r>
            <w:r>
              <w:rPr>
                <w:rFonts w:hint="eastAsia" w:ascii="宋体" w:hAnsi="宋体"/>
                <w:color w:val="000000"/>
                <w:kern w:val="0"/>
                <w:sz w:val="20"/>
                <w:szCs w:val="20"/>
              </w:rPr>
              <w:t>、支持对车辆抓拍数据准确性进行监测，对上传的部分数据进行分析，判断车牌号码、车牌颜色属性等字段是否正确；</w:t>
            </w:r>
            <w:r>
              <w:rPr>
                <w:rFonts w:eastAsia="等线"/>
                <w:color w:val="000000"/>
                <w:kern w:val="0"/>
                <w:sz w:val="20"/>
                <w:szCs w:val="20"/>
              </w:rPr>
              <w:t xml:space="preserve"> </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套</w:t>
            </w:r>
          </w:p>
        </w:tc>
        <w:tc>
          <w:tcPr>
            <w:tcW w:w="70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r>
        <w:tblPrEx>
          <w:tblCellMar>
            <w:top w:w="0" w:type="dxa"/>
            <w:left w:w="108" w:type="dxa"/>
            <w:bottom w:w="0" w:type="dxa"/>
            <w:right w:w="108" w:type="dxa"/>
          </w:tblCellMar>
        </w:tblPrEx>
        <w:trPr>
          <w:trHeight w:val="276" w:hRule="atLeast"/>
        </w:trPr>
        <w:tc>
          <w:tcPr>
            <w:tcW w:w="604"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b/>
                <w:bCs/>
                <w:color w:val="000000"/>
                <w:kern w:val="0"/>
                <w:sz w:val="20"/>
                <w:szCs w:val="20"/>
              </w:rPr>
            </w:pPr>
            <w:r>
              <w:rPr>
                <w:rFonts w:hint="eastAsia" w:ascii="宋体" w:hAnsi="宋体" w:cs="宋体"/>
                <w:b/>
                <w:bCs/>
                <w:color w:val="000000"/>
                <w:kern w:val="0"/>
                <w:sz w:val="20"/>
                <w:szCs w:val="20"/>
              </w:rPr>
              <w:t>六</w:t>
            </w:r>
          </w:p>
        </w:tc>
        <w:tc>
          <w:tcPr>
            <w:tcW w:w="8865"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b/>
                <w:bCs/>
                <w:color w:val="000000"/>
                <w:kern w:val="0"/>
                <w:sz w:val="20"/>
                <w:szCs w:val="20"/>
              </w:rPr>
            </w:pPr>
            <w:r>
              <w:rPr>
                <w:rFonts w:hint="eastAsia" w:ascii="宋体" w:hAnsi="宋体" w:cs="宋体"/>
                <w:b/>
                <w:bCs/>
                <w:color w:val="000000"/>
                <w:kern w:val="0"/>
                <w:sz w:val="20"/>
                <w:szCs w:val="20"/>
              </w:rPr>
              <w:t>其他服务</w:t>
            </w:r>
          </w:p>
        </w:tc>
      </w:tr>
      <w:tr>
        <w:tblPrEx>
          <w:tblCellMar>
            <w:top w:w="0" w:type="dxa"/>
            <w:left w:w="108" w:type="dxa"/>
            <w:bottom w:w="0" w:type="dxa"/>
            <w:right w:w="108" w:type="dxa"/>
          </w:tblCellMar>
        </w:tblPrEx>
        <w:trPr>
          <w:trHeight w:val="2153" w:hRule="atLeast"/>
        </w:trPr>
        <w:tc>
          <w:tcPr>
            <w:tcW w:w="604"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c>
          <w:tcPr>
            <w:tcW w:w="2227" w:type="dxa"/>
            <w:gridSpan w:val="2"/>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运维费</w:t>
            </w:r>
          </w:p>
        </w:tc>
        <w:tc>
          <w:tcPr>
            <w:tcW w:w="5470" w:type="dxa"/>
            <w:tcBorders>
              <w:top w:val="nil"/>
              <w:left w:val="nil"/>
              <w:bottom w:val="single" w:color="auto" w:sz="4" w:space="0"/>
              <w:right w:val="single" w:color="auto" w:sz="4" w:space="0"/>
            </w:tcBorders>
            <w:shd w:val="clear" w:color="auto" w:fill="auto"/>
            <w:vAlign w:val="bottom"/>
          </w:tcPr>
          <w:p>
            <w:pPr>
              <w:widowControl/>
              <w:spacing w:line="240" w:lineRule="auto"/>
              <w:ind w:firstLine="0" w:firstLineChars="0"/>
              <w:rPr>
                <w:rFonts w:eastAsia="等线"/>
                <w:color w:val="000000"/>
                <w:kern w:val="0"/>
                <w:sz w:val="20"/>
                <w:szCs w:val="20"/>
              </w:rPr>
            </w:pPr>
            <w:r>
              <w:rPr>
                <w:rFonts w:hint="eastAsia" w:ascii="宋体" w:hAnsi="宋体"/>
                <w:color w:val="000000"/>
                <w:kern w:val="0"/>
                <w:sz w:val="20"/>
                <w:szCs w:val="20"/>
              </w:rPr>
              <w:t>日常维保要求</w:t>
            </w:r>
            <w:r>
              <w:rPr>
                <w:rFonts w:eastAsia="等线"/>
                <w:color w:val="000000"/>
                <w:kern w:val="0"/>
                <w:sz w:val="20"/>
                <w:szCs w:val="20"/>
              </w:rPr>
              <w:br w:type="textWrapping"/>
            </w:r>
            <w:r>
              <w:rPr>
                <w:rFonts w:hint="eastAsia" w:ascii="宋体" w:hAnsi="宋体"/>
                <w:color w:val="000000"/>
                <w:kern w:val="0"/>
                <w:sz w:val="20"/>
                <w:szCs w:val="20"/>
              </w:rPr>
              <w:t>每季度</w:t>
            </w:r>
            <w:r>
              <w:rPr>
                <w:rFonts w:eastAsia="等线"/>
                <w:color w:val="000000"/>
                <w:kern w:val="0"/>
                <w:sz w:val="20"/>
                <w:szCs w:val="20"/>
              </w:rPr>
              <w:t>:</w:t>
            </w:r>
            <w:r>
              <w:rPr>
                <w:rFonts w:hint="eastAsia" w:ascii="宋体" w:hAnsi="宋体"/>
                <w:color w:val="000000"/>
                <w:kern w:val="0"/>
                <w:sz w:val="20"/>
                <w:szCs w:val="20"/>
              </w:rPr>
              <w:t>投标方在进行与本项目有关的一切软硬件产品的施工前，须事先将所要提供的产品清单告知采购人，并在获得采购人的认可后方可施工。涉及平台软件、摄像机的具体型号、施工前，必须由采购人、中标方双方协商，进行必要的技术测试，当发生争议时，在确保中标方实际利益不受损害的前提下，采购人具有最终决定权。否则，视为违约，采购人将不予验收并拒付维护费。</w:t>
            </w:r>
            <w:r>
              <w:rPr>
                <w:rFonts w:eastAsia="等线"/>
                <w:color w:val="000000"/>
                <w:kern w:val="0"/>
                <w:sz w:val="20"/>
                <w:szCs w:val="20"/>
              </w:rPr>
              <w:br w:type="textWrapping"/>
            </w:r>
            <w:r>
              <w:rPr>
                <w:rFonts w:hint="eastAsia" w:ascii="宋体" w:hAnsi="宋体"/>
                <w:color w:val="000000"/>
                <w:kern w:val="0"/>
                <w:sz w:val="20"/>
                <w:szCs w:val="20"/>
              </w:rPr>
              <w:t>每周</w:t>
            </w:r>
            <w:r>
              <w:rPr>
                <w:rFonts w:eastAsia="等线"/>
                <w:color w:val="000000"/>
                <w:kern w:val="0"/>
                <w:sz w:val="20"/>
                <w:szCs w:val="20"/>
              </w:rPr>
              <w:t>:</w:t>
            </w:r>
            <w:r>
              <w:rPr>
                <w:rFonts w:hint="eastAsia" w:ascii="宋体" w:hAnsi="宋体"/>
                <w:color w:val="000000"/>
                <w:kern w:val="0"/>
                <w:sz w:val="20"/>
                <w:szCs w:val="20"/>
              </w:rPr>
              <w:t>对基础设施、前端设备、网络设备、服务器、存储等等进行自检和巡检，及时发现故障与隐患并排除，避免业务中断。每周对所有维护设备的运行情况及网络传输情况详细记录并及早排除，形成每周报表，由采购方指定人员进行确认。若发现线路、设备存在故障或隐患的情况时，要立即与用户沟通协调。每周巡检要形成巡检记录表，采购人根据实际情况进行抽查，发现漏检、漏修或未按规定进行记录的记入考核。</w:t>
            </w:r>
            <w:r>
              <w:rPr>
                <w:rFonts w:eastAsia="等线"/>
                <w:color w:val="000000"/>
                <w:kern w:val="0"/>
                <w:sz w:val="20"/>
                <w:szCs w:val="20"/>
              </w:rPr>
              <w:br w:type="textWrapping"/>
            </w:r>
            <w:r>
              <w:rPr>
                <w:rFonts w:hint="eastAsia" w:ascii="宋体" w:hAnsi="宋体"/>
                <w:color w:val="000000"/>
                <w:kern w:val="0"/>
                <w:sz w:val="20"/>
                <w:szCs w:val="20"/>
              </w:rPr>
              <w:t>每季度</w:t>
            </w:r>
            <w:r>
              <w:rPr>
                <w:rFonts w:eastAsia="等线"/>
                <w:color w:val="000000"/>
                <w:kern w:val="0"/>
                <w:sz w:val="20"/>
                <w:szCs w:val="20"/>
              </w:rPr>
              <w:t>:</w:t>
            </w:r>
            <w:r>
              <w:rPr>
                <w:rFonts w:hint="eastAsia" w:ascii="宋体" w:hAnsi="宋体"/>
                <w:color w:val="000000"/>
                <w:kern w:val="0"/>
                <w:sz w:val="20"/>
                <w:szCs w:val="20"/>
              </w:rPr>
              <w:t>对所有设施包括防护箱等表面及深层灰尘、油污、潮气、炭渍等有害物质进行一次清洗，消除电路板漏电、电化学腐蚀，消除导致电路性能改变、退化和失效的根源。每季度消除静电一次，防止电路击穿，保证设备正常工作以及避免重大恶性事故的发生；每季度对前端摄像机进行维护（防护罩清洁，清洁镜头），防止由于机器运转、静电等因素将尘土吸入监控设备机体内，确保机器正常运行。同时检查监控设备通风、散热、净尘、供电等设施。每季度形成前端设备维护记录表，采购人根据实际情况进行抽查，发现漏检、漏修或未按规定进行记录的记入考核。</w:t>
            </w:r>
            <w:r>
              <w:rPr>
                <w:rFonts w:eastAsia="等线"/>
                <w:color w:val="000000"/>
                <w:kern w:val="0"/>
                <w:sz w:val="20"/>
                <w:szCs w:val="20"/>
              </w:rPr>
              <w:br w:type="textWrapping"/>
            </w:r>
            <w:r>
              <w:rPr>
                <w:rFonts w:hint="eastAsia" w:ascii="宋体" w:hAnsi="宋体"/>
                <w:color w:val="000000"/>
                <w:kern w:val="0"/>
                <w:sz w:val="20"/>
                <w:szCs w:val="20"/>
              </w:rPr>
              <w:t>每月</w:t>
            </w:r>
            <w:r>
              <w:rPr>
                <w:rFonts w:eastAsia="等线"/>
                <w:color w:val="000000"/>
                <w:kern w:val="0"/>
                <w:sz w:val="20"/>
                <w:szCs w:val="20"/>
              </w:rPr>
              <w:t>:</w:t>
            </w:r>
            <w:r>
              <w:rPr>
                <w:rFonts w:hint="eastAsia" w:ascii="宋体" w:hAnsi="宋体"/>
                <w:color w:val="000000"/>
                <w:kern w:val="0"/>
                <w:sz w:val="20"/>
                <w:szCs w:val="20"/>
              </w:rPr>
              <w:t>定期对大屏、网络设备和机房设备进行维护，包括每月对精密空调、大屏、交换机、终端服务器等等进行吸尘清理。对机房供电设施及</w:t>
            </w:r>
            <w:r>
              <w:rPr>
                <w:rFonts w:eastAsia="等线"/>
                <w:color w:val="000000"/>
                <w:kern w:val="0"/>
                <w:sz w:val="20"/>
                <w:szCs w:val="20"/>
              </w:rPr>
              <w:t>ups</w:t>
            </w:r>
            <w:r>
              <w:rPr>
                <w:rFonts w:hint="eastAsia" w:ascii="宋体" w:hAnsi="宋体"/>
                <w:color w:val="000000"/>
                <w:kern w:val="0"/>
                <w:sz w:val="20"/>
                <w:szCs w:val="20"/>
              </w:rPr>
              <w:t>的运行状态要实时把握，确保电压、频率、负载容量、温度全部正常，每月测量输入输出及旁路电压电流是否正常，在市电断电情况下，</w:t>
            </w:r>
            <w:r>
              <w:rPr>
                <w:rFonts w:eastAsia="等线"/>
                <w:color w:val="000000"/>
                <w:kern w:val="0"/>
                <w:sz w:val="20"/>
                <w:szCs w:val="20"/>
              </w:rPr>
              <w:t>ups</w:t>
            </w:r>
            <w:r>
              <w:rPr>
                <w:rFonts w:hint="eastAsia" w:ascii="宋体" w:hAnsi="宋体"/>
                <w:color w:val="000000"/>
                <w:kern w:val="0"/>
                <w:sz w:val="20"/>
                <w:szCs w:val="20"/>
              </w:rPr>
              <w:t>供电机房所有设备应在</w:t>
            </w:r>
            <w:r>
              <w:rPr>
                <w:rFonts w:eastAsia="等线"/>
                <w:color w:val="000000"/>
                <w:kern w:val="0"/>
                <w:sz w:val="20"/>
                <w:szCs w:val="20"/>
              </w:rPr>
              <w:t>3</w:t>
            </w:r>
            <w:r>
              <w:rPr>
                <w:rFonts w:hint="eastAsia" w:ascii="宋体" w:hAnsi="宋体"/>
                <w:color w:val="000000"/>
                <w:kern w:val="0"/>
                <w:sz w:val="20"/>
                <w:szCs w:val="20"/>
              </w:rPr>
              <w:t>小时以上，不能满足时视为电源故障须及时更换电池。每月形成设备维护记录表，采购人根据实际情况进行抽查，发现漏检、漏修或未按规定进行记录的记入考核。</w:t>
            </w:r>
            <w:r>
              <w:rPr>
                <w:rFonts w:eastAsia="等线"/>
                <w:color w:val="000000"/>
                <w:kern w:val="0"/>
                <w:sz w:val="20"/>
                <w:szCs w:val="20"/>
              </w:rPr>
              <w:br w:type="textWrapping"/>
            </w:r>
            <w:r>
              <w:rPr>
                <w:rFonts w:hint="eastAsia" w:ascii="宋体" w:hAnsi="宋体"/>
                <w:color w:val="000000"/>
                <w:kern w:val="0"/>
                <w:sz w:val="20"/>
                <w:szCs w:val="20"/>
              </w:rPr>
              <w:t>每季度</w:t>
            </w:r>
            <w:r>
              <w:rPr>
                <w:rFonts w:eastAsia="等线"/>
                <w:color w:val="000000"/>
                <w:kern w:val="0"/>
                <w:sz w:val="20"/>
                <w:szCs w:val="20"/>
              </w:rPr>
              <w:t>:</w:t>
            </w:r>
            <w:r>
              <w:rPr>
                <w:rFonts w:hint="eastAsia" w:ascii="宋体" w:hAnsi="宋体"/>
                <w:color w:val="000000"/>
                <w:kern w:val="0"/>
                <w:sz w:val="20"/>
                <w:szCs w:val="20"/>
              </w:rPr>
              <w:t>投标配备与本项目规模相称的技术和施工人员及施工维护设备，自行承担建设、维护过程中的所有安全管理责任。</w:t>
            </w:r>
            <w:r>
              <w:rPr>
                <w:rFonts w:eastAsia="等线"/>
                <w:color w:val="000000"/>
                <w:kern w:val="0"/>
                <w:sz w:val="20"/>
                <w:szCs w:val="20"/>
              </w:rPr>
              <w:br w:type="textWrapping"/>
            </w:r>
            <w:r>
              <w:rPr>
                <w:rFonts w:hint="eastAsia" w:ascii="宋体" w:hAnsi="宋体"/>
                <w:color w:val="000000"/>
                <w:kern w:val="0"/>
                <w:sz w:val="20"/>
                <w:szCs w:val="20"/>
              </w:rPr>
              <w:t>每季度</w:t>
            </w:r>
            <w:r>
              <w:rPr>
                <w:rFonts w:eastAsia="等线"/>
                <w:color w:val="000000"/>
                <w:kern w:val="0"/>
                <w:sz w:val="20"/>
                <w:szCs w:val="20"/>
              </w:rPr>
              <w:t>:</w:t>
            </w:r>
            <w:r>
              <w:rPr>
                <w:rFonts w:hint="eastAsia" w:ascii="宋体" w:hAnsi="宋体"/>
                <w:color w:val="000000"/>
                <w:kern w:val="0"/>
                <w:sz w:val="20"/>
                <w:szCs w:val="20"/>
              </w:rPr>
              <w:t>承诺承担合同期内系统发生任何故障的抢修任务。</w:t>
            </w:r>
            <w:r>
              <w:rPr>
                <w:rFonts w:eastAsia="等线"/>
                <w:color w:val="000000"/>
                <w:kern w:val="0"/>
                <w:sz w:val="20"/>
                <w:szCs w:val="20"/>
              </w:rPr>
              <w:br w:type="textWrapping"/>
            </w:r>
            <w:r>
              <w:rPr>
                <w:rFonts w:hint="eastAsia" w:ascii="宋体" w:hAnsi="宋体"/>
                <w:color w:val="000000"/>
                <w:kern w:val="0"/>
                <w:sz w:val="20"/>
                <w:szCs w:val="20"/>
              </w:rPr>
              <w:t>设备更新更换要求</w:t>
            </w:r>
            <w:r>
              <w:rPr>
                <w:rFonts w:eastAsia="等线"/>
                <w:color w:val="000000"/>
                <w:kern w:val="0"/>
                <w:sz w:val="20"/>
                <w:szCs w:val="20"/>
              </w:rPr>
              <w:br w:type="textWrapping"/>
            </w:r>
            <w:r>
              <w:rPr>
                <w:rFonts w:hint="eastAsia" w:ascii="宋体" w:hAnsi="宋体"/>
                <w:color w:val="000000"/>
                <w:kern w:val="0"/>
                <w:sz w:val="20"/>
                <w:szCs w:val="20"/>
              </w:rPr>
              <w:t>每季度</w:t>
            </w:r>
            <w:r>
              <w:rPr>
                <w:rFonts w:eastAsia="等线"/>
                <w:color w:val="000000"/>
                <w:kern w:val="0"/>
                <w:sz w:val="20"/>
                <w:szCs w:val="20"/>
              </w:rPr>
              <w:t>:</w:t>
            </w:r>
            <w:r>
              <w:rPr>
                <w:rFonts w:hint="eastAsia" w:ascii="宋体" w:hAnsi="宋体"/>
                <w:color w:val="000000"/>
                <w:kern w:val="0"/>
                <w:sz w:val="20"/>
                <w:szCs w:val="20"/>
              </w:rPr>
              <w:t>本次项目前端</w:t>
            </w:r>
            <w:r>
              <w:rPr>
                <w:rFonts w:eastAsia="等线"/>
                <w:color w:val="000000"/>
                <w:kern w:val="0"/>
                <w:sz w:val="20"/>
                <w:szCs w:val="20"/>
              </w:rPr>
              <w:t>3%</w:t>
            </w:r>
            <w:r>
              <w:rPr>
                <w:rFonts w:hint="eastAsia" w:ascii="宋体" w:hAnsi="宋体"/>
                <w:color w:val="000000"/>
                <w:kern w:val="0"/>
                <w:sz w:val="20"/>
                <w:szCs w:val="20"/>
              </w:rPr>
              <w:t>的冗余设施，采购人在</w:t>
            </w:r>
            <w:r>
              <w:rPr>
                <w:rFonts w:eastAsia="等线"/>
                <w:color w:val="000000"/>
                <w:kern w:val="0"/>
                <w:sz w:val="20"/>
                <w:szCs w:val="20"/>
              </w:rPr>
              <w:t>3</w:t>
            </w:r>
            <w:r>
              <w:rPr>
                <w:rFonts w:hint="eastAsia" w:ascii="宋体" w:hAnsi="宋体"/>
                <w:color w:val="000000"/>
                <w:kern w:val="0"/>
                <w:sz w:val="20"/>
                <w:szCs w:val="20"/>
              </w:rPr>
              <w:t>年内根据实际需求，指定安装位置，由服务方负责完成施工、安装、传输等工作，所发生费用由服务方负责。</w:t>
            </w:r>
            <w:r>
              <w:rPr>
                <w:rFonts w:eastAsia="等线"/>
                <w:color w:val="000000"/>
                <w:kern w:val="0"/>
                <w:sz w:val="20"/>
                <w:szCs w:val="20"/>
              </w:rPr>
              <w:br w:type="textWrapping"/>
            </w:r>
            <w:r>
              <w:rPr>
                <w:rFonts w:hint="eastAsia" w:ascii="宋体" w:hAnsi="宋体"/>
                <w:color w:val="000000"/>
                <w:kern w:val="0"/>
                <w:sz w:val="20"/>
                <w:szCs w:val="20"/>
              </w:rPr>
              <w:t>每季度</w:t>
            </w:r>
            <w:r>
              <w:rPr>
                <w:rFonts w:eastAsia="等线"/>
                <w:color w:val="000000"/>
                <w:kern w:val="0"/>
                <w:sz w:val="20"/>
                <w:szCs w:val="20"/>
              </w:rPr>
              <w:t>:</w:t>
            </w:r>
            <w:r>
              <w:rPr>
                <w:rFonts w:hint="eastAsia" w:ascii="宋体" w:hAnsi="宋体"/>
                <w:color w:val="000000"/>
                <w:kern w:val="0"/>
                <w:sz w:val="20"/>
                <w:szCs w:val="20"/>
              </w:rPr>
              <w:t>本次项目服务涉及前端摄像机及配套设施，经检查，视频图像不满足上级公安机关下达的视频图像治理相关要求的，服务方应及时更新更换，更新更换设施属于正常维护范围，不应使用</w:t>
            </w:r>
            <w:r>
              <w:rPr>
                <w:rFonts w:eastAsia="等线"/>
                <w:color w:val="000000"/>
                <w:kern w:val="0"/>
                <w:sz w:val="20"/>
                <w:szCs w:val="20"/>
              </w:rPr>
              <w:t>3%</w:t>
            </w:r>
            <w:r>
              <w:rPr>
                <w:rFonts w:hint="eastAsia" w:ascii="宋体" w:hAnsi="宋体"/>
                <w:color w:val="000000"/>
                <w:kern w:val="0"/>
                <w:sz w:val="20"/>
                <w:szCs w:val="20"/>
              </w:rPr>
              <w:t>的冗余设施。</w:t>
            </w:r>
          </w:p>
        </w:tc>
        <w:tc>
          <w:tcPr>
            <w:tcW w:w="46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0"/>
                <w:szCs w:val="20"/>
              </w:rPr>
            </w:pPr>
            <w:r>
              <w:rPr>
                <w:rFonts w:hint="eastAsia" w:ascii="宋体" w:hAnsi="宋体"/>
                <w:color w:val="000000"/>
                <w:kern w:val="0"/>
                <w:sz w:val="20"/>
                <w:szCs w:val="20"/>
              </w:rPr>
              <w:t>套</w:t>
            </w:r>
          </w:p>
        </w:tc>
        <w:tc>
          <w:tcPr>
            <w:tcW w:w="70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0"/>
                <w:szCs w:val="20"/>
              </w:rPr>
            </w:pPr>
            <w:r>
              <w:rPr>
                <w:rFonts w:eastAsia="等线"/>
                <w:color w:val="000000"/>
                <w:kern w:val="0"/>
                <w:sz w:val="20"/>
                <w:szCs w:val="20"/>
              </w:rPr>
              <w:t>1</w:t>
            </w:r>
          </w:p>
        </w:tc>
      </w:tr>
    </w:tbl>
    <w:p>
      <w:pPr>
        <w:ind w:firstLine="0" w:firstLineChars="0"/>
      </w:pPr>
    </w:p>
    <w:p>
      <w:pPr>
        <w:pStyle w:val="2"/>
        <w:numPr>
          <w:ilvl w:val="0"/>
          <w:numId w:val="0"/>
        </w:numPr>
        <w:jc w:val="center"/>
      </w:pPr>
      <w:r>
        <w:rPr>
          <w:rFonts w:hint="eastAsia"/>
        </w:rPr>
        <w:t xml:space="preserve">第四章 </w:t>
      </w:r>
      <w:r>
        <w:t xml:space="preserve"> </w:t>
      </w:r>
      <w:r>
        <w:rPr>
          <w:rFonts w:hint="eastAsia"/>
        </w:rPr>
        <w:t>服务能力</w:t>
      </w:r>
      <w:bookmarkEnd w:id="108"/>
    </w:p>
    <w:p>
      <w:pPr>
        <w:pStyle w:val="106"/>
        <w:keepNext/>
        <w:keepLines/>
        <w:pageBreakBefore/>
        <w:widowControl/>
        <w:numPr>
          <w:ilvl w:val="0"/>
          <w:numId w:val="19"/>
        </w:numPr>
        <w:tabs>
          <w:tab w:val="left" w:pos="480"/>
        </w:tabs>
        <w:spacing w:before="120" w:after="120"/>
        <w:ind w:firstLineChars="0"/>
        <w:outlineLvl w:val="0"/>
        <w:rPr>
          <w:rFonts w:eastAsia="黑体"/>
          <w:bCs/>
          <w:vanish/>
          <w:kern w:val="44"/>
          <w:sz w:val="28"/>
          <w:szCs w:val="28"/>
        </w:rPr>
      </w:pPr>
      <w:bookmarkStart w:id="110" w:name="_Toc112317385"/>
    </w:p>
    <w:p>
      <w:pPr>
        <w:pStyle w:val="106"/>
        <w:keepNext/>
        <w:keepLines/>
        <w:widowControl/>
        <w:numPr>
          <w:ilvl w:val="1"/>
          <w:numId w:val="19"/>
        </w:numPr>
        <w:tabs>
          <w:tab w:val="left" w:pos="480"/>
        </w:tabs>
        <w:spacing w:before="120" w:after="120"/>
        <w:ind w:firstLineChars="0"/>
        <w:outlineLvl w:val="1"/>
        <w:rPr>
          <w:rFonts w:eastAsia="黑体"/>
          <w:bCs/>
          <w:vanish/>
          <w:kern w:val="44"/>
          <w:sz w:val="28"/>
          <w:szCs w:val="28"/>
        </w:rPr>
      </w:pPr>
    </w:p>
    <w:p>
      <w:pPr>
        <w:pStyle w:val="106"/>
        <w:keepNext/>
        <w:keepLines/>
        <w:widowControl/>
        <w:numPr>
          <w:ilvl w:val="1"/>
          <w:numId w:val="19"/>
        </w:numPr>
        <w:tabs>
          <w:tab w:val="left" w:pos="480"/>
        </w:tabs>
        <w:spacing w:before="120" w:after="120"/>
        <w:ind w:firstLineChars="0"/>
        <w:outlineLvl w:val="1"/>
        <w:rPr>
          <w:rFonts w:eastAsia="黑体"/>
          <w:bCs/>
          <w:vanish/>
          <w:kern w:val="44"/>
          <w:sz w:val="28"/>
          <w:szCs w:val="28"/>
        </w:rPr>
      </w:pPr>
    </w:p>
    <w:p>
      <w:pPr>
        <w:pStyle w:val="106"/>
        <w:keepNext/>
        <w:keepLines/>
        <w:widowControl/>
        <w:numPr>
          <w:ilvl w:val="1"/>
          <w:numId w:val="19"/>
        </w:numPr>
        <w:tabs>
          <w:tab w:val="left" w:pos="480"/>
        </w:tabs>
        <w:spacing w:before="120" w:after="120"/>
        <w:ind w:firstLineChars="0"/>
        <w:outlineLvl w:val="1"/>
        <w:rPr>
          <w:rFonts w:eastAsia="黑体"/>
          <w:bCs/>
          <w:vanish/>
          <w:kern w:val="44"/>
          <w:sz w:val="28"/>
          <w:szCs w:val="28"/>
        </w:rPr>
      </w:pPr>
    </w:p>
    <w:p>
      <w:pPr>
        <w:pStyle w:val="106"/>
        <w:keepNext/>
        <w:keepLines/>
        <w:widowControl/>
        <w:numPr>
          <w:ilvl w:val="1"/>
          <w:numId w:val="19"/>
        </w:numPr>
        <w:tabs>
          <w:tab w:val="left" w:pos="480"/>
        </w:tabs>
        <w:spacing w:before="120" w:after="120"/>
        <w:ind w:firstLineChars="0"/>
        <w:outlineLvl w:val="1"/>
        <w:rPr>
          <w:rFonts w:eastAsia="黑体"/>
          <w:bCs/>
          <w:vanish/>
          <w:kern w:val="44"/>
          <w:sz w:val="28"/>
          <w:szCs w:val="28"/>
        </w:rPr>
      </w:pPr>
    </w:p>
    <w:p>
      <w:pPr>
        <w:pStyle w:val="4"/>
        <w:numPr>
          <w:ilvl w:val="2"/>
          <w:numId w:val="19"/>
        </w:numPr>
      </w:pPr>
      <w:r>
        <w:rPr>
          <w:rFonts w:hint="eastAsia"/>
        </w:rPr>
        <w:t>人员配置</w:t>
      </w:r>
      <w:bookmarkEnd w:id="110"/>
    </w:p>
    <w:p>
      <w:r>
        <w:rPr>
          <w:rFonts w:hint="eastAsia"/>
        </w:rPr>
        <w:t>考虑到该项目生命周期较长，维护量大，故需要在项目开工后在达拉特旗本地设立办事机构，并提供7*24小时服务，配备1名项目经理，配备2名技术人员提供本地化技术支撑（ 包含1名平台厂家驻场人员），配备不少于5名施工人员，并承诺本项目组建的维护队伍的项目经理和2名技术人员保持稳定，除离职或甲方建议更换外一般不得随意更换。</w:t>
      </w:r>
    </w:p>
    <w:p>
      <w:r>
        <w:rPr>
          <w:rFonts w:hint="eastAsia"/>
        </w:rPr>
        <w:t>项目经理，应该在高清监控技术、通信技术、计算机及其设备硬件技术、系统运行与维护工作管理方面具有非常专业和独到的经验和知识。 对维护工作进行紧密跟踪和管理，协调与采购人之间的重大问题。对项目经理的职责应该在项目管理相关部分做充分的规定。</w:t>
      </w:r>
    </w:p>
    <w:p>
      <w:r>
        <w:rPr>
          <w:rFonts w:hint="eastAsia"/>
        </w:rPr>
        <w:t>以上2名技术人员为大专或以上学历，参加相关工作时间在3年以上；作为本维护项目的技术骨干，常驻人员应该在高清监控技术、通信技术、计算机及其设备硬件技术、系统运行与维护工作管理方面具有非常专业和独到的经验和知识。 采购人提供固定办公室，对常驻人员进行考勤管理。</w:t>
      </w:r>
    </w:p>
    <w:p>
      <w:r>
        <w:rPr>
          <w:rFonts w:hint="eastAsia"/>
        </w:rPr>
        <w:t>投标配备与本项目规模相称的技术和施工人员及施工维护设备，自行承担建设、维护过程中的所有安全管理责任。</w:t>
      </w:r>
    </w:p>
    <w:p>
      <w:pPr>
        <w:pStyle w:val="4"/>
      </w:pPr>
      <w:bookmarkStart w:id="111" w:name="_Toc112317386"/>
      <w:r>
        <w:rPr>
          <w:rFonts w:hint="eastAsia"/>
        </w:rPr>
        <w:t>备品备件服务</w:t>
      </w:r>
      <w:bookmarkEnd w:id="111"/>
    </w:p>
    <w:p>
      <w:r>
        <w:rPr>
          <w:rFonts w:hint="eastAsia"/>
        </w:rPr>
        <w:t>为保证维护时效，中标单位需储备设备的备品备件，数量不少于本项目设备总量的3%；本次项目3%的前端冗余设施，采购人在3年内根据实际需求指定安装位置，由服务方负责完成施工、安装、传输等工作，所发生费用由服务方负责；涉及前端摄像机及配套设施，经检查，视频图像不满足上级公安机关下达的视频图像治理相关要求的，服务方应及时更新更换（总更新数量不超过300台摄像机），更新更换设施属于正常维护范围，不应使用3%的冗余设施。 具体备品备件保障服务要求如下：</w:t>
      </w:r>
    </w:p>
    <w:p>
      <w:r>
        <w:rPr>
          <w:rFonts w:hint="eastAsia"/>
        </w:rPr>
        <w:t>（1）备件先行替换</w:t>
      </w:r>
    </w:p>
    <w:p>
      <w:r>
        <w:rPr>
          <w:rFonts w:hint="eastAsia"/>
        </w:rPr>
        <w:t>当本项目设备出现故障件时，中标单位需在规定的时间内提供备件（具体规定时长见考核指标评分表），并且第一时间替换故障件，以保障设备的稳定运行。可以在现场故障处理完成后，再将故障件送修。</w:t>
      </w:r>
    </w:p>
    <w:p>
      <w:r>
        <w:rPr>
          <w:rFonts w:hint="eastAsia"/>
        </w:rPr>
        <w:t>（2）故障件送修</w:t>
      </w:r>
    </w:p>
    <w:p>
      <w:r>
        <w:rPr>
          <w:rFonts w:hint="eastAsia"/>
        </w:rPr>
        <w:t>在备件替换故障件后，原有故障件需进行及时送修，避免由于维修周期而导致的备件数量处于安全数量以下的情况。</w:t>
      </w:r>
    </w:p>
    <w:p>
      <w:r>
        <w:rPr>
          <w:rFonts w:hint="eastAsia"/>
        </w:rPr>
        <w:t>（3）备件升级</w:t>
      </w:r>
    </w:p>
    <w:p>
      <w:r>
        <w:rPr>
          <w:rFonts w:hint="eastAsia"/>
        </w:rPr>
        <w:t>在合同期中，如遇系统升级导致设备部件的升级，中标单位需对备件库中的备件进行及时的升级，保证备件与现场运行设备的版本一致。</w:t>
      </w:r>
    </w:p>
    <w:bookmarkEnd w:id="109"/>
    <w:p>
      <w:pPr>
        <w:pStyle w:val="2"/>
        <w:numPr>
          <w:ilvl w:val="0"/>
          <w:numId w:val="0"/>
        </w:numPr>
        <w:jc w:val="center"/>
      </w:pPr>
      <w:bookmarkStart w:id="112" w:name="_Toc112317390"/>
      <w:bookmarkStart w:id="113" w:name="_Toc110247036"/>
      <w:r>
        <w:rPr>
          <w:rFonts w:hint="eastAsia"/>
        </w:rPr>
        <w:t xml:space="preserve">第五章 </w:t>
      </w:r>
      <w:r>
        <w:t xml:space="preserve"> 服务</w:t>
      </w:r>
      <w:r>
        <w:rPr>
          <w:rFonts w:hint="eastAsia"/>
        </w:rPr>
        <w:t>备案检查</w:t>
      </w:r>
      <w:bookmarkEnd w:id="112"/>
      <w:bookmarkEnd w:id="113"/>
    </w:p>
    <w:p>
      <w:pPr>
        <w:pStyle w:val="106"/>
        <w:keepNext/>
        <w:keepLines/>
        <w:pageBreakBefore/>
        <w:widowControl/>
        <w:tabs>
          <w:tab w:val="left" w:pos="480"/>
        </w:tabs>
        <w:spacing w:before="120" w:after="120"/>
        <w:ind w:firstLine="0" w:firstLineChars="0"/>
        <w:outlineLvl w:val="0"/>
        <w:rPr>
          <w:rFonts w:eastAsia="黑体"/>
          <w:bCs/>
          <w:vanish/>
          <w:kern w:val="44"/>
          <w:sz w:val="28"/>
          <w:szCs w:val="28"/>
        </w:rPr>
      </w:pPr>
      <w:bookmarkStart w:id="114" w:name="_Toc112317391"/>
      <w:bookmarkStart w:id="115" w:name="_Toc110247037"/>
    </w:p>
    <w:p>
      <w:pPr>
        <w:pStyle w:val="3"/>
        <w:numPr>
          <w:ilvl w:val="1"/>
          <w:numId w:val="20"/>
        </w:numPr>
        <w:rPr>
          <w:vanish/>
        </w:rPr>
      </w:pPr>
    </w:p>
    <w:p>
      <w:pPr>
        <w:pStyle w:val="106"/>
        <w:keepNext/>
        <w:keepLines/>
        <w:widowControl/>
        <w:numPr>
          <w:ilvl w:val="1"/>
          <w:numId w:val="1"/>
        </w:numPr>
        <w:tabs>
          <w:tab w:val="left" w:pos="480"/>
        </w:tabs>
        <w:spacing w:before="120" w:after="120"/>
        <w:ind w:firstLineChars="0"/>
        <w:outlineLvl w:val="1"/>
        <w:rPr>
          <w:rFonts w:eastAsia="黑体"/>
          <w:bCs/>
          <w:vanish/>
          <w:kern w:val="44"/>
          <w:sz w:val="28"/>
          <w:szCs w:val="28"/>
        </w:rPr>
      </w:pPr>
    </w:p>
    <w:p>
      <w:pPr>
        <w:pStyle w:val="106"/>
        <w:keepNext/>
        <w:keepLines/>
        <w:widowControl/>
        <w:numPr>
          <w:ilvl w:val="1"/>
          <w:numId w:val="1"/>
        </w:numPr>
        <w:tabs>
          <w:tab w:val="left" w:pos="480"/>
        </w:tabs>
        <w:spacing w:before="120" w:after="120"/>
        <w:ind w:firstLineChars="0"/>
        <w:outlineLvl w:val="1"/>
        <w:rPr>
          <w:rFonts w:eastAsia="黑体"/>
          <w:bCs/>
          <w:vanish/>
          <w:kern w:val="44"/>
          <w:sz w:val="28"/>
          <w:szCs w:val="28"/>
        </w:rPr>
      </w:pPr>
    </w:p>
    <w:p>
      <w:pPr>
        <w:pStyle w:val="106"/>
        <w:keepNext/>
        <w:keepLines/>
        <w:widowControl/>
        <w:numPr>
          <w:ilvl w:val="1"/>
          <w:numId w:val="1"/>
        </w:numPr>
        <w:tabs>
          <w:tab w:val="left" w:pos="480"/>
        </w:tabs>
        <w:spacing w:before="120" w:after="120"/>
        <w:ind w:firstLineChars="0"/>
        <w:outlineLvl w:val="1"/>
        <w:rPr>
          <w:rFonts w:eastAsia="黑体"/>
          <w:bCs/>
          <w:vanish/>
          <w:kern w:val="44"/>
          <w:sz w:val="28"/>
          <w:szCs w:val="28"/>
        </w:rPr>
      </w:pPr>
    </w:p>
    <w:p>
      <w:pPr>
        <w:pStyle w:val="106"/>
        <w:keepNext/>
        <w:keepLines/>
        <w:widowControl/>
        <w:numPr>
          <w:ilvl w:val="1"/>
          <w:numId w:val="1"/>
        </w:numPr>
        <w:tabs>
          <w:tab w:val="left" w:pos="480"/>
        </w:tabs>
        <w:spacing w:before="120" w:after="120"/>
        <w:ind w:firstLineChars="0"/>
        <w:outlineLvl w:val="1"/>
        <w:rPr>
          <w:rFonts w:eastAsia="黑体"/>
          <w:bCs/>
          <w:vanish/>
          <w:kern w:val="44"/>
          <w:sz w:val="28"/>
          <w:szCs w:val="28"/>
        </w:rPr>
      </w:pPr>
    </w:p>
    <w:p>
      <w:pPr>
        <w:pStyle w:val="4"/>
      </w:pPr>
      <w:r>
        <w:rPr>
          <w:rFonts w:hint="eastAsia"/>
        </w:rPr>
        <w:t>检查</w:t>
      </w:r>
      <w:r>
        <w:t>流程</w:t>
      </w:r>
      <w:bookmarkEnd w:id="114"/>
      <w:bookmarkEnd w:id="115"/>
    </w:p>
    <w:p>
      <w:r>
        <w:t>服务商自行组织开展每个环节</w:t>
      </w:r>
      <w:r>
        <w:rPr>
          <w:rFonts w:hint="eastAsia"/>
        </w:rPr>
        <w:t>的</w:t>
      </w:r>
      <w:r>
        <w:t>验收</w:t>
      </w:r>
      <w:r>
        <w:rPr>
          <w:rFonts w:hint="eastAsia"/>
        </w:rPr>
        <w:t>工作</w:t>
      </w:r>
      <w:r>
        <w:t>，形成</w:t>
      </w:r>
      <w:r>
        <w:rPr>
          <w:rFonts w:hint="eastAsia"/>
        </w:rPr>
        <w:t>相关</w:t>
      </w:r>
      <w:r>
        <w:t>验收</w:t>
      </w:r>
      <w:r>
        <w:rPr>
          <w:rFonts w:hint="eastAsia"/>
        </w:rPr>
        <w:t>材料</w:t>
      </w:r>
      <w:r>
        <w:t>后提交业主</w:t>
      </w:r>
      <w:r>
        <w:rPr>
          <w:rFonts w:hint="eastAsia"/>
        </w:rPr>
        <w:t>备案，业主检查相关验收资料的完整性</w:t>
      </w:r>
      <w:r>
        <w:t>。</w:t>
      </w:r>
    </w:p>
    <w:p>
      <w:pPr>
        <w:pStyle w:val="4"/>
      </w:pPr>
      <w:bookmarkStart w:id="116" w:name="_Toc112317392"/>
      <w:bookmarkStart w:id="117" w:name="_Toc110247038"/>
      <w:r>
        <w:rPr>
          <w:rFonts w:hint="eastAsia"/>
        </w:rPr>
        <w:t>检查</w:t>
      </w:r>
      <w:r>
        <w:t>依据</w:t>
      </w:r>
      <w:bookmarkEnd w:id="116"/>
      <w:bookmarkEnd w:id="117"/>
    </w:p>
    <w:p>
      <w:pPr>
        <w:jc w:val="both"/>
      </w:pPr>
      <w:r>
        <w:rPr>
          <w:rFonts w:hint="eastAsia"/>
        </w:rPr>
        <w:t>备案检查</w:t>
      </w:r>
      <w:r>
        <w:t xml:space="preserve">主要依据如下： </w:t>
      </w:r>
    </w:p>
    <w:p>
      <w:pPr>
        <w:numPr>
          <w:ilvl w:val="0"/>
          <w:numId w:val="21"/>
        </w:numPr>
        <w:jc w:val="both"/>
      </w:pPr>
      <w:r>
        <w:t>国家相关的法律法规；</w:t>
      </w:r>
    </w:p>
    <w:p>
      <w:pPr>
        <w:numPr>
          <w:ilvl w:val="0"/>
          <w:numId w:val="21"/>
        </w:numPr>
        <w:jc w:val="both"/>
      </w:pPr>
      <w:r>
        <w:t>国家或行业相关标准规范；</w:t>
      </w:r>
    </w:p>
    <w:p>
      <w:pPr>
        <w:numPr>
          <w:ilvl w:val="0"/>
          <w:numId w:val="21"/>
        </w:numPr>
        <w:jc w:val="both"/>
      </w:pPr>
      <w:r>
        <w:t>本项目招投标文件；</w:t>
      </w:r>
    </w:p>
    <w:p>
      <w:pPr>
        <w:numPr>
          <w:ilvl w:val="0"/>
          <w:numId w:val="21"/>
        </w:numPr>
        <w:jc w:val="both"/>
      </w:pPr>
      <w:r>
        <w:t>本项目补疑文件；</w:t>
      </w:r>
    </w:p>
    <w:p>
      <w:pPr>
        <w:numPr>
          <w:ilvl w:val="0"/>
          <w:numId w:val="21"/>
        </w:numPr>
        <w:jc w:val="both"/>
      </w:pPr>
      <w:r>
        <w:t>项目合同及其附件；</w:t>
      </w:r>
    </w:p>
    <w:p>
      <w:pPr>
        <w:numPr>
          <w:ilvl w:val="0"/>
          <w:numId w:val="21"/>
        </w:numPr>
        <w:jc w:val="both"/>
      </w:pPr>
      <w:r>
        <w:rPr>
          <w:rFonts w:hint="eastAsia"/>
        </w:rPr>
        <w:t>第三方</w:t>
      </w:r>
      <w:r>
        <w:t>测试报告、评价报告以及其他相关文件等。</w:t>
      </w:r>
    </w:p>
    <w:p>
      <w:pPr>
        <w:pStyle w:val="4"/>
      </w:pPr>
      <w:bookmarkStart w:id="118" w:name="_Toc110247039"/>
      <w:bookmarkStart w:id="119" w:name="_Toc112317393"/>
      <w:r>
        <w:rPr>
          <w:rFonts w:hint="eastAsia"/>
        </w:rPr>
        <w:t>备案</w:t>
      </w:r>
      <w:r>
        <w:t>材料</w:t>
      </w:r>
      <w:bookmarkEnd w:id="118"/>
      <w:bookmarkEnd w:id="119"/>
    </w:p>
    <w:p>
      <w:pPr>
        <w:jc w:val="both"/>
        <w:sectPr>
          <w:footerReference r:id="rId11" w:type="default"/>
          <w:pgSz w:w="11906" w:h="16838"/>
          <w:pgMar w:top="1440" w:right="1287" w:bottom="1440" w:left="1287" w:header="851" w:footer="992" w:gutter="0"/>
          <w:cols w:space="425" w:num="1"/>
          <w:docGrid w:type="lines" w:linePitch="326" w:charSpace="0"/>
        </w:sectPr>
      </w:pPr>
      <w:r>
        <w:rPr>
          <w:rFonts w:hint="eastAsia"/>
        </w:rPr>
        <w:t>备案</w:t>
      </w:r>
      <w:r>
        <w:t>材料包含以下部分：</w:t>
      </w:r>
    </w:p>
    <w:tbl>
      <w:tblPr>
        <w:tblStyle w:val="35"/>
        <w:tblW w:w="5000" w:type="pct"/>
        <w:tblInd w:w="0" w:type="dxa"/>
        <w:tblLayout w:type="autofit"/>
        <w:tblCellMar>
          <w:top w:w="0" w:type="dxa"/>
          <w:left w:w="108" w:type="dxa"/>
          <w:bottom w:w="0" w:type="dxa"/>
          <w:right w:w="108" w:type="dxa"/>
        </w:tblCellMar>
      </w:tblPr>
      <w:tblGrid>
        <w:gridCol w:w="1161"/>
        <w:gridCol w:w="5070"/>
        <w:gridCol w:w="1157"/>
        <w:gridCol w:w="2160"/>
      </w:tblGrid>
      <w:tr>
        <w:tblPrEx>
          <w:tblCellMar>
            <w:top w:w="0" w:type="dxa"/>
            <w:left w:w="108" w:type="dxa"/>
            <w:bottom w:w="0" w:type="dxa"/>
            <w:right w:w="108" w:type="dxa"/>
          </w:tblCellMar>
        </w:tblPrEx>
        <w:trPr>
          <w:trHeight w:val="460" w:hRule="atLeast"/>
        </w:trPr>
        <w:tc>
          <w:tcPr>
            <w:tcW w:w="5000" w:type="pct"/>
            <w:gridSpan w:val="4"/>
            <w:tcBorders>
              <w:top w:val="nil"/>
              <w:left w:val="nil"/>
              <w:bottom w:val="nil"/>
              <w:right w:val="nil"/>
            </w:tcBorders>
            <w:shd w:val="clear" w:color="auto" w:fill="auto"/>
            <w:noWrap/>
            <w:vAlign w:val="bottom"/>
          </w:tcPr>
          <w:p>
            <w:pPr>
              <w:widowControl/>
              <w:spacing w:line="240" w:lineRule="auto"/>
              <w:ind w:firstLine="0" w:firstLineChars="0"/>
              <w:jc w:val="center"/>
              <w:rPr>
                <w:color w:val="000000"/>
                <w:kern w:val="0"/>
                <w:sz w:val="21"/>
                <w:szCs w:val="21"/>
              </w:rPr>
            </w:pPr>
            <w:r>
              <w:rPr>
                <w:color w:val="000000"/>
                <w:kern w:val="0"/>
                <w:sz w:val="28"/>
                <w:szCs w:val="28"/>
              </w:rPr>
              <w:t>服务</w:t>
            </w:r>
            <w:r>
              <w:rPr>
                <w:rFonts w:hint="eastAsia"/>
                <w:color w:val="000000"/>
                <w:kern w:val="0"/>
                <w:sz w:val="28"/>
                <w:szCs w:val="28"/>
              </w:rPr>
              <w:t>备案检查</w:t>
            </w:r>
            <w:r>
              <w:rPr>
                <w:color w:val="000000"/>
                <w:kern w:val="0"/>
                <w:sz w:val="28"/>
                <w:szCs w:val="28"/>
              </w:rPr>
              <w:t>清单</w:t>
            </w:r>
          </w:p>
        </w:tc>
      </w:tr>
      <w:tr>
        <w:tblPrEx>
          <w:tblCellMar>
            <w:top w:w="0" w:type="dxa"/>
            <w:left w:w="108" w:type="dxa"/>
            <w:bottom w:w="0" w:type="dxa"/>
            <w:right w:w="108" w:type="dxa"/>
          </w:tblCellMar>
        </w:tblPrEx>
        <w:trPr>
          <w:trHeight w:val="290" w:hRule="atLeast"/>
        </w:trPr>
        <w:tc>
          <w:tcPr>
            <w:tcW w:w="5000" w:type="pct"/>
            <w:gridSpan w:val="4"/>
            <w:tcBorders>
              <w:top w:val="nil"/>
              <w:left w:val="nil"/>
              <w:bottom w:val="nil"/>
              <w:right w:val="nil"/>
            </w:tcBorders>
            <w:shd w:val="clear" w:color="auto" w:fill="auto"/>
            <w:noWrap/>
            <w:vAlign w:val="bottom"/>
          </w:tcPr>
          <w:p>
            <w:pPr>
              <w:widowControl/>
              <w:spacing w:line="240" w:lineRule="auto"/>
              <w:ind w:firstLine="0" w:firstLineChars="0"/>
              <w:rPr>
                <w:color w:val="000000"/>
                <w:kern w:val="0"/>
                <w:sz w:val="21"/>
                <w:szCs w:val="21"/>
              </w:rPr>
            </w:pPr>
            <w:r>
              <w:rPr>
                <w:color w:val="000000"/>
                <w:kern w:val="0"/>
                <w:sz w:val="21"/>
                <w:szCs w:val="21"/>
              </w:rPr>
              <w:t>服务名称：</w:t>
            </w:r>
          </w:p>
        </w:tc>
      </w:tr>
      <w:tr>
        <w:tblPrEx>
          <w:tblCellMar>
            <w:top w:w="0" w:type="dxa"/>
            <w:left w:w="108" w:type="dxa"/>
            <w:bottom w:w="0" w:type="dxa"/>
            <w:right w:w="108" w:type="dxa"/>
          </w:tblCellMar>
        </w:tblPrEx>
        <w:trPr>
          <w:trHeight w:val="280" w:hRule="atLeast"/>
        </w:trPr>
        <w:tc>
          <w:tcPr>
            <w:tcW w:w="6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rPr>
            </w:pPr>
            <w:r>
              <w:rPr>
                <w:color w:val="000000"/>
                <w:kern w:val="0"/>
                <w:sz w:val="21"/>
                <w:szCs w:val="21"/>
              </w:rPr>
              <w:t>序号</w:t>
            </w:r>
          </w:p>
        </w:tc>
        <w:tc>
          <w:tcPr>
            <w:tcW w:w="2655"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rPr>
            </w:pPr>
            <w:r>
              <w:rPr>
                <w:color w:val="000000"/>
                <w:kern w:val="0"/>
                <w:sz w:val="21"/>
                <w:szCs w:val="21"/>
              </w:rPr>
              <w:t>资料名称</w:t>
            </w:r>
          </w:p>
        </w:tc>
        <w:tc>
          <w:tcPr>
            <w:tcW w:w="606"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rPr>
            </w:pPr>
            <w:r>
              <w:rPr>
                <w:color w:val="000000"/>
                <w:kern w:val="0"/>
                <w:sz w:val="21"/>
                <w:szCs w:val="21"/>
              </w:rPr>
              <w:t>数量</w:t>
            </w:r>
          </w:p>
        </w:tc>
        <w:tc>
          <w:tcPr>
            <w:tcW w:w="1131"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rPr>
            </w:pPr>
            <w:r>
              <w:rPr>
                <w:color w:val="000000"/>
                <w:kern w:val="0"/>
                <w:sz w:val="21"/>
                <w:szCs w:val="21"/>
              </w:rPr>
              <w:t>出具方</w:t>
            </w:r>
          </w:p>
        </w:tc>
      </w:tr>
      <w:tr>
        <w:tblPrEx>
          <w:tblCellMar>
            <w:top w:w="0" w:type="dxa"/>
            <w:left w:w="108" w:type="dxa"/>
            <w:bottom w:w="0" w:type="dxa"/>
            <w:right w:w="108" w:type="dxa"/>
          </w:tblCellMar>
        </w:tblPrEx>
        <w:trPr>
          <w:trHeight w:val="280" w:hRule="atLeast"/>
        </w:trPr>
        <w:tc>
          <w:tcPr>
            <w:tcW w:w="60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rPr>
            </w:pPr>
            <w:r>
              <w:rPr>
                <w:color w:val="000000"/>
                <w:kern w:val="0"/>
                <w:sz w:val="21"/>
                <w:szCs w:val="21"/>
              </w:rPr>
              <w:t>1</w:t>
            </w:r>
          </w:p>
        </w:tc>
        <w:tc>
          <w:tcPr>
            <w:tcW w:w="265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中标通知书</w:t>
            </w:r>
          </w:p>
        </w:tc>
        <w:tc>
          <w:tcPr>
            <w:tcW w:w="60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p>
        </w:tc>
        <w:tc>
          <w:tcPr>
            <w:tcW w:w="1131"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rPr>
            </w:pPr>
            <w:r>
              <w:rPr>
                <w:color w:val="000000"/>
                <w:kern w:val="0"/>
                <w:sz w:val="21"/>
                <w:szCs w:val="21"/>
              </w:rPr>
              <w:t>服务商</w:t>
            </w:r>
          </w:p>
        </w:tc>
      </w:tr>
      <w:tr>
        <w:tblPrEx>
          <w:tblCellMar>
            <w:top w:w="0" w:type="dxa"/>
            <w:left w:w="108" w:type="dxa"/>
            <w:bottom w:w="0" w:type="dxa"/>
            <w:right w:w="108" w:type="dxa"/>
          </w:tblCellMar>
        </w:tblPrEx>
        <w:trPr>
          <w:trHeight w:val="280" w:hRule="atLeast"/>
        </w:trPr>
        <w:tc>
          <w:tcPr>
            <w:tcW w:w="60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rPr>
            </w:pPr>
            <w:r>
              <w:rPr>
                <w:color w:val="000000"/>
                <w:kern w:val="0"/>
                <w:sz w:val="21"/>
                <w:szCs w:val="21"/>
              </w:rPr>
              <w:t>2</w:t>
            </w:r>
          </w:p>
        </w:tc>
        <w:tc>
          <w:tcPr>
            <w:tcW w:w="265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服务合同</w:t>
            </w:r>
          </w:p>
        </w:tc>
        <w:tc>
          <w:tcPr>
            <w:tcW w:w="60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p>
        </w:tc>
        <w:tc>
          <w:tcPr>
            <w:tcW w:w="113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color w:val="000000"/>
                <w:kern w:val="0"/>
                <w:sz w:val="21"/>
                <w:szCs w:val="21"/>
              </w:rPr>
            </w:pPr>
          </w:p>
        </w:tc>
      </w:tr>
      <w:tr>
        <w:tblPrEx>
          <w:tblCellMar>
            <w:top w:w="0" w:type="dxa"/>
            <w:left w:w="108" w:type="dxa"/>
            <w:bottom w:w="0" w:type="dxa"/>
            <w:right w:w="108" w:type="dxa"/>
          </w:tblCellMar>
        </w:tblPrEx>
        <w:trPr>
          <w:trHeight w:val="280" w:hRule="atLeast"/>
        </w:trPr>
        <w:tc>
          <w:tcPr>
            <w:tcW w:w="60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rPr>
            </w:pPr>
            <w:r>
              <w:rPr>
                <w:color w:val="000000"/>
                <w:kern w:val="0"/>
                <w:sz w:val="21"/>
                <w:szCs w:val="21"/>
              </w:rPr>
              <w:t>3</w:t>
            </w:r>
          </w:p>
        </w:tc>
        <w:tc>
          <w:tcPr>
            <w:tcW w:w="265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开工报告、报审表</w:t>
            </w:r>
          </w:p>
        </w:tc>
        <w:tc>
          <w:tcPr>
            <w:tcW w:w="60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p>
        </w:tc>
        <w:tc>
          <w:tcPr>
            <w:tcW w:w="113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color w:val="000000"/>
                <w:kern w:val="0"/>
                <w:sz w:val="21"/>
                <w:szCs w:val="21"/>
              </w:rPr>
            </w:pPr>
          </w:p>
        </w:tc>
      </w:tr>
      <w:tr>
        <w:tblPrEx>
          <w:tblCellMar>
            <w:top w:w="0" w:type="dxa"/>
            <w:left w:w="108" w:type="dxa"/>
            <w:bottom w:w="0" w:type="dxa"/>
            <w:right w:w="108" w:type="dxa"/>
          </w:tblCellMar>
        </w:tblPrEx>
        <w:trPr>
          <w:trHeight w:val="280" w:hRule="atLeast"/>
        </w:trPr>
        <w:tc>
          <w:tcPr>
            <w:tcW w:w="60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rPr>
            </w:pPr>
            <w:r>
              <w:rPr>
                <w:color w:val="000000"/>
                <w:kern w:val="0"/>
                <w:sz w:val="21"/>
                <w:szCs w:val="21"/>
              </w:rPr>
              <w:t>4</w:t>
            </w:r>
          </w:p>
        </w:tc>
        <w:tc>
          <w:tcPr>
            <w:tcW w:w="265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施工组织方案、设计方案、进度计划</w:t>
            </w:r>
          </w:p>
        </w:tc>
        <w:tc>
          <w:tcPr>
            <w:tcW w:w="60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p>
        </w:tc>
        <w:tc>
          <w:tcPr>
            <w:tcW w:w="113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color w:val="000000"/>
                <w:kern w:val="0"/>
                <w:sz w:val="21"/>
                <w:szCs w:val="21"/>
              </w:rPr>
            </w:pPr>
          </w:p>
        </w:tc>
      </w:tr>
      <w:tr>
        <w:tblPrEx>
          <w:tblCellMar>
            <w:top w:w="0" w:type="dxa"/>
            <w:left w:w="108" w:type="dxa"/>
            <w:bottom w:w="0" w:type="dxa"/>
            <w:right w:w="108" w:type="dxa"/>
          </w:tblCellMar>
        </w:tblPrEx>
        <w:trPr>
          <w:trHeight w:val="280" w:hRule="atLeast"/>
        </w:trPr>
        <w:tc>
          <w:tcPr>
            <w:tcW w:w="60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rPr>
            </w:pPr>
            <w:r>
              <w:rPr>
                <w:color w:val="000000"/>
                <w:kern w:val="0"/>
                <w:sz w:val="21"/>
                <w:szCs w:val="21"/>
              </w:rPr>
              <w:t>5</w:t>
            </w:r>
          </w:p>
        </w:tc>
        <w:tc>
          <w:tcPr>
            <w:tcW w:w="265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重大设备检验报告、全部材料签收单</w:t>
            </w:r>
          </w:p>
        </w:tc>
        <w:tc>
          <w:tcPr>
            <w:tcW w:w="60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p>
        </w:tc>
        <w:tc>
          <w:tcPr>
            <w:tcW w:w="113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color w:val="000000"/>
                <w:kern w:val="0"/>
                <w:sz w:val="21"/>
                <w:szCs w:val="21"/>
              </w:rPr>
            </w:pPr>
          </w:p>
        </w:tc>
      </w:tr>
      <w:tr>
        <w:tblPrEx>
          <w:tblCellMar>
            <w:top w:w="0" w:type="dxa"/>
            <w:left w:w="108" w:type="dxa"/>
            <w:bottom w:w="0" w:type="dxa"/>
            <w:right w:w="108" w:type="dxa"/>
          </w:tblCellMar>
        </w:tblPrEx>
        <w:trPr>
          <w:trHeight w:val="280" w:hRule="atLeast"/>
        </w:trPr>
        <w:tc>
          <w:tcPr>
            <w:tcW w:w="60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rPr>
            </w:pPr>
            <w:r>
              <w:rPr>
                <w:color w:val="000000"/>
                <w:kern w:val="0"/>
                <w:sz w:val="21"/>
                <w:szCs w:val="21"/>
              </w:rPr>
              <w:t>6</w:t>
            </w:r>
          </w:p>
        </w:tc>
        <w:tc>
          <w:tcPr>
            <w:tcW w:w="265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服务变更单</w:t>
            </w:r>
          </w:p>
        </w:tc>
        <w:tc>
          <w:tcPr>
            <w:tcW w:w="60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p>
        </w:tc>
        <w:tc>
          <w:tcPr>
            <w:tcW w:w="113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color w:val="000000"/>
                <w:kern w:val="0"/>
                <w:sz w:val="21"/>
                <w:szCs w:val="21"/>
              </w:rPr>
            </w:pPr>
          </w:p>
        </w:tc>
      </w:tr>
      <w:tr>
        <w:tblPrEx>
          <w:tblCellMar>
            <w:top w:w="0" w:type="dxa"/>
            <w:left w:w="108" w:type="dxa"/>
            <w:bottom w:w="0" w:type="dxa"/>
            <w:right w:w="108" w:type="dxa"/>
          </w:tblCellMar>
        </w:tblPrEx>
        <w:trPr>
          <w:trHeight w:val="280" w:hRule="atLeast"/>
        </w:trPr>
        <w:tc>
          <w:tcPr>
            <w:tcW w:w="60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rPr>
            </w:pPr>
            <w:r>
              <w:rPr>
                <w:color w:val="000000"/>
                <w:kern w:val="0"/>
                <w:sz w:val="21"/>
                <w:szCs w:val="21"/>
              </w:rPr>
              <w:t>7</w:t>
            </w:r>
          </w:p>
        </w:tc>
        <w:tc>
          <w:tcPr>
            <w:tcW w:w="265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过程来往函件、阶段性会议纪要</w:t>
            </w:r>
          </w:p>
        </w:tc>
        <w:tc>
          <w:tcPr>
            <w:tcW w:w="60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p>
        </w:tc>
        <w:tc>
          <w:tcPr>
            <w:tcW w:w="113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color w:val="000000"/>
                <w:kern w:val="0"/>
                <w:sz w:val="21"/>
                <w:szCs w:val="21"/>
              </w:rPr>
            </w:pPr>
          </w:p>
        </w:tc>
      </w:tr>
      <w:tr>
        <w:tblPrEx>
          <w:tblCellMar>
            <w:top w:w="0" w:type="dxa"/>
            <w:left w:w="108" w:type="dxa"/>
            <w:bottom w:w="0" w:type="dxa"/>
            <w:right w:w="108" w:type="dxa"/>
          </w:tblCellMar>
        </w:tblPrEx>
        <w:trPr>
          <w:trHeight w:val="280" w:hRule="atLeast"/>
        </w:trPr>
        <w:tc>
          <w:tcPr>
            <w:tcW w:w="60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rPr>
            </w:pPr>
            <w:r>
              <w:rPr>
                <w:color w:val="000000"/>
                <w:kern w:val="0"/>
                <w:sz w:val="21"/>
                <w:szCs w:val="21"/>
              </w:rPr>
              <w:t>8</w:t>
            </w:r>
          </w:p>
        </w:tc>
        <w:tc>
          <w:tcPr>
            <w:tcW w:w="265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施工工序验收单</w:t>
            </w:r>
          </w:p>
        </w:tc>
        <w:tc>
          <w:tcPr>
            <w:tcW w:w="60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p>
        </w:tc>
        <w:tc>
          <w:tcPr>
            <w:tcW w:w="113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color w:val="000000"/>
                <w:kern w:val="0"/>
                <w:sz w:val="21"/>
                <w:szCs w:val="21"/>
              </w:rPr>
            </w:pPr>
          </w:p>
        </w:tc>
      </w:tr>
      <w:tr>
        <w:tblPrEx>
          <w:tblCellMar>
            <w:top w:w="0" w:type="dxa"/>
            <w:left w:w="108" w:type="dxa"/>
            <w:bottom w:w="0" w:type="dxa"/>
            <w:right w:w="108" w:type="dxa"/>
          </w:tblCellMar>
        </w:tblPrEx>
        <w:trPr>
          <w:trHeight w:val="280" w:hRule="atLeast"/>
        </w:trPr>
        <w:tc>
          <w:tcPr>
            <w:tcW w:w="60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rPr>
            </w:pPr>
            <w:r>
              <w:rPr>
                <w:color w:val="000000"/>
                <w:kern w:val="0"/>
                <w:sz w:val="21"/>
                <w:szCs w:val="21"/>
              </w:rPr>
              <w:t>9</w:t>
            </w:r>
          </w:p>
        </w:tc>
        <w:tc>
          <w:tcPr>
            <w:tcW w:w="265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质量事故报告及处理记录</w:t>
            </w:r>
          </w:p>
        </w:tc>
        <w:tc>
          <w:tcPr>
            <w:tcW w:w="60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p>
        </w:tc>
        <w:tc>
          <w:tcPr>
            <w:tcW w:w="113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color w:val="000000"/>
                <w:kern w:val="0"/>
                <w:sz w:val="21"/>
                <w:szCs w:val="21"/>
              </w:rPr>
            </w:pPr>
          </w:p>
        </w:tc>
      </w:tr>
      <w:tr>
        <w:tblPrEx>
          <w:tblCellMar>
            <w:top w:w="0" w:type="dxa"/>
            <w:left w:w="108" w:type="dxa"/>
            <w:bottom w:w="0" w:type="dxa"/>
            <w:right w:w="108" w:type="dxa"/>
          </w:tblCellMar>
        </w:tblPrEx>
        <w:trPr>
          <w:trHeight w:val="280" w:hRule="atLeast"/>
        </w:trPr>
        <w:tc>
          <w:tcPr>
            <w:tcW w:w="60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rPr>
            </w:pPr>
            <w:r>
              <w:rPr>
                <w:color w:val="000000"/>
                <w:kern w:val="0"/>
                <w:sz w:val="21"/>
                <w:szCs w:val="21"/>
              </w:rPr>
              <w:t>10</w:t>
            </w:r>
          </w:p>
        </w:tc>
        <w:tc>
          <w:tcPr>
            <w:tcW w:w="265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完工报告</w:t>
            </w:r>
          </w:p>
        </w:tc>
        <w:tc>
          <w:tcPr>
            <w:tcW w:w="60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p>
        </w:tc>
        <w:tc>
          <w:tcPr>
            <w:tcW w:w="113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color w:val="000000"/>
                <w:kern w:val="0"/>
                <w:sz w:val="21"/>
                <w:szCs w:val="21"/>
              </w:rPr>
            </w:pPr>
          </w:p>
        </w:tc>
      </w:tr>
      <w:tr>
        <w:tblPrEx>
          <w:tblCellMar>
            <w:top w:w="0" w:type="dxa"/>
            <w:left w:w="108" w:type="dxa"/>
            <w:bottom w:w="0" w:type="dxa"/>
            <w:right w:w="108" w:type="dxa"/>
          </w:tblCellMar>
        </w:tblPrEx>
        <w:trPr>
          <w:trHeight w:val="280" w:hRule="atLeast"/>
        </w:trPr>
        <w:tc>
          <w:tcPr>
            <w:tcW w:w="60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rPr>
            </w:pPr>
            <w:r>
              <w:rPr>
                <w:color w:val="000000"/>
                <w:kern w:val="0"/>
                <w:sz w:val="21"/>
                <w:szCs w:val="21"/>
              </w:rPr>
              <w:t>11</w:t>
            </w:r>
          </w:p>
        </w:tc>
        <w:tc>
          <w:tcPr>
            <w:tcW w:w="265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第三方评测报告</w:t>
            </w:r>
          </w:p>
        </w:tc>
        <w:tc>
          <w:tcPr>
            <w:tcW w:w="60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p>
        </w:tc>
        <w:tc>
          <w:tcPr>
            <w:tcW w:w="113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rPr>
            </w:pPr>
            <w:r>
              <w:rPr>
                <w:color w:val="000000"/>
                <w:kern w:val="0"/>
                <w:sz w:val="21"/>
                <w:szCs w:val="21"/>
              </w:rPr>
              <w:t>第三方测试机构</w:t>
            </w:r>
          </w:p>
        </w:tc>
      </w:tr>
      <w:tr>
        <w:tblPrEx>
          <w:tblCellMar>
            <w:top w:w="0" w:type="dxa"/>
            <w:left w:w="108" w:type="dxa"/>
            <w:bottom w:w="0" w:type="dxa"/>
            <w:right w:w="108" w:type="dxa"/>
          </w:tblCellMar>
        </w:tblPrEx>
        <w:trPr>
          <w:trHeight w:val="280" w:hRule="atLeast"/>
        </w:trPr>
        <w:tc>
          <w:tcPr>
            <w:tcW w:w="60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rPr>
            </w:pPr>
            <w:r>
              <w:rPr>
                <w:color w:val="000000"/>
                <w:kern w:val="0"/>
                <w:sz w:val="21"/>
                <w:szCs w:val="21"/>
              </w:rPr>
              <w:t>12</w:t>
            </w:r>
          </w:p>
        </w:tc>
        <w:tc>
          <w:tcPr>
            <w:tcW w:w="265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初验报告</w:t>
            </w:r>
          </w:p>
        </w:tc>
        <w:tc>
          <w:tcPr>
            <w:tcW w:w="60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p>
        </w:tc>
        <w:tc>
          <w:tcPr>
            <w:tcW w:w="113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rPr>
            </w:pPr>
            <w:r>
              <w:rPr>
                <w:color w:val="000000"/>
                <w:kern w:val="0"/>
                <w:sz w:val="21"/>
                <w:szCs w:val="21"/>
              </w:rPr>
              <w:t>服务商</w:t>
            </w:r>
          </w:p>
        </w:tc>
      </w:tr>
      <w:tr>
        <w:tblPrEx>
          <w:tblCellMar>
            <w:top w:w="0" w:type="dxa"/>
            <w:left w:w="108" w:type="dxa"/>
            <w:bottom w:w="0" w:type="dxa"/>
            <w:right w:w="108" w:type="dxa"/>
          </w:tblCellMar>
        </w:tblPrEx>
        <w:trPr>
          <w:trHeight w:val="280" w:hRule="atLeast"/>
        </w:trPr>
        <w:tc>
          <w:tcPr>
            <w:tcW w:w="60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rPr>
            </w:pPr>
            <w:r>
              <w:rPr>
                <w:color w:val="000000"/>
                <w:kern w:val="0"/>
                <w:sz w:val="21"/>
                <w:szCs w:val="21"/>
              </w:rPr>
              <w:t>13</w:t>
            </w:r>
          </w:p>
        </w:tc>
        <w:tc>
          <w:tcPr>
            <w:tcW w:w="265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试运行报告</w:t>
            </w:r>
          </w:p>
        </w:tc>
        <w:tc>
          <w:tcPr>
            <w:tcW w:w="60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p>
        </w:tc>
        <w:tc>
          <w:tcPr>
            <w:tcW w:w="113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rPr>
            </w:pPr>
            <w:r>
              <w:rPr>
                <w:color w:val="000000"/>
                <w:kern w:val="0"/>
                <w:sz w:val="21"/>
                <w:szCs w:val="21"/>
              </w:rPr>
              <w:t>服务商</w:t>
            </w:r>
          </w:p>
        </w:tc>
      </w:tr>
      <w:tr>
        <w:tblPrEx>
          <w:tblCellMar>
            <w:top w:w="0" w:type="dxa"/>
            <w:left w:w="108" w:type="dxa"/>
            <w:bottom w:w="0" w:type="dxa"/>
            <w:right w:w="108" w:type="dxa"/>
          </w:tblCellMar>
        </w:tblPrEx>
        <w:trPr>
          <w:trHeight w:val="280" w:hRule="atLeast"/>
        </w:trPr>
        <w:tc>
          <w:tcPr>
            <w:tcW w:w="60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rPr>
            </w:pPr>
            <w:r>
              <w:rPr>
                <w:color w:val="000000"/>
                <w:kern w:val="0"/>
                <w:sz w:val="21"/>
                <w:szCs w:val="21"/>
              </w:rPr>
              <w:t>14</w:t>
            </w:r>
          </w:p>
        </w:tc>
        <w:tc>
          <w:tcPr>
            <w:tcW w:w="265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r>
              <w:rPr>
                <w:color w:val="000000"/>
                <w:kern w:val="0"/>
                <w:sz w:val="21"/>
                <w:szCs w:val="21"/>
              </w:rPr>
              <w:t>终验报告</w:t>
            </w:r>
          </w:p>
        </w:tc>
        <w:tc>
          <w:tcPr>
            <w:tcW w:w="60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color w:val="000000"/>
                <w:kern w:val="0"/>
                <w:sz w:val="21"/>
                <w:szCs w:val="21"/>
              </w:rPr>
            </w:pPr>
          </w:p>
        </w:tc>
        <w:tc>
          <w:tcPr>
            <w:tcW w:w="113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rPr>
            </w:pPr>
            <w:r>
              <w:rPr>
                <w:color w:val="000000"/>
                <w:kern w:val="0"/>
                <w:sz w:val="21"/>
                <w:szCs w:val="21"/>
              </w:rPr>
              <w:t>服务商</w:t>
            </w:r>
          </w:p>
        </w:tc>
      </w:tr>
    </w:tbl>
    <w:p>
      <w:pPr>
        <w:ind w:firstLine="0" w:firstLineChars="0"/>
        <w:jc w:val="both"/>
        <w:sectPr>
          <w:pgSz w:w="11906" w:h="16838"/>
          <w:pgMar w:top="1440" w:right="1287" w:bottom="1440" w:left="1287" w:header="851" w:footer="992" w:gutter="0"/>
          <w:cols w:space="425" w:num="1"/>
          <w:docGrid w:type="lines" w:linePitch="326" w:charSpace="0"/>
        </w:sectPr>
      </w:pPr>
    </w:p>
    <w:p>
      <w:pPr>
        <w:pStyle w:val="2"/>
        <w:numPr>
          <w:ilvl w:val="0"/>
          <w:numId w:val="0"/>
        </w:numPr>
        <w:jc w:val="center"/>
      </w:pPr>
      <w:bookmarkStart w:id="120" w:name="_Toc112317394"/>
      <w:bookmarkStart w:id="121" w:name="_Toc110247040"/>
      <w:r>
        <w:rPr>
          <w:rFonts w:hint="eastAsia"/>
        </w:rPr>
        <w:t xml:space="preserve">第六章 </w:t>
      </w:r>
      <w:r>
        <w:t xml:space="preserve"> 服务管理方案</w:t>
      </w:r>
      <w:bookmarkEnd w:id="120"/>
      <w:bookmarkEnd w:id="121"/>
    </w:p>
    <w:p>
      <w:pPr>
        <w:jc w:val="both"/>
      </w:pPr>
      <w:bookmarkStart w:id="122" w:name="_Toc66888908"/>
      <w:r>
        <w:rPr>
          <w:rFonts w:hint="eastAsia"/>
        </w:rPr>
        <w:t>为了保障“雪亮工程”高清视频监控系统稳定运行，提高视频图像应用效能。采购方将按照招标文件中维护服务的具体要求事项，对投标人实行季度考核打分。</w:t>
      </w:r>
    </w:p>
    <w:p>
      <w:pPr>
        <w:jc w:val="both"/>
      </w:pPr>
      <w:r>
        <w:rPr>
          <w:rFonts w:hint="eastAsia"/>
        </w:rPr>
        <w:t>（1）本次项目新建系统所有系统设施（包括软件系统、硬件设备、网络传输、取电线路等）。</w:t>
      </w:r>
    </w:p>
    <w:p>
      <w:pPr>
        <w:jc w:val="both"/>
      </w:pPr>
      <w:r>
        <w:rPr>
          <w:rFonts w:hint="eastAsia"/>
        </w:rPr>
        <w:t>（2）已建系统（指2012年建设的技防二期卡口工程、2015年建设的技防三期视频监控系统）进行全面的质保和维护，保证系统软硬件及相关基础设施的正常运行。</w:t>
      </w:r>
      <w:r>
        <w:t xml:space="preserve"> </w:t>
      </w:r>
      <w:r>
        <w:rPr>
          <w:rFonts w:hint="eastAsia"/>
        </w:rPr>
        <w:t>具体设施清单见附表：原有系统维保设备清单。</w:t>
      </w:r>
    </w:p>
    <w:p>
      <w:pPr>
        <w:pStyle w:val="106"/>
        <w:keepNext/>
        <w:keepLines/>
        <w:widowControl/>
        <w:numPr>
          <w:ilvl w:val="1"/>
          <w:numId w:val="1"/>
        </w:numPr>
        <w:tabs>
          <w:tab w:val="left" w:pos="480"/>
        </w:tabs>
        <w:spacing w:before="120" w:after="120"/>
        <w:ind w:firstLineChars="0"/>
        <w:outlineLvl w:val="1"/>
        <w:rPr>
          <w:rFonts w:eastAsia="黑体"/>
          <w:bCs/>
          <w:vanish/>
          <w:kern w:val="44"/>
          <w:sz w:val="28"/>
          <w:szCs w:val="28"/>
        </w:rPr>
      </w:pPr>
      <w:bookmarkStart w:id="123" w:name="_Toc112317396"/>
      <w:bookmarkStart w:id="124" w:name="_Toc110247042"/>
      <w:bookmarkStart w:id="125" w:name="_Toc70371070"/>
      <w:bookmarkStart w:id="126" w:name="_Toc70590341"/>
    </w:p>
    <w:p>
      <w:pPr>
        <w:pStyle w:val="106"/>
        <w:keepNext/>
        <w:keepLines/>
        <w:widowControl/>
        <w:numPr>
          <w:ilvl w:val="1"/>
          <w:numId w:val="1"/>
        </w:numPr>
        <w:tabs>
          <w:tab w:val="left" w:pos="480"/>
        </w:tabs>
        <w:spacing w:before="120" w:after="120"/>
        <w:ind w:firstLineChars="0"/>
        <w:outlineLvl w:val="1"/>
        <w:rPr>
          <w:rFonts w:eastAsia="黑体"/>
          <w:bCs/>
          <w:vanish/>
          <w:kern w:val="44"/>
          <w:sz w:val="28"/>
          <w:szCs w:val="28"/>
        </w:rPr>
      </w:pPr>
    </w:p>
    <w:p>
      <w:pPr>
        <w:pStyle w:val="106"/>
        <w:keepNext/>
        <w:keepLines/>
        <w:widowControl/>
        <w:numPr>
          <w:ilvl w:val="1"/>
          <w:numId w:val="1"/>
        </w:numPr>
        <w:tabs>
          <w:tab w:val="left" w:pos="480"/>
        </w:tabs>
        <w:spacing w:before="120" w:after="120"/>
        <w:ind w:firstLineChars="0"/>
        <w:outlineLvl w:val="1"/>
        <w:rPr>
          <w:rFonts w:eastAsia="黑体"/>
          <w:bCs/>
          <w:vanish/>
          <w:kern w:val="44"/>
          <w:sz w:val="28"/>
          <w:szCs w:val="28"/>
        </w:rPr>
      </w:pPr>
    </w:p>
    <w:p>
      <w:pPr>
        <w:pStyle w:val="106"/>
        <w:keepNext/>
        <w:keepLines/>
        <w:widowControl/>
        <w:numPr>
          <w:ilvl w:val="1"/>
          <w:numId w:val="1"/>
        </w:numPr>
        <w:tabs>
          <w:tab w:val="left" w:pos="480"/>
        </w:tabs>
        <w:spacing w:before="120" w:after="120"/>
        <w:ind w:firstLineChars="0"/>
        <w:outlineLvl w:val="1"/>
        <w:rPr>
          <w:rFonts w:eastAsia="黑体"/>
          <w:bCs/>
          <w:vanish/>
          <w:kern w:val="44"/>
          <w:sz w:val="28"/>
          <w:szCs w:val="28"/>
        </w:rPr>
      </w:pPr>
    </w:p>
    <w:p>
      <w:pPr>
        <w:pStyle w:val="106"/>
        <w:keepNext/>
        <w:keepLines/>
        <w:widowControl/>
        <w:numPr>
          <w:ilvl w:val="1"/>
          <w:numId w:val="1"/>
        </w:numPr>
        <w:tabs>
          <w:tab w:val="left" w:pos="480"/>
        </w:tabs>
        <w:spacing w:before="120" w:after="120"/>
        <w:ind w:firstLineChars="0"/>
        <w:outlineLvl w:val="1"/>
        <w:rPr>
          <w:rFonts w:eastAsia="黑体"/>
          <w:bCs/>
          <w:vanish/>
          <w:kern w:val="44"/>
          <w:sz w:val="28"/>
          <w:szCs w:val="28"/>
        </w:rPr>
      </w:pPr>
    </w:p>
    <w:p>
      <w:pPr>
        <w:pStyle w:val="106"/>
        <w:keepNext/>
        <w:keepLines/>
        <w:widowControl/>
        <w:numPr>
          <w:ilvl w:val="1"/>
          <w:numId w:val="1"/>
        </w:numPr>
        <w:tabs>
          <w:tab w:val="left" w:pos="480"/>
        </w:tabs>
        <w:spacing w:before="120" w:after="120"/>
        <w:ind w:firstLineChars="0"/>
        <w:outlineLvl w:val="1"/>
        <w:rPr>
          <w:rFonts w:eastAsia="黑体"/>
          <w:bCs/>
          <w:vanish/>
          <w:kern w:val="44"/>
          <w:sz w:val="28"/>
          <w:szCs w:val="28"/>
        </w:rPr>
      </w:pPr>
    </w:p>
    <w:p>
      <w:pPr>
        <w:pStyle w:val="4"/>
      </w:pPr>
      <w:r>
        <w:t>考核办法</w:t>
      </w:r>
      <w:bookmarkEnd w:id="123"/>
      <w:bookmarkEnd w:id="124"/>
      <w:bookmarkEnd w:id="125"/>
      <w:bookmarkEnd w:id="126"/>
    </w:p>
    <w:p>
      <w:pPr>
        <w:jc w:val="both"/>
      </w:pPr>
      <w:r>
        <w:rPr>
          <w:rFonts w:hint="eastAsia"/>
        </w:rPr>
        <w:t>每季度维护总分设定为100分，按次累计扣分，</w:t>
      </w:r>
      <w:r>
        <w:t>由产出指标、</w:t>
      </w:r>
      <w:r>
        <w:rPr>
          <w:rFonts w:hint="eastAsia"/>
        </w:rPr>
        <w:t>质量指标和</w:t>
      </w:r>
      <w:r>
        <w:t>满意度指标</w:t>
      </w:r>
      <w:r>
        <w:rPr>
          <w:rFonts w:hint="eastAsia"/>
        </w:rPr>
        <w:t>三</w:t>
      </w:r>
      <w:r>
        <w:t>部分组成。</w:t>
      </w:r>
      <w:r>
        <w:rPr>
          <w:rFonts w:hint="eastAsia"/>
        </w:rPr>
        <w:t>标识为维护事项中如有未履行事项有一次扣2分，标识为▲维护事项中如有未履行事项有一次扣1分，其中涉及处理故障的应维护事项如有未履行报告登记程序的发现一次另扣2分，对采购人工作造成影响的有一次另扣5分。采购人发现未处理事项，可以要求投标方在规定时间内整改完成，如整改未完成，除当次扣分外，再扣5分。并且采购人有权雇员完成需要整改的相关工作，其费用从投标人维护费中加倍扣付。</w:t>
      </w:r>
    </w:p>
    <w:p>
      <w:pPr>
        <w:pStyle w:val="4"/>
      </w:pPr>
      <w:bookmarkStart w:id="127" w:name="_Toc70590342"/>
      <w:r>
        <w:t>产出指标</w:t>
      </w:r>
      <w:bookmarkEnd w:id="127"/>
    </w:p>
    <w:p>
      <w:pPr>
        <w:pStyle w:val="5"/>
      </w:pPr>
      <w:r>
        <w:t>数量指标</w:t>
      </w:r>
    </w:p>
    <w:p>
      <w:pPr>
        <w:ind w:firstLineChars="0"/>
        <w:jc w:val="both"/>
      </w:pPr>
      <w:r>
        <w:rPr>
          <w:rFonts w:hint="eastAsia"/>
        </w:rPr>
        <w:t>（1）</w:t>
      </w:r>
      <w:r>
        <w:t>设备在线率</w:t>
      </w:r>
    </w:p>
    <w:p>
      <w:pPr>
        <w:ind w:left="480" w:firstLine="0" w:firstLineChars="0"/>
        <w:jc w:val="both"/>
      </w:pPr>
      <w:r>
        <w:t>设备在线率=监控设备累计在线时长/（该时期天数×24小时），</w:t>
      </w:r>
      <w:r>
        <w:rPr>
          <w:b/>
          <w:bCs/>
        </w:rPr>
        <w:t>此指标为</w:t>
      </w:r>
      <w:r>
        <w:rPr>
          <w:rFonts w:hint="eastAsia"/>
          <w:b/>
          <w:bCs/>
        </w:rPr>
        <w:t>月</w:t>
      </w:r>
      <w:r>
        <w:rPr>
          <w:b/>
          <w:bCs/>
        </w:rPr>
        <w:t>周期指标</w:t>
      </w:r>
      <w:r>
        <w:t>。</w:t>
      </w:r>
    </w:p>
    <w:p>
      <w:pPr>
        <w:jc w:val="both"/>
      </w:pPr>
      <w:r>
        <w:rPr>
          <w:rFonts w:hint="eastAsia"/>
        </w:rPr>
        <w:t>a）国家、市级、达拉特旗重大活动等重点时段设备在线率≥99.9%，其余时段设备在线率≥95%，该项目得满分；</w:t>
      </w:r>
    </w:p>
    <w:p>
      <w:pPr>
        <w:jc w:val="both"/>
      </w:pPr>
      <w:r>
        <w:rPr>
          <w:rFonts w:hint="eastAsia"/>
        </w:rPr>
        <w:t>b）一类监控点位3日不在线、二类监控点位10日不在线、三类监控点位14日不在线，不支付本月服务费。二类监控点位5日不在线、三类监控点位7日不在线，该路监控点位扣除本月50%服务费。</w:t>
      </w:r>
    </w:p>
    <w:p>
      <w:pPr>
        <w:jc w:val="both"/>
      </w:pPr>
      <w:r>
        <w:rPr>
          <w:rFonts w:hint="eastAsia"/>
        </w:rPr>
        <w:t>超过1个月未修复图像的故障点位，扣除该点位当年的服务费。</w:t>
      </w:r>
    </w:p>
    <w:p>
      <w:pPr>
        <w:jc w:val="both"/>
      </w:pPr>
      <w:r>
        <w:rPr>
          <w:rFonts w:hint="eastAsia"/>
        </w:rPr>
        <w:t>c）设备故障维修时间归为非在线时长</w:t>
      </w:r>
      <w:r>
        <w:t>。</w:t>
      </w:r>
    </w:p>
    <w:p>
      <w:pPr>
        <w:jc w:val="both"/>
      </w:pPr>
      <w:r>
        <w:rPr>
          <w:rFonts w:hint="eastAsia"/>
        </w:rPr>
        <w:t>（2）驻场人员数量</w:t>
      </w:r>
    </w:p>
    <w:p>
      <w:pPr>
        <w:jc w:val="both"/>
      </w:pPr>
      <w:r>
        <w:rPr>
          <w:rFonts w:hint="eastAsia"/>
        </w:rPr>
        <w:t>项目开工后需配备1名项目经理，配备2名技术人员提供本地化技术支撑（ 包含1名平台厂家驻场人员），配备不少于5名施工人员,并承诺本项目组建的维护队伍的项目经理和2名技术人员保持稳定，除离职或甲方建议更换外一般不得随意更换。</w:t>
      </w:r>
      <w:r>
        <w:rPr>
          <w:rFonts w:hint="eastAsia"/>
          <w:b/>
          <w:bCs/>
        </w:rPr>
        <w:t>此指标为季度指标。</w:t>
      </w:r>
    </w:p>
    <w:p>
      <w:pPr>
        <w:jc w:val="both"/>
      </w:pPr>
      <w:r>
        <w:rPr>
          <w:rFonts w:hint="eastAsia"/>
        </w:rPr>
        <w:t xml:space="preserve">a）项目经理，应该在高清监控技术、通信技术、计算机及其设备硬件技术、系统运行与维护工作管理方面具有非常专业和独到的经验和知识。 </w:t>
      </w:r>
    </w:p>
    <w:p>
      <w:pPr>
        <w:jc w:val="both"/>
      </w:pPr>
      <w:r>
        <w:rPr>
          <w:rFonts w:hint="eastAsia"/>
        </w:rPr>
        <w:t>b）2名技术人员为大专或以上学历，参加相关工作时间在3年以上；作为本维护项目的技术骨干，在高清监控技术、通信技术、计算机及其设备硬件技术、系统运行与维护工作管理方面具有非常专业和独到的经验和知识。</w:t>
      </w:r>
    </w:p>
    <w:p>
      <w:pPr>
        <w:pStyle w:val="5"/>
      </w:pPr>
      <w:r>
        <w:t>质量指标</w:t>
      </w:r>
    </w:p>
    <w:p>
      <w:r>
        <w:rPr>
          <w:rFonts w:hint="eastAsia"/>
        </w:rPr>
        <w:t>（1）图像质量诊断</w:t>
      </w:r>
    </w:p>
    <w:p>
      <w:r>
        <w:rPr>
          <w:rFonts w:hint="eastAsia"/>
        </w:rPr>
        <w:t>对图像质量进行巡查诊断，图像质量检测包含清晰度检测、视频干扰检测、亮度异常检测、色彩偏色检测、色彩偏色检测、视频缺失检测、视频缺失检测、画面抖动检测、视频冻结检测、视频录像诊断，每周对电警、卡口、人脸图像进行巡查诊断，包含图像质量、抓拍率、识别率，图像在线率、抓拍率和识别率都必须在95%以上，以下的视为故障，能通过调试相机和补光灯解决的应立即开始解决，解决不了的须提供原厂家技术支持或更换设备，直至将问题或故障彻底解决。每周要形成图像质量记录表，采购人根据实际情况进行抽查，发现漏检、漏修或未按规定进行记录的，记入本季度考核。视频图像须满足上级公安机关下达的视频图像治理相关要求。</w:t>
      </w:r>
      <w:r>
        <w:rPr>
          <w:rFonts w:hint="eastAsia"/>
          <w:b/>
          <w:bCs/>
        </w:rPr>
        <w:t>此指标为周度指标</w:t>
      </w:r>
      <w:r>
        <w:rPr>
          <w:rFonts w:hint="eastAsia"/>
        </w:rPr>
        <w:t>。</w:t>
      </w:r>
    </w:p>
    <w:p>
      <w:r>
        <w:rPr>
          <w:rFonts w:hint="eastAsia"/>
        </w:rPr>
        <w:t>（2）网络性能诊断</w:t>
      </w:r>
    </w:p>
    <w:p>
      <w:r>
        <w:rPr>
          <w:rFonts w:hint="eastAsia"/>
        </w:rPr>
        <w:t>合理安排监控网络需求，如带宽、IP地址等限制。提供每月一次的监控系统网络性能检测，包括网络的连通性、稳定性及带宽的利用率等；实时检测所有可能影响监控网络设备的外来网络攻击；对监测数据进行分析，根据分析的结果及用户网络情况提出网络优化建议。实时监控服务器运行状态：实时监控各服务器运行状态、流量及入侵监控等。对异常情况，进行核查，并进行相关的处理。根据用户需要进行监控网络的规划、优化；协助客户处理服务器软硬件故障及进行相关硬件软件的拆装等。</w:t>
      </w:r>
      <w:r>
        <w:rPr>
          <w:rFonts w:hint="eastAsia"/>
          <w:b/>
          <w:bCs/>
        </w:rPr>
        <w:t>此指标为月度指标</w:t>
      </w:r>
      <w:r>
        <w:rPr>
          <w:rFonts w:hint="eastAsia"/>
        </w:rPr>
        <w:t>。</w:t>
      </w:r>
    </w:p>
    <w:p>
      <w:r>
        <w:rPr>
          <w:rFonts w:hint="eastAsia"/>
        </w:rPr>
        <w:t>（3）技术升级服务</w:t>
      </w:r>
    </w:p>
    <w:p>
      <w:r>
        <w:rPr>
          <w:rFonts w:hint="eastAsia"/>
        </w:rPr>
        <w:t>当非火或烟之外的任何因素被错误识别为火情，并上报给业主，此类情况记一次误报。</w:t>
      </w:r>
      <w:r>
        <w:rPr>
          <w:rFonts w:hint="eastAsia"/>
          <w:b/>
          <w:bCs/>
        </w:rPr>
        <w:t>此指标为月度指标</w:t>
      </w:r>
      <w:r>
        <w:rPr>
          <w:rFonts w:hint="eastAsia"/>
        </w:rPr>
        <w:t>。</w:t>
      </w:r>
    </w:p>
    <w:p>
      <w:pPr>
        <w:pStyle w:val="5"/>
        <w:rPr>
          <w:color w:val="000000" w:themeColor="text1"/>
          <w14:textFill>
            <w14:solidFill>
              <w14:schemeClr w14:val="tx1"/>
            </w14:solidFill>
          </w14:textFill>
        </w:rPr>
      </w:pPr>
      <w:r>
        <w:rPr>
          <w:color w:val="000000" w:themeColor="text1"/>
          <w14:textFill>
            <w14:solidFill>
              <w14:schemeClr w14:val="tx1"/>
            </w14:solidFill>
          </w14:textFill>
        </w:rPr>
        <w:t>时效指标</w:t>
      </w:r>
    </w:p>
    <w:p>
      <w:r>
        <w:rPr>
          <w:rFonts w:hint="eastAsia"/>
        </w:rPr>
        <w:t>（1）一般保障方案</w:t>
      </w:r>
    </w:p>
    <w:p>
      <w:pPr>
        <w:rPr>
          <w:b/>
          <w:bCs/>
        </w:rPr>
      </w:pPr>
      <w:r>
        <w:rPr>
          <w:rFonts w:hint="eastAsia"/>
        </w:rPr>
        <w:t>a）任何导致设备运行不正常、导致图像质量不正常或降低、导致用户不能正常使用的任何情况都为故障。发现故障后，应当在1小时内响应，4小时内到达故障现场进行抢修，24小时内解决问题或拿出采购人同意认为合理的解决方案，如果处理不了的应及时更换设备。</w:t>
      </w:r>
      <w:r>
        <w:rPr>
          <w:rFonts w:hint="eastAsia"/>
          <w:b/>
          <w:bCs/>
        </w:rPr>
        <w:t>此指标为季度指标。</w:t>
      </w:r>
    </w:p>
    <w:p>
      <w:pPr>
        <w:rPr>
          <w:b/>
          <w:bCs/>
        </w:rPr>
      </w:pPr>
      <w:r>
        <w:rPr>
          <w:rFonts w:hint="eastAsia"/>
        </w:rPr>
        <w:t>b）处理故障时，一般应不影响正在使用的系统或任意扩大影响范围，必须严格按照经审核有效的故障诊断手册、命令手册等规定的命令和操作方法处理。处理重大故障时，首先应按已批准的应急措施和方法尽快恢复系统运行，决不能因查找原因而延长故障历时。系统维护人员和故障处理人员应做好相关的故障记录，保存好处理过程中的各种数据检查和测试结果，以备事后分析故障原因。故障记录表中每一次故障恢复都要采购人确认。发现不及时、处理不及时、维护不彻底的记入本季度考核。</w:t>
      </w:r>
      <w:r>
        <w:rPr>
          <w:rFonts w:hint="eastAsia"/>
          <w:b/>
          <w:bCs/>
        </w:rPr>
        <w:t>此指标为季度指标。</w:t>
      </w:r>
    </w:p>
    <w:p>
      <w:r>
        <w:rPr>
          <w:rFonts w:hint="eastAsia"/>
        </w:rPr>
        <w:t>c）机房动力系统故障处理方案，根据实际负荷大小，提前准备汽油发电机，超过3小时停电，立即启动发电，保障核心设备正常运行。动力设施发生故障，应立即通知采购人和专业电力技术人员到场抢修。</w:t>
      </w:r>
      <w:r>
        <w:rPr>
          <w:rFonts w:hint="eastAsia"/>
          <w:b/>
          <w:bCs/>
        </w:rPr>
        <w:t>此指标为季度指标。</w:t>
      </w:r>
    </w:p>
    <w:p>
      <w:pPr>
        <w:rPr>
          <w:b/>
          <w:bCs/>
        </w:rPr>
      </w:pPr>
      <w:r>
        <w:rPr>
          <w:rFonts w:hint="eastAsia"/>
        </w:rPr>
        <w:t>d）光缆故障处理方案，因外单位施工等导致光缆故障时，维护人员应立即勘察现场，研究施工方案。因自然灾害影响线路施工抢修时，马上架设无线通信设施，在接入点和机房间提供无线链路，保障信号的正常传输和使用，满足链路带宽的传输要求。</w:t>
      </w:r>
      <w:r>
        <w:rPr>
          <w:rFonts w:hint="eastAsia"/>
          <w:b/>
          <w:bCs/>
        </w:rPr>
        <w:t>此指标为季度指标。</w:t>
      </w:r>
    </w:p>
    <w:p>
      <w:r>
        <w:rPr>
          <w:rFonts w:hint="eastAsia"/>
        </w:rPr>
        <w:t>e）设备发生被盗或损害事件抢修方案，发生设备被盗或人为损害设备情况时，维护人员应在2小时内报告采购人，同时保护好现场。因维护人员未及时处置，损失由维保方负责。因特殊原因采购人根据实际情况需要迁移监控设施的，由维保方负责迁移到指定位置，迁移点位数量占总点位数量2%以内，发生的费用由维保方负责。</w:t>
      </w:r>
      <w:r>
        <w:rPr>
          <w:rFonts w:hint="eastAsia"/>
          <w:b/>
          <w:bCs/>
        </w:rPr>
        <w:t>此指标为季度指标。</w:t>
      </w:r>
    </w:p>
    <w:p>
      <w:pPr>
        <w:rPr>
          <w:b/>
          <w:bCs/>
        </w:rPr>
      </w:pPr>
      <w:r>
        <w:rPr>
          <w:rFonts w:hint="eastAsia"/>
        </w:rPr>
        <w:t>f）服务器软件系统故障抢修方案，发生服务器软件系统故障后，应立即联系软件开发部门或设备供应单位共同查找原因，了解故障程度，着手抢修。4小时内还未修复完毕,须备份文件，避免重要数据的丢失。</w:t>
      </w:r>
      <w:r>
        <w:rPr>
          <w:rFonts w:hint="eastAsia"/>
          <w:b/>
          <w:bCs/>
        </w:rPr>
        <w:t>此指标为季度指标。</w:t>
      </w:r>
    </w:p>
    <w:p>
      <w:pPr>
        <w:rPr>
          <w:b/>
          <w:bCs/>
        </w:rPr>
      </w:pPr>
      <w:r>
        <w:rPr>
          <w:rFonts w:hint="eastAsia"/>
        </w:rPr>
        <w:t>g）核心设备硬件故障抢修方案，发生核心设备硬件故障后，应及时报告，并联系原厂家组织查找、确定故障设备及故障原因，进行先期处置。故障设备在24小时内无法修复，应联系厂家替换设备或购买新设备，保持系统正常运行。</w:t>
      </w:r>
      <w:r>
        <w:rPr>
          <w:rFonts w:hint="eastAsia"/>
          <w:b/>
          <w:bCs/>
        </w:rPr>
        <w:t>此指标为季度指标。</w:t>
      </w:r>
    </w:p>
    <w:p>
      <w:r>
        <w:rPr>
          <w:rFonts w:hint="eastAsia"/>
        </w:rPr>
        <w:t>（2）特殊保障方案</w:t>
      </w:r>
    </w:p>
    <w:p>
      <w:r>
        <w:rPr>
          <w:rFonts w:hint="eastAsia"/>
        </w:rPr>
        <w:t>遇有各种大型活动、公众集会、突发事件、安保演练等事件，投标方要将重大安保活动视频系统维护保障工作贯穿于整个活动的始终，选取由有丰富经验的维护人员提前驻点安排，及时提供安保活动视频系统保障措施，包括迁移点位、临时铺设线缆施工。</w:t>
      </w:r>
      <w:r>
        <w:rPr>
          <w:rFonts w:hint="eastAsia"/>
          <w:b/>
          <w:bCs/>
        </w:rPr>
        <w:t>此指标为季度指标。</w:t>
      </w:r>
    </w:p>
    <w:p>
      <w:pPr>
        <w:pStyle w:val="4"/>
      </w:pPr>
      <w:bookmarkStart w:id="128" w:name="_Toc70590343"/>
      <w:r>
        <w:t>满意度指标</w:t>
      </w:r>
      <w:bookmarkEnd w:id="128"/>
    </w:p>
    <w:p>
      <w:pPr>
        <w:pStyle w:val="5"/>
      </w:pPr>
      <w:r>
        <w:rPr>
          <w:rFonts w:hint="eastAsia"/>
        </w:rPr>
        <w:t>服务对象满意度指标</w:t>
      </w:r>
    </w:p>
    <w:p>
      <w:r>
        <w:rPr>
          <w:rFonts w:hint="eastAsia"/>
        </w:rPr>
        <w:t>（1）服务感受</w:t>
      </w:r>
    </w:p>
    <w:p>
      <w:pPr>
        <w:rPr>
          <w:b/>
          <w:bCs/>
        </w:rPr>
      </w:pPr>
      <w:r>
        <w:rPr>
          <w:rFonts w:hint="eastAsia"/>
        </w:rPr>
        <w:t>提供免费的服务热线电话，接受系统故障保修、使用帮助要求、业务和技术咨询、服务投诉等。该服务咨询中心保证7X24小时全天候运行，并配备足够的技术工程师，电话的拨通率保证达到98%以上。在热线电话发生故障情况下，提供其它备份的方便、迅速的联系方式。</w:t>
      </w:r>
      <w:r>
        <w:rPr>
          <w:rFonts w:hint="eastAsia"/>
          <w:b/>
          <w:bCs/>
        </w:rPr>
        <w:t>此指标为季度指标。</w:t>
      </w:r>
    </w:p>
    <w:p>
      <w:pPr>
        <w:pStyle w:val="4"/>
      </w:pPr>
      <w:r>
        <w:rPr>
          <w:rFonts w:hint="eastAsia"/>
        </w:rPr>
        <w:t>其他指标</w:t>
      </w:r>
    </w:p>
    <w:p>
      <w:r>
        <w:rPr>
          <w:rFonts w:hint="eastAsia"/>
        </w:rPr>
        <w:t>（1）日常维保要求</w:t>
      </w:r>
    </w:p>
    <w:p>
      <w:r>
        <w:rPr>
          <w:rFonts w:hint="eastAsia"/>
        </w:rPr>
        <w:t>a）投标方在进行与本项目有关的一切软硬件产品的施工前，须事先将所要提供的产品清单告知采购人，并在获得采购人的认可后方可施工。涉及平台软件、摄像机的具体型号、施工前，必须由采购人、中标方双方协商，进行必要的技术测试，当发生争议时，在确保中标方实际利益不受损害的前提下，采购人具有最终决定权。否则，视为违约，采购人将不予验收并拒付维护费。</w:t>
      </w:r>
      <w:r>
        <w:rPr>
          <w:rFonts w:hint="eastAsia"/>
          <w:b/>
          <w:bCs/>
        </w:rPr>
        <w:t>此指标为季度指标。</w:t>
      </w:r>
    </w:p>
    <w:p>
      <w:pPr>
        <w:rPr>
          <w:b/>
          <w:bCs/>
        </w:rPr>
      </w:pPr>
      <w:r>
        <w:rPr>
          <w:rFonts w:hint="eastAsia"/>
        </w:rPr>
        <w:t>b）对基础设施、前端设备、网络设备、服务器、存储等等进行自检和巡检，及时发现故障与隐患并排除，避免业务中断。每周对所有维护设备的运行情况及网络传输情况详细记录并及早排除，形成每周报表，由采购方指定人员进行确认。若发现线路、设备存在故障或隐患的情况时，要立即与用户沟通协调。每周巡检要形成巡检记录表，采购人根据实际情况进行抽查，发现漏检、漏修或未按规定进行记录的记入考核。</w:t>
      </w:r>
      <w:r>
        <w:rPr>
          <w:rFonts w:hint="eastAsia"/>
          <w:b/>
          <w:bCs/>
        </w:rPr>
        <w:t>此指标为周度指标。</w:t>
      </w:r>
    </w:p>
    <w:p>
      <w:pPr>
        <w:rPr>
          <w:b/>
          <w:bCs/>
        </w:rPr>
      </w:pPr>
      <w:r>
        <w:rPr>
          <w:rFonts w:hint="eastAsia"/>
        </w:rPr>
        <w:t>c）对所有设施包括防护箱等表面及深层灰尘、油污、潮气、炭渍等有害物质进行一次清洗，消除电路板漏电、电化学腐蚀，消除导致电路性能改变、退化和失效的根源。每季度消除静电一次，防止电路击穿，保证设备正常工作以及避免重大恶性事故的发生；每季度对前端摄像机进行维护（防护罩清洁，清洁镜头），防止由于机器运转、静电等因素将尘土吸入监控设备机体内，确保机器正常运行。同时检查监控设备通风、散热、净尘、供电等设施。每季度形成前端设备维护记录表，采购人根据实际情况进行抽查，发现漏检、漏修或未按规定进行记录的记入考核。</w:t>
      </w:r>
      <w:r>
        <w:rPr>
          <w:rFonts w:hint="eastAsia"/>
          <w:b/>
          <w:bCs/>
        </w:rPr>
        <w:t>此指标为季度指标。</w:t>
      </w:r>
    </w:p>
    <w:p>
      <w:pPr>
        <w:rPr>
          <w:b/>
          <w:bCs/>
        </w:rPr>
      </w:pPr>
      <w:r>
        <w:rPr>
          <w:rFonts w:hint="eastAsia"/>
        </w:rPr>
        <w:t>d）定期对大屏、网络设备和机房设备进行维护，包括每月对精密空调、大屏、交换机、终端服务器等等进行吸尘清理。对机房供电设施及ups的运行状态要实时把握，确保电压、频率、负载容量、温度全部正常，每月测量输入输出及旁路电压电流是否正常，在市电断电情况下，ups供电机房所有设备应在3小时以上，不能满足时视为电源故障须及时更换电池。每月形成设备维护记录表，采购人根据实际情况进行抽查，发现漏检、漏修或未按规定进行记录的记入考核。</w:t>
      </w:r>
      <w:r>
        <w:rPr>
          <w:rFonts w:hint="eastAsia"/>
          <w:b/>
          <w:bCs/>
        </w:rPr>
        <w:t>此指标为月度指标。</w:t>
      </w:r>
    </w:p>
    <w:p>
      <w:pPr>
        <w:rPr>
          <w:b/>
          <w:bCs/>
        </w:rPr>
      </w:pPr>
      <w:r>
        <w:rPr>
          <w:rFonts w:hint="eastAsia"/>
        </w:rPr>
        <w:t>e）投标配备与本项目规模相称的技术和施工人员及施工维护设备，自行承担建设、维护过程中的所有安全管理责任。</w:t>
      </w:r>
      <w:r>
        <w:rPr>
          <w:rFonts w:hint="eastAsia"/>
          <w:b/>
          <w:bCs/>
        </w:rPr>
        <w:t>此指标为季度指标。</w:t>
      </w:r>
    </w:p>
    <w:p>
      <w:pPr>
        <w:rPr>
          <w:b/>
          <w:bCs/>
        </w:rPr>
      </w:pPr>
      <w:r>
        <w:rPr>
          <w:rFonts w:hint="eastAsia"/>
        </w:rPr>
        <w:t>f）维护期内，投标方须积极配合采购人完成第三方视频资源整合及修复。并按照采购人要求与市局视频应用平台对接，保障稳定运行。</w:t>
      </w:r>
      <w:r>
        <w:rPr>
          <w:rFonts w:hint="eastAsia"/>
          <w:b/>
          <w:bCs/>
        </w:rPr>
        <w:t>此指标为季度指标。</w:t>
      </w:r>
    </w:p>
    <w:p>
      <w:pPr>
        <w:rPr>
          <w:b/>
          <w:bCs/>
        </w:rPr>
      </w:pPr>
      <w:r>
        <w:rPr>
          <w:rFonts w:hint="eastAsia"/>
        </w:rPr>
        <w:t>g）承诺承担合同期内系统发生任何故障的抢修任务。</w:t>
      </w:r>
      <w:r>
        <w:rPr>
          <w:rFonts w:hint="eastAsia"/>
          <w:b/>
          <w:bCs/>
        </w:rPr>
        <w:t>此指标为季度指标。</w:t>
      </w:r>
    </w:p>
    <w:p>
      <w:r>
        <w:rPr>
          <w:rFonts w:hint="eastAsia"/>
        </w:rPr>
        <w:t>（2）设备更新更换要求</w:t>
      </w:r>
    </w:p>
    <w:p>
      <w:pPr>
        <w:rPr>
          <w:b/>
          <w:bCs/>
        </w:rPr>
      </w:pPr>
      <w:r>
        <w:rPr>
          <w:rFonts w:hint="eastAsia"/>
        </w:rPr>
        <w:t>a）本次项目前端3%的冗余设施，采购人在3年内根据实际需求，指定安装位置，由服务方负责完成施工、安装、传输等工作，所发生费用由服务方负责。</w:t>
      </w:r>
      <w:r>
        <w:rPr>
          <w:rFonts w:hint="eastAsia"/>
          <w:b/>
          <w:bCs/>
        </w:rPr>
        <w:t>此指标为季度指标。</w:t>
      </w:r>
    </w:p>
    <w:p>
      <w:pPr>
        <w:rPr>
          <w:b/>
          <w:bCs/>
        </w:rPr>
      </w:pPr>
      <w:r>
        <w:rPr>
          <w:rFonts w:hint="eastAsia"/>
        </w:rPr>
        <w:t>b）本次项目服务涉及前端摄像机及配套设施，经检查，视频图像不满足上级公安机关下达的视频图像治理相关要求的，服务方应及时更新更换，更新更换设施属于正常维护范围，不应使用3%的冗余设施。</w:t>
      </w:r>
      <w:r>
        <w:rPr>
          <w:rFonts w:hint="eastAsia"/>
          <w:b/>
          <w:bCs/>
        </w:rPr>
        <w:t>此指标为季度指标。</w:t>
      </w:r>
    </w:p>
    <w:p>
      <w:pPr>
        <w:pStyle w:val="3"/>
      </w:pPr>
      <w:bookmarkStart w:id="129" w:name="_Toc110247043"/>
      <w:bookmarkStart w:id="130" w:name="_Toc112317397"/>
      <w:bookmarkStart w:id="131" w:name="_Toc70590344"/>
      <w:r>
        <w:t>考核</w:t>
      </w:r>
      <w:r>
        <w:rPr>
          <w:rFonts w:hint="eastAsia"/>
        </w:rPr>
        <w:t>结果运用</w:t>
      </w:r>
      <w:bookmarkEnd w:id="129"/>
      <w:bookmarkEnd w:id="130"/>
      <w:bookmarkEnd w:id="131"/>
    </w:p>
    <w:p>
      <w:pPr>
        <w:jc w:val="both"/>
      </w:pPr>
      <w:r>
        <w:rPr>
          <w:rFonts w:hint="eastAsia"/>
        </w:rPr>
        <w:t>考核结果分为两档，7</w:t>
      </w:r>
      <w:r>
        <w:t>0分及以上为“合格”</w:t>
      </w:r>
      <w:r>
        <w:rPr>
          <w:rFonts w:hint="eastAsia"/>
        </w:rPr>
        <w:t>，7</w:t>
      </w:r>
      <w:r>
        <w:t>0分以下为“不合格”</w:t>
      </w:r>
      <w:r>
        <w:rPr>
          <w:rFonts w:hint="eastAsia"/>
        </w:rPr>
        <w:t>。</w:t>
      </w:r>
      <w:r>
        <w:t xml:space="preserve"> </w:t>
      </w:r>
      <w:r>
        <w:rPr>
          <w:rFonts w:hint="eastAsia"/>
        </w:rPr>
        <w:t>若</w:t>
      </w:r>
      <w:r>
        <w:t>发生数据丢失、泄密等</w:t>
      </w:r>
      <w:r>
        <w:rPr>
          <w:rFonts w:hint="eastAsia"/>
        </w:rPr>
        <w:t>安全事故</w:t>
      </w:r>
      <w:r>
        <w:t>，</w:t>
      </w:r>
      <w:r>
        <w:rPr>
          <w:rFonts w:hint="eastAsia"/>
        </w:rPr>
        <w:t>考核为</w:t>
      </w:r>
      <w:r>
        <w:t>“不合格”</w:t>
      </w:r>
      <w:r>
        <w:rPr>
          <w:rFonts w:hint="eastAsia"/>
        </w:rPr>
        <w:t>，且按照有关法律法规追究相关责任</w:t>
      </w:r>
      <w:r>
        <w:t>。</w:t>
      </w:r>
    </w:p>
    <w:p>
      <w:pPr>
        <w:jc w:val="both"/>
      </w:pPr>
      <w:r>
        <w:rPr>
          <w:rFonts w:hint="eastAsia"/>
        </w:rPr>
        <w:t>考核得分在90~100分区间时</w:t>
      </w:r>
      <w:r>
        <w:t>，每</w:t>
      </w:r>
      <w:r>
        <w:rPr>
          <w:rFonts w:hint="eastAsia"/>
        </w:rPr>
        <w:t>减少</w:t>
      </w:r>
      <w:r>
        <w:t>1分，扣当年服务费的</w:t>
      </w:r>
      <w:r>
        <w:rPr>
          <w:rFonts w:hint="eastAsia"/>
        </w:rPr>
        <w:t>5‰。</w:t>
      </w:r>
    </w:p>
    <w:p>
      <w:pPr>
        <w:jc w:val="both"/>
      </w:pPr>
      <w:r>
        <w:rPr>
          <w:rFonts w:hint="eastAsia"/>
        </w:rPr>
        <w:t>考核得分低于90分时，</w:t>
      </w:r>
      <w:r>
        <w:rPr>
          <w:rFonts w:hint="eastAsia"/>
          <w:szCs w:val="21"/>
        </w:rPr>
        <w:t>每</w:t>
      </w:r>
      <w:r>
        <w:rPr>
          <w:rFonts w:hint="eastAsia"/>
        </w:rPr>
        <w:t>减少</w:t>
      </w:r>
      <w:r>
        <w:rPr>
          <w:rFonts w:hint="eastAsia"/>
          <w:szCs w:val="21"/>
        </w:rPr>
        <w:t>1分，</w:t>
      </w:r>
      <w:r>
        <w:t>扣当年服务费的</w:t>
      </w:r>
      <w:r>
        <w:rPr>
          <w:rFonts w:hint="eastAsia"/>
        </w:rPr>
        <w:t>1%，并采购人发出整改通知书，</w:t>
      </w:r>
      <w:r>
        <w:rPr>
          <w:rFonts w:hint="eastAsia"/>
          <w:szCs w:val="21"/>
        </w:rPr>
        <w:t>责令</w:t>
      </w:r>
      <w:r>
        <w:rPr>
          <w:szCs w:val="21"/>
        </w:rPr>
        <w:t>限期整改，</w:t>
      </w:r>
      <w:r>
        <w:rPr>
          <w:rFonts w:hint="eastAsia"/>
        </w:rPr>
        <w:t>求投标人针对运维期间的不足之处进行；发出整改通知书一个月后仍没有改善的，采购人将递交暂停支付投标人本年度运维款项的函件至财政局。</w:t>
      </w:r>
    </w:p>
    <w:p>
      <w:pPr>
        <w:jc w:val="both"/>
        <w:rPr>
          <w:szCs w:val="21"/>
        </w:rPr>
      </w:pPr>
      <w:r>
        <w:rPr>
          <w:rFonts w:hint="eastAsia"/>
        </w:rPr>
        <w:t>考核得分低于70分时，采购人有权单方面终止合同，</w:t>
      </w:r>
      <w:r>
        <w:rPr>
          <w:rFonts w:hint="eastAsia"/>
          <w:szCs w:val="21"/>
        </w:rPr>
        <w:t>停止支付</w:t>
      </w:r>
      <w:r>
        <w:rPr>
          <w:szCs w:val="21"/>
        </w:rPr>
        <w:t>服务费</w:t>
      </w:r>
      <w:r>
        <w:rPr>
          <w:rFonts w:hint="eastAsia"/>
          <w:szCs w:val="21"/>
        </w:rPr>
        <w:t>，</w:t>
      </w:r>
      <w:r>
        <w:rPr>
          <w:rFonts w:hint="eastAsia"/>
        </w:rPr>
        <w:t>而无须赔偿投标人，</w:t>
      </w:r>
      <w:r>
        <w:rPr>
          <w:rFonts w:hint="eastAsia"/>
          <w:szCs w:val="21"/>
        </w:rPr>
        <w:t>直至整改合格，并扣减整改期间的服务费</w:t>
      </w:r>
      <w:r>
        <w:rPr>
          <w:szCs w:val="21"/>
        </w:rPr>
        <w:t>。</w:t>
      </w:r>
    </w:p>
    <w:p>
      <w:pPr>
        <w:jc w:val="both"/>
      </w:pPr>
      <w:r>
        <w:rPr>
          <w:rFonts w:hint="eastAsia"/>
        </w:rPr>
        <w:t>对当年服务效果进行考核结果运用，作为服务费用支付凭证。</w:t>
      </w:r>
    </w:p>
    <w:p>
      <w:pPr>
        <w:jc w:val="both"/>
      </w:pPr>
      <w:bookmarkStart w:id="132" w:name="_Hlk71902589"/>
      <w:r>
        <w:t>注：</w:t>
      </w:r>
    </w:p>
    <w:p>
      <w:pPr>
        <w:jc w:val="both"/>
      </w:pPr>
      <w:r>
        <w:t>不可抗力因素导致的情况，不计入考核。</w:t>
      </w:r>
    </w:p>
    <w:bookmarkEnd w:id="132"/>
    <w:p>
      <w:pPr>
        <w:jc w:val="both"/>
      </w:pPr>
      <w:r>
        <w:t>一是由自然原因引起的自然现象，如地震、风灾、大雪、山崩等；</w:t>
      </w:r>
    </w:p>
    <w:p>
      <w:pPr>
        <w:jc w:val="both"/>
      </w:pPr>
      <w:r>
        <w:t>二是由社会原因引起的社会现象，如战争、动乱、政府干预等</w:t>
      </w:r>
      <w:r>
        <w:rPr>
          <w:rFonts w:hint="eastAsia"/>
        </w:rPr>
        <w:t>；</w:t>
      </w:r>
    </w:p>
    <w:p>
      <w:pPr>
        <w:jc w:val="both"/>
      </w:pPr>
      <w:r>
        <w:rPr>
          <w:rFonts w:hint="eastAsia"/>
        </w:rPr>
        <w:t>三是由其他第三方原因引起的现象，如市政工程、人为破坏、区域停电等。</w:t>
      </w:r>
    </w:p>
    <w:p>
      <w:pPr>
        <w:pStyle w:val="3"/>
      </w:pPr>
      <w:bookmarkStart w:id="133" w:name="_Toc70590345"/>
      <w:bookmarkStart w:id="134" w:name="_Toc70371071"/>
      <w:bookmarkStart w:id="135" w:name="_Toc110247044"/>
      <w:bookmarkStart w:id="136" w:name="_Toc112317398"/>
      <w:r>
        <w:t>考核实施</w:t>
      </w:r>
      <w:bookmarkEnd w:id="133"/>
      <w:bookmarkEnd w:id="134"/>
      <w:bookmarkEnd w:id="135"/>
      <w:bookmarkEnd w:id="136"/>
    </w:p>
    <w:p>
      <w:pPr>
        <w:jc w:val="both"/>
        <w:rPr>
          <w:szCs w:val="21"/>
        </w:rPr>
      </w:pPr>
      <w:bookmarkStart w:id="137" w:name="_Hlk71902612"/>
      <w:r>
        <w:rPr>
          <w:rFonts w:hint="eastAsia"/>
        </w:rPr>
        <w:t>合同签订后按季度申请财政付款，</w:t>
      </w:r>
      <w:r>
        <w:t>每</w:t>
      </w:r>
      <w:r>
        <w:rPr>
          <w:rFonts w:hint="eastAsia"/>
        </w:rPr>
        <w:t>月</w:t>
      </w:r>
      <w:r>
        <w:t>服务商与业主方共同签字确认当</w:t>
      </w:r>
      <w:r>
        <w:rPr>
          <w:rFonts w:hint="eastAsia"/>
        </w:rPr>
        <w:t>月</w:t>
      </w:r>
      <w:r>
        <w:t>考核指标数据，</w:t>
      </w:r>
      <w:r>
        <w:rPr>
          <w:rFonts w:hint="eastAsia"/>
        </w:rPr>
        <w:t>按季度支付服务费，每个季度付款金额为本年度应付款的25%。每个季度维护工作完毕后，采购人负责管理项目的部门根据季度维护情况进行考核评分，并形成服务考核报告，作为进行申请财政付款的主要依据。</w:t>
      </w:r>
    </w:p>
    <w:bookmarkEnd w:id="137"/>
    <w:p>
      <w:pPr>
        <w:pStyle w:val="3"/>
      </w:pPr>
      <w:bookmarkStart w:id="138" w:name="_Toc110247045"/>
      <w:bookmarkStart w:id="139" w:name="_Toc112317399"/>
      <w:r>
        <w:t>考核</w:t>
      </w:r>
      <w:r>
        <w:rPr>
          <w:rFonts w:hint="eastAsia"/>
        </w:rPr>
        <w:t>主体</w:t>
      </w:r>
      <w:bookmarkEnd w:id="138"/>
      <w:bookmarkEnd w:id="139"/>
    </w:p>
    <w:p>
      <w:pPr>
        <w:jc w:val="both"/>
        <w:sectPr>
          <w:headerReference r:id="rId12" w:type="default"/>
          <w:pgSz w:w="11906" w:h="16838"/>
          <w:pgMar w:top="1440" w:right="1287" w:bottom="1440" w:left="1287" w:header="851" w:footer="992" w:gutter="0"/>
          <w:cols w:space="425" w:num="1"/>
          <w:docGrid w:type="lines" w:linePitch="326" w:charSpace="0"/>
        </w:sectPr>
      </w:pPr>
      <w:r>
        <w:rPr>
          <w:rFonts w:hint="eastAsia"/>
        </w:rPr>
        <w:t>达拉特旗公安局为考核主体，旗政法委监督。</w:t>
      </w:r>
    </w:p>
    <w:bookmarkEnd w:id="122"/>
    <w:p>
      <w:pPr>
        <w:pStyle w:val="2"/>
        <w:numPr>
          <w:ilvl w:val="0"/>
          <w:numId w:val="0"/>
        </w:numPr>
        <w:jc w:val="both"/>
      </w:pPr>
      <w:bookmarkStart w:id="140" w:name="_Toc110247062"/>
      <w:bookmarkStart w:id="141" w:name="_Toc112317419"/>
      <w:bookmarkStart w:id="142" w:name="_Toc110247063"/>
      <w:r>
        <w:t>附件</w:t>
      </w:r>
      <w:bookmarkEnd w:id="140"/>
      <w:bookmarkEnd w:id="141"/>
      <w:r>
        <w:rPr>
          <w:rFonts w:hint="eastAsia"/>
        </w:rPr>
        <w:t>：</w:t>
      </w:r>
      <w:bookmarkEnd w:id="142"/>
      <w:bookmarkStart w:id="143" w:name="_Toc112317426"/>
      <w:bookmarkStart w:id="144" w:name="_Toc110247071"/>
      <w:r>
        <w:t>考核指标评分表</w:t>
      </w:r>
      <w:bookmarkEnd w:id="143"/>
      <w:bookmarkEnd w:id="144"/>
    </w:p>
    <w:p>
      <w:pPr>
        <w:pStyle w:val="9"/>
      </w:pPr>
      <w:r>
        <w:rPr>
          <w:rFonts w:hint="eastAsia"/>
        </w:rPr>
        <w:t>考核指标评分表</w:t>
      </w:r>
    </w:p>
    <w:tbl>
      <w:tblPr>
        <w:tblStyle w:val="35"/>
        <w:tblW w:w="14175" w:type="dxa"/>
        <w:tblInd w:w="0" w:type="dxa"/>
        <w:tblLayout w:type="autofit"/>
        <w:tblCellMar>
          <w:top w:w="0" w:type="dxa"/>
          <w:left w:w="108" w:type="dxa"/>
          <w:bottom w:w="0" w:type="dxa"/>
          <w:right w:w="108" w:type="dxa"/>
        </w:tblCellMar>
      </w:tblPr>
      <w:tblGrid>
        <w:gridCol w:w="731"/>
        <w:gridCol w:w="731"/>
        <w:gridCol w:w="731"/>
        <w:gridCol w:w="5983"/>
        <w:gridCol w:w="799"/>
        <w:gridCol w:w="1760"/>
        <w:gridCol w:w="3440"/>
      </w:tblGrid>
      <w:tr>
        <w:tblPrEx>
          <w:tblCellMar>
            <w:top w:w="0" w:type="dxa"/>
            <w:left w:w="108" w:type="dxa"/>
            <w:bottom w:w="0" w:type="dxa"/>
            <w:right w:w="108" w:type="dxa"/>
          </w:tblCellMar>
        </w:tblPrEx>
        <w:trPr>
          <w:cantSplit/>
          <w:trHeight w:val="288" w:hRule="atLeast"/>
          <w:tblHeader/>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一级</w:t>
            </w:r>
          </w:p>
        </w:tc>
        <w:tc>
          <w:tcPr>
            <w:tcW w:w="96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二级</w:t>
            </w:r>
          </w:p>
        </w:tc>
        <w:tc>
          <w:tcPr>
            <w:tcW w:w="96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三级</w:t>
            </w:r>
          </w:p>
        </w:tc>
        <w:tc>
          <w:tcPr>
            <w:tcW w:w="98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考评内容</w:t>
            </w:r>
          </w:p>
        </w:tc>
        <w:tc>
          <w:tcPr>
            <w:tcW w:w="10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考核周期</w:t>
            </w:r>
          </w:p>
        </w:tc>
        <w:tc>
          <w:tcPr>
            <w:tcW w:w="176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评分办法</w:t>
            </w:r>
          </w:p>
        </w:tc>
        <w:tc>
          <w:tcPr>
            <w:tcW w:w="51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备注</w:t>
            </w:r>
          </w:p>
        </w:tc>
      </w:tr>
      <w:tr>
        <w:tblPrEx>
          <w:tblCellMar>
            <w:top w:w="0" w:type="dxa"/>
            <w:left w:w="108" w:type="dxa"/>
            <w:bottom w:w="0" w:type="dxa"/>
            <w:right w:w="108" w:type="dxa"/>
          </w:tblCellMar>
        </w:tblPrEx>
        <w:trPr>
          <w:trHeight w:val="288"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指标</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指标</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指标</w:t>
            </w:r>
          </w:p>
        </w:tc>
        <w:tc>
          <w:tcPr>
            <w:tcW w:w="986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b/>
                <w:bCs/>
                <w:color w:val="000000"/>
                <w:kern w:val="0"/>
                <w:sz w:val="21"/>
                <w:szCs w:val="21"/>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b/>
                <w:bCs/>
                <w:color w:val="000000"/>
                <w:kern w:val="0"/>
                <w:sz w:val="21"/>
                <w:szCs w:val="21"/>
              </w:rPr>
            </w:pPr>
          </w:p>
        </w:tc>
        <w:tc>
          <w:tcPr>
            <w:tcW w:w="176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b/>
                <w:bCs/>
                <w:color w:val="000000"/>
                <w:kern w:val="0"/>
                <w:sz w:val="21"/>
                <w:szCs w:val="21"/>
              </w:rPr>
            </w:pPr>
          </w:p>
        </w:tc>
        <w:tc>
          <w:tcPr>
            <w:tcW w:w="516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b/>
                <w:bCs/>
                <w:color w:val="000000"/>
                <w:kern w:val="0"/>
                <w:sz w:val="21"/>
                <w:szCs w:val="21"/>
              </w:rPr>
            </w:pPr>
          </w:p>
        </w:tc>
      </w:tr>
      <w:tr>
        <w:tblPrEx>
          <w:tblCellMar>
            <w:top w:w="0" w:type="dxa"/>
            <w:left w:w="108" w:type="dxa"/>
            <w:bottom w:w="0" w:type="dxa"/>
            <w:right w:w="108" w:type="dxa"/>
          </w:tblCellMar>
        </w:tblPrEx>
        <w:trPr>
          <w:trHeight w:val="2880" w:hRule="atLeast"/>
        </w:trPr>
        <w:tc>
          <w:tcPr>
            <w:tcW w:w="96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产出指标</w:t>
            </w:r>
          </w:p>
        </w:tc>
        <w:tc>
          <w:tcPr>
            <w:tcW w:w="96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数量指标</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设备在线率</w:t>
            </w:r>
          </w:p>
        </w:tc>
        <w:tc>
          <w:tcPr>
            <w:tcW w:w="98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设备在线率=监控设备累计在线时长/（该时期天数×24小时），此指标为年周期指标。</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每月</w:t>
            </w:r>
          </w:p>
        </w:tc>
        <w:tc>
          <w:tcPr>
            <w:tcW w:w="1760"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标识为维护事项中如有未履行事项有一次扣2分，标识为▲维护事项中如有未履行事项有一次扣1分，其中涉及处理故障的应维护事项如有未履行报告登记程序的发现一次另扣2分，对采购人工作造成影响的有一次另扣5分。采购人发现未处理事项，可以要求投标方在规定时间内整改完成，如整改未完成，除当次扣分外，再扣5分。</w:t>
            </w:r>
          </w:p>
        </w:tc>
        <w:tc>
          <w:tcPr>
            <w:tcW w:w="51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1、国家、市级、达拉特旗重大活动等重点时段设备在线率≥99.9%，其余时段设备在线率≥95%，该项目得满分；</w:t>
            </w:r>
            <w:r>
              <w:rPr>
                <w:rFonts w:hint="eastAsia" w:ascii="宋体" w:hAnsi="宋体" w:cs="宋体"/>
                <w:color w:val="000000"/>
                <w:kern w:val="0"/>
                <w:sz w:val="21"/>
                <w:szCs w:val="21"/>
              </w:rPr>
              <w:br w:type="textWrapping"/>
            </w:r>
            <w:r>
              <w:rPr>
                <w:rFonts w:hint="eastAsia" w:ascii="宋体" w:hAnsi="宋体" w:cs="宋体"/>
                <w:color w:val="000000"/>
                <w:kern w:val="0"/>
                <w:sz w:val="21"/>
                <w:szCs w:val="21"/>
              </w:rPr>
              <w:t>2、一类监控点位3日不在线、二类监控点位10日不在线、三类监控点位14日不在线，不支付本月服务费。二类监控点位5日不在线、三类监控点位7日不在线，该路监控点位扣除本月50%服务费。</w:t>
            </w:r>
            <w:r>
              <w:rPr>
                <w:rFonts w:hint="eastAsia" w:ascii="宋体" w:hAnsi="宋体" w:cs="宋体"/>
                <w:color w:val="000000"/>
                <w:kern w:val="0"/>
                <w:sz w:val="21"/>
                <w:szCs w:val="21"/>
              </w:rPr>
              <w:br w:type="textWrapping"/>
            </w:r>
            <w:r>
              <w:rPr>
                <w:rFonts w:hint="eastAsia" w:ascii="宋体" w:hAnsi="宋体" w:cs="宋体"/>
                <w:color w:val="000000"/>
                <w:kern w:val="0"/>
                <w:sz w:val="21"/>
                <w:szCs w:val="21"/>
              </w:rPr>
              <w:t>超过1个月未修复图像的故障点位，扣除该点位当年的服务费。</w:t>
            </w:r>
            <w:r>
              <w:rPr>
                <w:rFonts w:hint="eastAsia" w:ascii="宋体" w:hAnsi="宋体" w:cs="宋体"/>
                <w:color w:val="000000"/>
                <w:kern w:val="0"/>
                <w:sz w:val="21"/>
                <w:szCs w:val="21"/>
              </w:rPr>
              <w:br w:type="textWrapping"/>
            </w:r>
            <w:r>
              <w:rPr>
                <w:rFonts w:hint="eastAsia" w:ascii="宋体" w:hAnsi="宋体" w:cs="宋体"/>
                <w:color w:val="000000"/>
                <w:kern w:val="0"/>
                <w:sz w:val="21"/>
                <w:szCs w:val="21"/>
              </w:rPr>
              <w:t>3、设备故障维修时间归为非在线时长。</w:t>
            </w:r>
          </w:p>
        </w:tc>
      </w:tr>
      <w:tr>
        <w:tblPrEx>
          <w:tblCellMar>
            <w:top w:w="0" w:type="dxa"/>
            <w:left w:w="108" w:type="dxa"/>
            <w:bottom w:w="0" w:type="dxa"/>
            <w:right w:w="108" w:type="dxa"/>
          </w:tblCellMar>
        </w:tblPrEx>
        <w:trPr>
          <w:trHeight w:val="2304" w:hRule="atLeast"/>
        </w:trPr>
        <w:tc>
          <w:tcPr>
            <w:tcW w:w="9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驻场人员数量</w:t>
            </w:r>
          </w:p>
        </w:tc>
        <w:tc>
          <w:tcPr>
            <w:tcW w:w="98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项目开工后需配备1名项目经理，配备2名技术人员提供本地化技术支撑（ 包含1名平台厂家驻场人员），配备不少于5名施工人员,并承诺本项目组建的维护队伍的项目经理和2名技术人员保持稳定，除离职或甲方建议更换外一般不得随意更换。</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每季度</w:t>
            </w:r>
          </w:p>
        </w:tc>
        <w:tc>
          <w:tcPr>
            <w:tcW w:w="176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51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xml:space="preserve">1、项目经理，应该在高清监控技术、通信技术、计算机及其设备硬件技术、系统运行与维护工作管理方面具有非常专业和独到的经验和知识。 </w:t>
            </w:r>
            <w:r>
              <w:rPr>
                <w:rFonts w:hint="eastAsia" w:ascii="宋体" w:hAnsi="宋体" w:cs="宋体"/>
                <w:color w:val="000000"/>
                <w:kern w:val="0"/>
                <w:sz w:val="21"/>
                <w:szCs w:val="21"/>
              </w:rPr>
              <w:br w:type="textWrapping"/>
            </w:r>
            <w:r>
              <w:rPr>
                <w:rFonts w:hint="eastAsia" w:ascii="宋体" w:hAnsi="宋体" w:cs="宋体"/>
                <w:color w:val="000000"/>
                <w:kern w:val="0"/>
                <w:sz w:val="21"/>
                <w:szCs w:val="21"/>
              </w:rPr>
              <w:t>2、2名技术人员为大专或以上学历，参加相关工作时间在3年以上；作为本维护项目的技术骨干，在高清监控技术、通信技术、计算机及其设备硬件技术、系统运行与维护工作管理方面具有非常专业和独到的经验和知识。</w:t>
            </w:r>
          </w:p>
        </w:tc>
      </w:tr>
      <w:tr>
        <w:tblPrEx>
          <w:tblCellMar>
            <w:top w:w="0" w:type="dxa"/>
            <w:left w:w="108" w:type="dxa"/>
            <w:bottom w:w="0" w:type="dxa"/>
            <w:right w:w="108" w:type="dxa"/>
          </w:tblCellMar>
        </w:tblPrEx>
        <w:trPr>
          <w:trHeight w:val="2016" w:hRule="atLeast"/>
        </w:trPr>
        <w:tc>
          <w:tcPr>
            <w:tcW w:w="9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6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质量指标</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图像质量诊断</w:t>
            </w:r>
          </w:p>
        </w:tc>
        <w:tc>
          <w:tcPr>
            <w:tcW w:w="98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对图像质量进行巡查诊断，图像质量检测包含清晰度检测、视频干扰检测、亮度异常检测、色彩偏色检测、色彩偏色检测、视频缺失检测、视频缺失检测、画面抖动检测、视频冻结检测、视频录像诊断，每周对电警、卡口、人脸图像进行巡查诊断，包含图像质量、抓拍率、识别率，图像在线率、抓拍率和识别率都必须在95%以上，以下的视为故障，能通过调试相机和补光灯解决的应立即开始解决，解决不了的须提供原厂家技术支持或更换设备，直至将问题或故障彻底解决。每周要形成图像质量记录表，采购人根据实际情况进行抽查，发现漏检、漏修或未按规定进行记录的，记入本季度考核。视频图像须满足上级公安机关下达的视频图像治理相关要求。</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每周</w:t>
            </w:r>
          </w:p>
        </w:tc>
        <w:tc>
          <w:tcPr>
            <w:tcW w:w="176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51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CellMar>
            <w:top w:w="0" w:type="dxa"/>
            <w:left w:w="108" w:type="dxa"/>
            <w:bottom w:w="0" w:type="dxa"/>
            <w:right w:w="108" w:type="dxa"/>
          </w:tblCellMar>
        </w:tblPrEx>
        <w:trPr>
          <w:trHeight w:val="1440" w:hRule="atLeast"/>
        </w:trPr>
        <w:tc>
          <w:tcPr>
            <w:tcW w:w="9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网络性能诊断</w:t>
            </w:r>
          </w:p>
        </w:tc>
        <w:tc>
          <w:tcPr>
            <w:tcW w:w="986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合理安排监控网络需求，如带宽、IP地址等限制。提供每月一次的监控系统网络性能检测，包括网络的连通性、稳定性及带宽的利用率等；实时检测所有可能影响监控网络设备的外来网络攻击；对监测数据进行分析，根据分析的结果及用户网络情况提出网络优化建议。实时监控服务器运行状态：实时监控各服务器运行状态、流量及入侵监控等。对异常情况，进行核查，并进行相关的处理。根据用户需要进行监控网络的规划、优化；协助客户处理服务器软硬件故障及进行相关硬件软件的拆装等。</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每月</w:t>
            </w:r>
          </w:p>
        </w:tc>
        <w:tc>
          <w:tcPr>
            <w:tcW w:w="176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51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CellMar>
            <w:top w:w="0" w:type="dxa"/>
            <w:left w:w="108" w:type="dxa"/>
            <w:bottom w:w="0" w:type="dxa"/>
            <w:right w:w="108" w:type="dxa"/>
          </w:tblCellMar>
        </w:tblPrEx>
        <w:trPr>
          <w:trHeight w:val="576" w:hRule="atLeast"/>
        </w:trPr>
        <w:tc>
          <w:tcPr>
            <w:tcW w:w="9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技术升级服务</w:t>
            </w:r>
          </w:p>
        </w:tc>
        <w:tc>
          <w:tcPr>
            <w:tcW w:w="98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当非火或烟之外的任何因素被错误识别为火情，并上报给业主，此类情况记一次误报。</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每月</w:t>
            </w:r>
          </w:p>
        </w:tc>
        <w:tc>
          <w:tcPr>
            <w:tcW w:w="176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51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CellMar>
            <w:top w:w="0" w:type="dxa"/>
            <w:left w:w="108" w:type="dxa"/>
            <w:bottom w:w="0" w:type="dxa"/>
            <w:right w:w="108" w:type="dxa"/>
          </w:tblCellMar>
        </w:tblPrEx>
        <w:trPr>
          <w:trHeight w:val="864" w:hRule="atLeast"/>
        </w:trPr>
        <w:tc>
          <w:tcPr>
            <w:tcW w:w="9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60"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时效指标</w:t>
            </w:r>
          </w:p>
        </w:tc>
        <w:tc>
          <w:tcPr>
            <w:tcW w:w="96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一般保障方案</w:t>
            </w:r>
          </w:p>
        </w:tc>
        <w:tc>
          <w:tcPr>
            <w:tcW w:w="98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任何导致设备运行不正常、导致图像质量不正常或降低、导致用户不能正常使用的任何情况都为故障。发现故障后，应当在1小时内响应，4小时内到达故障现场进行抢修，24小时内解决问题或拿出采购人同意认为合理的解决方案，如果处理不了的应及时更换设备。</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每季度</w:t>
            </w:r>
          </w:p>
        </w:tc>
        <w:tc>
          <w:tcPr>
            <w:tcW w:w="176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5160"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故障处理及时率=故障处理及时的次数/故障发生次数，故障处理及时率&gt;=95%，该项目得满分；此指标为季度指标。</w:t>
            </w:r>
          </w:p>
        </w:tc>
      </w:tr>
      <w:tr>
        <w:tblPrEx>
          <w:tblCellMar>
            <w:top w:w="0" w:type="dxa"/>
            <w:left w:w="108" w:type="dxa"/>
            <w:bottom w:w="0" w:type="dxa"/>
            <w:right w:w="108" w:type="dxa"/>
          </w:tblCellMar>
        </w:tblPrEx>
        <w:trPr>
          <w:trHeight w:val="1440" w:hRule="atLeast"/>
        </w:trPr>
        <w:tc>
          <w:tcPr>
            <w:tcW w:w="9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6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8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处理故障时，一般应不影响正在使用的系统或任意扩大影响范围，必须严格按照经审核有效的故障诊断手册、命令手册等规定的命令和操作方法处理。处理重大故障时，首先应按已批准的应急措施和方法尽快恢复系统运行，决不能因查找原因而延长故障历时。系统维护人员和故障处理人员应做好相关的故障记录，保存好处理过程中的各种数据检查和测试结果，以备事后分析故障原因。故障记录表中每一次故障恢复都要采购人确认。发现不及时、处理不及时、维护不彻底的记入本季度考核。</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每季度</w:t>
            </w:r>
          </w:p>
        </w:tc>
        <w:tc>
          <w:tcPr>
            <w:tcW w:w="176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516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r>
      <w:tr>
        <w:tblPrEx>
          <w:tblCellMar>
            <w:top w:w="0" w:type="dxa"/>
            <w:left w:w="108" w:type="dxa"/>
            <w:bottom w:w="0" w:type="dxa"/>
            <w:right w:w="108" w:type="dxa"/>
          </w:tblCellMar>
        </w:tblPrEx>
        <w:trPr>
          <w:trHeight w:val="576" w:hRule="atLeast"/>
        </w:trPr>
        <w:tc>
          <w:tcPr>
            <w:tcW w:w="9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6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8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机房动力系统故障处理方案，根据实际负荷大小，提前准备汽油发电机，超过3小时停电，立即启动发电，保障核心设备正常运行。动力设施发生故障，应立即通知采购人和专业电力技术人员到场抢修。</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每季度</w:t>
            </w:r>
          </w:p>
        </w:tc>
        <w:tc>
          <w:tcPr>
            <w:tcW w:w="176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516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r>
      <w:tr>
        <w:tblPrEx>
          <w:tblCellMar>
            <w:top w:w="0" w:type="dxa"/>
            <w:left w:w="108" w:type="dxa"/>
            <w:bottom w:w="0" w:type="dxa"/>
            <w:right w:w="108" w:type="dxa"/>
          </w:tblCellMar>
        </w:tblPrEx>
        <w:trPr>
          <w:trHeight w:val="864" w:hRule="atLeast"/>
        </w:trPr>
        <w:tc>
          <w:tcPr>
            <w:tcW w:w="9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6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8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光缆故障处理方案，因外单位施工等导致光缆故障时，维护人员应立即勘察现场，研究施工方案。因自然灾害影响线路施工抢修时，马上架设无线通信设施，在接入点和机房间提供无线链路，保障信号的正常传输和使用，满足链路带宽的传输要求。</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每季度</w:t>
            </w:r>
          </w:p>
        </w:tc>
        <w:tc>
          <w:tcPr>
            <w:tcW w:w="176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516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r>
      <w:tr>
        <w:tblPrEx>
          <w:tblCellMar>
            <w:top w:w="0" w:type="dxa"/>
            <w:left w:w="108" w:type="dxa"/>
            <w:bottom w:w="0" w:type="dxa"/>
            <w:right w:w="108" w:type="dxa"/>
          </w:tblCellMar>
        </w:tblPrEx>
        <w:trPr>
          <w:trHeight w:val="1152" w:hRule="atLeast"/>
        </w:trPr>
        <w:tc>
          <w:tcPr>
            <w:tcW w:w="9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6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8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设备发生被盗或损害事件抢修方案，发生设备被盗或人为损害设备情况时，维护人员应在2小时内报告采购人，同时保护好现场。因维护人员未及时处置，损失由维保方负责。因特殊原因采购人根据实际情况需要迁移监控设施的，由维保方负责迁移到指定位置，迁移点位数量占总点位数量2%以内，发生的费用由维保方负责。</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每季度</w:t>
            </w:r>
          </w:p>
        </w:tc>
        <w:tc>
          <w:tcPr>
            <w:tcW w:w="176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516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r>
      <w:tr>
        <w:tblPrEx>
          <w:tblCellMar>
            <w:top w:w="0" w:type="dxa"/>
            <w:left w:w="108" w:type="dxa"/>
            <w:bottom w:w="0" w:type="dxa"/>
            <w:right w:w="108" w:type="dxa"/>
          </w:tblCellMar>
        </w:tblPrEx>
        <w:trPr>
          <w:trHeight w:val="864" w:hRule="atLeast"/>
        </w:trPr>
        <w:tc>
          <w:tcPr>
            <w:tcW w:w="9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6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8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服务器软件系统故障抢修方案，发生服务器软件系统故障后，应立即联系软件开发部门或设备供应单位共同查找原因，了解故障程度，着手抢修。4小时内还未修复完毕,须备份文件，避免重要数据的丢失。</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每季度</w:t>
            </w:r>
          </w:p>
        </w:tc>
        <w:tc>
          <w:tcPr>
            <w:tcW w:w="176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516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r>
      <w:tr>
        <w:tblPrEx>
          <w:tblCellMar>
            <w:top w:w="0" w:type="dxa"/>
            <w:left w:w="108" w:type="dxa"/>
            <w:bottom w:w="0" w:type="dxa"/>
            <w:right w:w="108" w:type="dxa"/>
          </w:tblCellMar>
        </w:tblPrEx>
        <w:trPr>
          <w:trHeight w:val="864" w:hRule="atLeast"/>
        </w:trPr>
        <w:tc>
          <w:tcPr>
            <w:tcW w:w="9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6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8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核心设备硬件故障抢修方案，发生核心设备硬件故障后，应及时报告，并联系原厂家组织查找、确定故障设备及故障原因，进行先期处置。故障设备在24小时内无法修复，应联系厂家替换设备或购买新设备，保持系统正常运行。</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每季度</w:t>
            </w:r>
          </w:p>
        </w:tc>
        <w:tc>
          <w:tcPr>
            <w:tcW w:w="176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516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r>
      <w:tr>
        <w:tblPrEx>
          <w:tblCellMar>
            <w:top w:w="0" w:type="dxa"/>
            <w:left w:w="108" w:type="dxa"/>
            <w:bottom w:w="0" w:type="dxa"/>
            <w:right w:w="108" w:type="dxa"/>
          </w:tblCellMar>
        </w:tblPrEx>
        <w:trPr>
          <w:trHeight w:val="864" w:hRule="atLeast"/>
        </w:trPr>
        <w:tc>
          <w:tcPr>
            <w:tcW w:w="9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6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特殊保障方案</w:t>
            </w:r>
          </w:p>
        </w:tc>
        <w:tc>
          <w:tcPr>
            <w:tcW w:w="98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遇有各种大型活动、公众集会、突发事件、安保演练等事件，投标方要将重大安保活动视频系统维护保障工作贯穿于整个活动的始终，选取由有丰富经验的维护人员提前驻点安排，及时提供安保活动视频系统保障措施，包括迁移点位、临时铺设线缆施工。</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每季度</w:t>
            </w:r>
          </w:p>
        </w:tc>
        <w:tc>
          <w:tcPr>
            <w:tcW w:w="176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516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r>
      <w:tr>
        <w:tblPrEx>
          <w:tblCellMar>
            <w:top w:w="0" w:type="dxa"/>
            <w:left w:w="108" w:type="dxa"/>
            <w:bottom w:w="0" w:type="dxa"/>
            <w:right w:w="108" w:type="dxa"/>
          </w:tblCellMar>
        </w:tblPrEx>
        <w:trPr>
          <w:trHeight w:val="1152"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满意度指标</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服务对象满意度指标</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服务感受</w:t>
            </w:r>
          </w:p>
        </w:tc>
        <w:tc>
          <w:tcPr>
            <w:tcW w:w="98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提供免费的服务热线电话，接受系统故障保修、使用帮助要求、业务和技术咨询、服务投诉等。该服务咨询中心保证7X24小时全天候运行，并配备足够的技术工程师，电话的拨通率保证达到98%以上。在热线电话发生故障情况下，提供其它备份的方便、迅速的联系方式。</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每季度</w:t>
            </w:r>
          </w:p>
        </w:tc>
        <w:tc>
          <w:tcPr>
            <w:tcW w:w="176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51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1、服务运营人员的服务态度和服务意识良好、积极得满分；</w:t>
            </w:r>
            <w:r>
              <w:rPr>
                <w:rFonts w:hint="eastAsia" w:ascii="宋体" w:hAnsi="宋体" w:cs="宋体"/>
                <w:color w:val="000000"/>
                <w:kern w:val="0"/>
                <w:sz w:val="21"/>
                <w:szCs w:val="21"/>
              </w:rPr>
              <w:br w:type="textWrapping"/>
            </w:r>
            <w:r>
              <w:rPr>
                <w:rFonts w:hint="eastAsia" w:ascii="宋体" w:hAnsi="宋体" w:cs="宋体"/>
                <w:color w:val="000000"/>
                <w:kern w:val="0"/>
                <w:sz w:val="21"/>
                <w:szCs w:val="21"/>
              </w:rPr>
              <w:t>2、每发现运营人员不积极配合或服务态度不好的情况，每次扣2分</w:t>
            </w:r>
          </w:p>
        </w:tc>
      </w:tr>
      <w:tr>
        <w:tblPrEx>
          <w:tblCellMar>
            <w:top w:w="0" w:type="dxa"/>
            <w:left w:w="108" w:type="dxa"/>
            <w:bottom w:w="0" w:type="dxa"/>
            <w:right w:w="108" w:type="dxa"/>
          </w:tblCellMar>
        </w:tblPrEx>
        <w:trPr>
          <w:trHeight w:val="1152" w:hRule="atLeast"/>
        </w:trPr>
        <w:tc>
          <w:tcPr>
            <w:tcW w:w="96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其他指标</w:t>
            </w:r>
          </w:p>
        </w:tc>
        <w:tc>
          <w:tcPr>
            <w:tcW w:w="96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其他指标</w:t>
            </w:r>
          </w:p>
        </w:tc>
        <w:tc>
          <w:tcPr>
            <w:tcW w:w="96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日常维保要求</w:t>
            </w:r>
          </w:p>
        </w:tc>
        <w:tc>
          <w:tcPr>
            <w:tcW w:w="986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投标方在进行与本项目有关的一切软硬件产品的施工前，须事先将所要提供的产品清单告知采购人，并在获得采购人的认可后方可施工。涉及平台软件、摄像机的具体型号、施工前，必须由采购人、中标方双方协商，进行必要的技术测试，当发生争议时，在确保中标方实际利益不受损害的前提下，采购人具有最终决定权。否则，视为违约，采购人将不予验收并拒付维护费。</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每季度</w:t>
            </w:r>
          </w:p>
        </w:tc>
        <w:tc>
          <w:tcPr>
            <w:tcW w:w="176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51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CellMar>
            <w:top w:w="0" w:type="dxa"/>
            <w:left w:w="108" w:type="dxa"/>
            <w:bottom w:w="0" w:type="dxa"/>
            <w:right w:w="108" w:type="dxa"/>
          </w:tblCellMar>
        </w:tblPrEx>
        <w:trPr>
          <w:trHeight w:val="1440" w:hRule="atLeast"/>
        </w:trPr>
        <w:tc>
          <w:tcPr>
            <w:tcW w:w="9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86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对基础设施、前端设备、网络设备、服务器、存储等等进行自检和巡检，及时发现故障与隐患并排除，避免业务中断。每周对所有维护设备的运行情况及网络传输情况详细记录并及早排除，形成每周报表，由采购方指定人员进行确认。若发现线路、设备存在故障或隐患的情况时，要立即与用户沟通协调。每周巡检要形成巡检记录表，采购人根据实际情况进行抽查，发现漏检、漏修或未按规定进行记录的记入考核。</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每周</w:t>
            </w:r>
          </w:p>
        </w:tc>
        <w:tc>
          <w:tcPr>
            <w:tcW w:w="176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51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CellMar>
            <w:top w:w="0" w:type="dxa"/>
            <w:left w:w="108" w:type="dxa"/>
            <w:bottom w:w="0" w:type="dxa"/>
            <w:right w:w="108" w:type="dxa"/>
          </w:tblCellMar>
        </w:tblPrEx>
        <w:trPr>
          <w:trHeight w:val="1728" w:hRule="atLeast"/>
        </w:trPr>
        <w:tc>
          <w:tcPr>
            <w:tcW w:w="9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86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对所有设施包括防护箱等表面及深层灰尘、油污、潮气、炭渍等有害物质进行一次清洗，消除电路板漏电、电化学腐蚀，消除导致电路性能改变、退化和失效的根源。每季度消除静电一次，防止电路击穿，保证设备正常工作以及避免重大恶性事故的发生；每季度对前端摄像机进行维护（防护罩清洁，清洁镜头），防止由于机器运转、静电等因素将尘土吸入监控设备机体内，确保机器正常运行。同时检查监控设备通风、散热、净尘、供电等设施。每季度形成前端设备维护记录表，采购人根据实际情况进行抽查，发现漏检、漏修或未按规定进行记录的记入考核。</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每季度</w:t>
            </w:r>
          </w:p>
        </w:tc>
        <w:tc>
          <w:tcPr>
            <w:tcW w:w="176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51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CellMar>
            <w:top w:w="0" w:type="dxa"/>
            <w:left w:w="108" w:type="dxa"/>
            <w:bottom w:w="0" w:type="dxa"/>
            <w:right w:w="108" w:type="dxa"/>
          </w:tblCellMar>
        </w:tblPrEx>
        <w:trPr>
          <w:trHeight w:val="1440" w:hRule="atLeast"/>
        </w:trPr>
        <w:tc>
          <w:tcPr>
            <w:tcW w:w="9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86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定期对大屏、网络设备和机房设备进行维护，包括每月对精密空调、大屏、交换机、终端服务器等等进行吸尘清理。对机房供电设施及ups的运行状态要实时把握，确保电压、频率、负载容量、温度全部正常，每月测量输入输出及旁路电压电流是否正常，在市电断电情况下，ups供电机房所有设备应在3小时以上，不能满足时视为电源故障须及时更换电池。每月形成设备维护记录表，采购人根据实际情况进行抽查，发现漏检、漏修或未按规定进行记录的记入考核。</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每月</w:t>
            </w:r>
          </w:p>
        </w:tc>
        <w:tc>
          <w:tcPr>
            <w:tcW w:w="176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51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CellMar>
            <w:top w:w="0" w:type="dxa"/>
            <w:left w:w="108" w:type="dxa"/>
            <w:bottom w:w="0" w:type="dxa"/>
            <w:right w:w="108" w:type="dxa"/>
          </w:tblCellMar>
        </w:tblPrEx>
        <w:trPr>
          <w:trHeight w:val="576" w:hRule="atLeast"/>
        </w:trPr>
        <w:tc>
          <w:tcPr>
            <w:tcW w:w="9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86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投标配备与本项目规模相称的技术和施工人员及施工维护设备，自行承担建设、维护过程中的所有安全管理责任。</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每季度</w:t>
            </w:r>
          </w:p>
        </w:tc>
        <w:tc>
          <w:tcPr>
            <w:tcW w:w="176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51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CellMar>
            <w:top w:w="0" w:type="dxa"/>
            <w:left w:w="108" w:type="dxa"/>
            <w:bottom w:w="0" w:type="dxa"/>
            <w:right w:w="108" w:type="dxa"/>
          </w:tblCellMar>
        </w:tblPrEx>
        <w:trPr>
          <w:trHeight w:val="576" w:hRule="atLeast"/>
        </w:trPr>
        <w:tc>
          <w:tcPr>
            <w:tcW w:w="9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86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维护期内，投标方须积极配合采购人完成第三方视频资源整合及修复。并按照采购人要求与市局视频应用平台对接，保障稳定运行</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每季度</w:t>
            </w:r>
          </w:p>
        </w:tc>
        <w:tc>
          <w:tcPr>
            <w:tcW w:w="176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51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CellMar>
            <w:top w:w="0" w:type="dxa"/>
            <w:left w:w="108" w:type="dxa"/>
            <w:bottom w:w="0" w:type="dxa"/>
            <w:right w:w="108" w:type="dxa"/>
          </w:tblCellMar>
        </w:tblPrEx>
        <w:trPr>
          <w:trHeight w:val="288" w:hRule="atLeast"/>
        </w:trPr>
        <w:tc>
          <w:tcPr>
            <w:tcW w:w="9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86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承诺承担合同期内系统发生任何故障的抢修任务。</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每季度</w:t>
            </w:r>
          </w:p>
        </w:tc>
        <w:tc>
          <w:tcPr>
            <w:tcW w:w="176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51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CellMar>
            <w:top w:w="0" w:type="dxa"/>
            <w:left w:w="108" w:type="dxa"/>
            <w:bottom w:w="0" w:type="dxa"/>
            <w:right w:w="108" w:type="dxa"/>
          </w:tblCellMar>
        </w:tblPrEx>
        <w:trPr>
          <w:trHeight w:val="576" w:hRule="atLeast"/>
        </w:trPr>
        <w:tc>
          <w:tcPr>
            <w:tcW w:w="9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6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设备更新更换要求</w:t>
            </w:r>
          </w:p>
        </w:tc>
        <w:tc>
          <w:tcPr>
            <w:tcW w:w="986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本次项目前端3%的冗余设施，采购人在3年内根据实际需求，指定安装位置，由服务方负责完成施工、安装、传输等工作，所发生费用由服务方负责。</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每季度</w:t>
            </w:r>
          </w:p>
        </w:tc>
        <w:tc>
          <w:tcPr>
            <w:tcW w:w="176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51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CellMar>
            <w:top w:w="0" w:type="dxa"/>
            <w:left w:w="108" w:type="dxa"/>
            <w:bottom w:w="0" w:type="dxa"/>
            <w:right w:w="108" w:type="dxa"/>
          </w:tblCellMar>
        </w:tblPrEx>
        <w:trPr>
          <w:trHeight w:val="576" w:hRule="atLeast"/>
        </w:trPr>
        <w:tc>
          <w:tcPr>
            <w:tcW w:w="9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986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本次项目服务涉及前端摄像机及配套设施，经检查，视频图像不满足上级公安机关下达的视频图像治理相关要求的，服务方应及时更新更换，更新更换设施属于正常维护范围，不应使用3%的冗余设施。</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每季度</w:t>
            </w:r>
          </w:p>
        </w:tc>
        <w:tc>
          <w:tcPr>
            <w:tcW w:w="176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rPr>
                <w:rFonts w:ascii="宋体" w:hAnsi="宋体" w:cs="宋体"/>
                <w:color w:val="000000"/>
                <w:kern w:val="0"/>
                <w:sz w:val="21"/>
                <w:szCs w:val="21"/>
              </w:rPr>
            </w:pPr>
          </w:p>
        </w:tc>
        <w:tc>
          <w:tcPr>
            <w:tcW w:w="51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bl>
    <w:p>
      <w:pPr>
        <w:ind w:firstLine="0" w:firstLineChars="0"/>
      </w:pPr>
    </w:p>
    <w:p>
      <w:pPr>
        <w:tabs>
          <w:tab w:val="left" w:pos="588"/>
        </w:tabs>
        <w:sectPr>
          <w:headerReference r:id="rId13" w:type="default"/>
          <w:pgSz w:w="16838" w:h="11906" w:orient="landscape"/>
          <w:pgMar w:top="1287" w:right="1440" w:bottom="1287" w:left="1440" w:header="851" w:footer="992" w:gutter="0"/>
          <w:cols w:space="425" w:num="1"/>
          <w:docGrid w:type="lines" w:linePitch="326" w:charSpace="0"/>
        </w:sectPr>
      </w:pPr>
      <w:r>
        <w:tab/>
      </w:r>
    </w:p>
    <w:p>
      <w:pPr>
        <w:pStyle w:val="2"/>
        <w:numPr>
          <w:ilvl w:val="0"/>
          <w:numId w:val="0"/>
        </w:numPr>
      </w:pPr>
      <w:bookmarkStart w:id="145" w:name="_Toc112317427"/>
      <w:bookmarkStart w:id="146" w:name="_Toc111542277"/>
      <w:r>
        <w:rPr>
          <w:rFonts w:hint="eastAsia"/>
        </w:rPr>
        <w:t>附表：</w:t>
      </w:r>
      <w:bookmarkEnd w:id="145"/>
    </w:p>
    <w:p>
      <w:pPr>
        <w:pStyle w:val="3"/>
        <w:numPr>
          <w:ilvl w:val="0"/>
          <w:numId w:val="0"/>
        </w:numPr>
      </w:pPr>
      <w:bookmarkStart w:id="147" w:name="_Toc112317428"/>
      <w:r>
        <w:t>原有系统维保设备清单</w:t>
      </w:r>
      <w:bookmarkEnd w:id="146"/>
      <w:bookmarkEnd w:id="147"/>
    </w:p>
    <w:tbl>
      <w:tblPr>
        <w:tblStyle w:val="35"/>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2618"/>
        <w:gridCol w:w="1412"/>
        <w:gridCol w:w="2552"/>
        <w:gridCol w:w="764"/>
        <w:gridCol w:w="512"/>
        <w:gridCol w:w="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blHeader/>
          <w:jc w:val="center"/>
        </w:trPr>
        <w:tc>
          <w:tcPr>
            <w:tcW w:w="496" w:type="dxa"/>
            <w:shd w:val="clear" w:color="auto" w:fill="auto"/>
            <w:vAlign w:val="center"/>
          </w:tcPr>
          <w:p>
            <w:pPr>
              <w:pStyle w:val="103"/>
            </w:pPr>
            <w:r>
              <w:t>序号</w:t>
            </w:r>
          </w:p>
        </w:tc>
        <w:tc>
          <w:tcPr>
            <w:tcW w:w="2618" w:type="dxa"/>
            <w:shd w:val="clear" w:color="auto" w:fill="auto"/>
            <w:vAlign w:val="center"/>
          </w:tcPr>
          <w:p>
            <w:pPr>
              <w:pStyle w:val="103"/>
            </w:pPr>
            <w:r>
              <w:t>名称</w:t>
            </w:r>
          </w:p>
        </w:tc>
        <w:tc>
          <w:tcPr>
            <w:tcW w:w="1412" w:type="dxa"/>
            <w:shd w:val="clear" w:color="auto" w:fill="auto"/>
            <w:vAlign w:val="center"/>
          </w:tcPr>
          <w:p>
            <w:pPr>
              <w:pStyle w:val="103"/>
            </w:pPr>
            <w:r>
              <w:t>品牌</w:t>
            </w:r>
          </w:p>
        </w:tc>
        <w:tc>
          <w:tcPr>
            <w:tcW w:w="2552" w:type="dxa"/>
            <w:shd w:val="clear" w:color="auto" w:fill="auto"/>
            <w:vAlign w:val="center"/>
          </w:tcPr>
          <w:p>
            <w:pPr>
              <w:pStyle w:val="103"/>
            </w:pPr>
            <w:r>
              <w:t>型号</w:t>
            </w:r>
          </w:p>
        </w:tc>
        <w:tc>
          <w:tcPr>
            <w:tcW w:w="764" w:type="dxa"/>
            <w:shd w:val="clear" w:color="auto" w:fill="auto"/>
            <w:vAlign w:val="center"/>
          </w:tcPr>
          <w:p>
            <w:pPr>
              <w:pStyle w:val="103"/>
            </w:pPr>
            <w:r>
              <w:t>数量</w:t>
            </w:r>
          </w:p>
        </w:tc>
        <w:tc>
          <w:tcPr>
            <w:tcW w:w="512" w:type="dxa"/>
            <w:shd w:val="clear" w:color="auto" w:fill="auto"/>
            <w:vAlign w:val="center"/>
          </w:tcPr>
          <w:p>
            <w:pPr>
              <w:pStyle w:val="103"/>
            </w:pPr>
            <w:r>
              <w:t>单位</w:t>
            </w:r>
          </w:p>
        </w:tc>
        <w:tc>
          <w:tcPr>
            <w:tcW w:w="718" w:type="dxa"/>
            <w:shd w:val="clear" w:color="auto" w:fill="auto"/>
            <w:vAlign w:val="center"/>
          </w:tcPr>
          <w:p>
            <w:pPr>
              <w:pStyle w:val="103"/>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9072" w:type="dxa"/>
            <w:gridSpan w:val="7"/>
            <w:shd w:val="clear" w:color="auto" w:fill="auto"/>
            <w:vAlign w:val="center"/>
          </w:tcPr>
          <w:p>
            <w:pPr>
              <w:pStyle w:val="103"/>
            </w:pPr>
            <w:r>
              <w:t>1、公安视频专网图像管理平台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96" w:type="dxa"/>
            <w:shd w:val="clear" w:color="auto" w:fill="auto"/>
            <w:vAlign w:val="center"/>
          </w:tcPr>
          <w:p>
            <w:pPr>
              <w:pStyle w:val="103"/>
            </w:pPr>
            <w:r>
              <w:t>1</w:t>
            </w:r>
          </w:p>
        </w:tc>
        <w:tc>
          <w:tcPr>
            <w:tcW w:w="2618" w:type="dxa"/>
            <w:shd w:val="clear" w:color="auto" w:fill="auto"/>
            <w:vAlign w:val="center"/>
          </w:tcPr>
          <w:p>
            <w:pPr>
              <w:pStyle w:val="103"/>
            </w:pPr>
            <w:r>
              <w:t>公安图像应用服务器</w:t>
            </w:r>
          </w:p>
        </w:tc>
        <w:tc>
          <w:tcPr>
            <w:tcW w:w="1412" w:type="dxa"/>
            <w:shd w:val="clear" w:color="auto" w:fill="auto"/>
            <w:vAlign w:val="center"/>
          </w:tcPr>
          <w:p>
            <w:pPr>
              <w:pStyle w:val="103"/>
            </w:pPr>
            <w:r>
              <w:t>宇视</w:t>
            </w:r>
          </w:p>
        </w:tc>
        <w:tc>
          <w:tcPr>
            <w:tcW w:w="2552" w:type="dxa"/>
            <w:shd w:val="clear" w:color="auto" w:fill="auto"/>
            <w:vAlign w:val="center"/>
          </w:tcPr>
          <w:p>
            <w:pPr>
              <w:pStyle w:val="103"/>
            </w:pPr>
            <w:r>
              <w:t>VS-VM8500-PS-UV</w:t>
            </w:r>
          </w:p>
        </w:tc>
        <w:tc>
          <w:tcPr>
            <w:tcW w:w="764" w:type="dxa"/>
            <w:shd w:val="clear" w:color="auto" w:fill="auto"/>
            <w:vAlign w:val="center"/>
          </w:tcPr>
          <w:p>
            <w:pPr>
              <w:pStyle w:val="103"/>
            </w:pPr>
            <w:r>
              <w:t>1</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2</w:t>
            </w:r>
          </w:p>
        </w:tc>
        <w:tc>
          <w:tcPr>
            <w:tcW w:w="2618" w:type="dxa"/>
            <w:shd w:val="clear" w:color="auto" w:fill="auto"/>
            <w:vAlign w:val="center"/>
          </w:tcPr>
          <w:p>
            <w:pPr>
              <w:pStyle w:val="103"/>
            </w:pPr>
            <w:r>
              <w:t>数据管理服务器</w:t>
            </w:r>
          </w:p>
        </w:tc>
        <w:tc>
          <w:tcPr>
            <w:tcW w:w="1412" w:type="dxa"/>
            <w:shd w:val="clear" w:color="auto" w:fill="auto"/>
            <w:vAlign w:val="center"/>
          </w:tcPr>
          <w:p>
            <w:pPr>
              <w:pStyle w:val="103"/>
            </w:pPr>
            <w:r>
              <w:t>宇视</w:t>
            </w:r>
          </w:p>
        </w:tc>
        <w:tc>
          <w:tcPr>
            <w:tcW w:w="2552" w:type="dxa"/>
            <w:shd w:val="clear" w:color="auto" w:fill="auto"/>
            <w:vAlign w:val="center"/>
          </w:tcPr>
          <w:p>
            <w:pPr>
              <w:pStyle w:val="103"/>
            </w:pPr>
            <w:r>
              <w:t>DM-VM8500-E-UV</w:t>
            </w:r>
          </w:p>
        </w:tc>
        <w:tc>
          <w:tcPr>
            <w:tcW w:w="764" w:type="dxa"/>
            <w:shd w:val="clear" w:color="auto" w:fill="auto"/>
            <w:vAlign w:val="center"/>
          </w:tcPr>
          <w:p>
            <w:pPr>
              <w:pStyle w:val="103"/>
            </w:pPr>
            <w:r>
              <w:t>1</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3</w:t>
            </w:r>
          </w:p>
        </w:tc>
        <w:tc>
          <w:tcPr>
            <w:tcW w:w="2618" w:type="dxa"/>
            <w:shd w:val="clear" w:color="auto" w:fill="auto"/>
            <w:vAlign w:val="center"/>
          </w:tcPr>
          <w:p>
            <w:pPr>
              <w:pStyle w:val="103"/>
            </w:pPr>
            <w:r>
              <w:t>媒体交换服务器</w:t>
            </w:r>
          </w:p>
        </w:tc>
        <w:tc>
          <w:tcPr>
            <w:tcW w:w="1412" w:type="dxa"/>
            <w:shd w:val="clear" w:color="auto" w:fill="auto"/>
            <w:vAlign w:val="center"/>
          </w:tcPr>
          <w:p>
            <w:pPr>
              <w:pStyle w:val="103"/>
            </w:pPr>
            <w:r>
              <w:t>宇视</w:t>
            </w:r>
          </w:p>
        </w:tc>
        <w:tc>
          <w:tcPr>
            <w:tcW w:w="2552" w:type="dxa"/>
            <w:shd w:val="clear" w:color="auto" w:fill="auto"/>
            <w:vAlign w:val="center"/>
          </w:tcPr>
          <w:p>
            <w:pPr>
              <w:pStyle w:val="103"/>
            </w:pPr>
            <w:r>
              <w:t>VS-MS8500-E-UV</w:t>
            </w:r>
          </w:p>
        </w:tc>
        <w:tc>
          <w:tcPr>
            <w:tcW w:w="764" w:type="dxa"/>
            <w:shd w:val="clear" w:color="auto" w:fill="auto"/>
            <w:vAlign w:val="center"/>
          </w:tcPr>
          <w:p>
            <w:pPr>
              <w:pStyle w:val="103"/>
            </w:pPr>
            <w:r>
              <w:t>3</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4</w:t>
            </w:r>
          </w:p>
        </w:tc>
        <w:tc>
          <w:tcPr>
            <w:tcW w:w="2618" w:type="dxa"/>
            <w:shd w:val="clear" w:color="auto" w:fill="auto"/>
            <w:vAlign w:val="center"/>
          </w:tcPr>
          <w:p>
            <w:pPr>
              <w:pStyle w:val="103"/>
            </w:pPr>
            <w:r>
              <w:t>转码服务器</w:t>
            </w:r>
          </w:p>
        </w:tc>
        <w:tc>
          <w:tcPr>
            <w:tcW w:w="1412" w:type="dxa"/>
            <w:shd w:val="clear" w:color="auto" w:fill="auto"/>
            <w:vAlign w:val="center"/>
          </w:tcPr>
          <w:p>
            <w:pPr>
              <w:pStyle w:val="103"/>
            </w:pPr>
            <w:r>
              <w:t>宇视</w:t>
            </w:r>
          </w:p>
        </w:tc>
        <w:tc>
          <w:tcPr>
            <w:tcW w:w="2552" w:type="dxa"/>
            <w:shd w:val="clear" w:color="auto" w:fill="auto"/>
            <w:vAlign w:val="center"/>
          </w:tcPr>
          <w:p>
            <w:pPr>
              <w:pStyle w:val="103"/>
            </w:pPr>
            <w:r>
              <w:t>VS-TS8500-UV</w:t>
            </w:r>
          </w:p>
        </w:tc>
        <w:tc>
          <w:tcPr>
            <w:tcW w:w="764" w:type="dxa"/>
            <w:shd w:val="clear" w:color="auto" w:fill="auto"/>
            <w:vAlign w:val="center"/>
          </w:tcPr>
          <w:p>
            <w:pPr>
              <w:pStyle w:val="103"/>
            </w:pPr>
            <w:r>
              <w:t>1</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5</w:t>
            </w:r>
          </w:p>
        </w:tc>
        <w:tc>
          <w:tcPr>
            <w:tcW w:w="2618" w:type="dxa"/>
            <w:shd w:val="clear" w:color="auto" w:fill="auto"/>
            <w:vAlign w:val="center"/>
          </w:tcPr>
          <w:p>
            <w:pPr>
              <w:pStyle w:val="103"/>
            </w:pPr>
            <w:r>
              <w:t>人体识别服务器</w:t>
            </w:r>
          </w:p>
        </w:tc>
        <w:tc>
          <w:tcPr>
            <w:tcW w:w="1412" w:type="dxa"/>
            <w:shd w:val="clear" w:color="auto" w:fill="auto"/>
            <w:vAlign w:val="center"/>
          </w:tcPr>
          <w:p>
            <w:pPr>
              <w:pStyle w:val="103"/>
            </w:pPr>
            <w:r>
              <w:t>宇视</w:t>
            </w:r>
          </w:p>
        </w:tc>
        <w:tc>
          <w:tcPr>
            <w:tcW w:w="2552" w:type="dxa"/>
            <w:shd w:val="clear" w:color="auto" w:fill="auto"/>
            <w:vAlign w:val="center"/>
          </w:tcPr>
          <w:p>
            <w:pPr>
              <w:pStyle w:val="103"/>
            </w:pPr>
            <w:r>
              <w:t>VS-IA8500-FA-UV</w:t>
            </w:r>
          </w:p>
        </w:tc>
        <w:tc>
          <w:tcPr>
            <w:tcW w:w="764" w:type="dxa"/>
            <w:shd w:val="clear" w:color="auto" w:fill="auto"/>
            <w:vAlign w:val="center"/>
          </w:tcPr>
          <w:p>
            <w:pPr>
              <w:pStyle w:val="103"/>
            </w:pPr>
            <w:r>
              <w:t>1</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6</w:t>
            </w:r>
          </w:p>
        </w:tc>
        <w:tc>
          <w:tcPr>
            <w:tcW w:w="2618" w:type="dxa"/>
            <w:shd w:val="clear" w:color="auto" w:fill="auto"/>
            <w:vAlign w:val="center"/>
          </w:tcPr>
          <w:p>
            <w:pPr>
              <w:pStyle w:val="103"/>
            </w:pPr>
            <w:r>
              <w:t>智能服务器</w:t>
            </w:r>
          </w:p>
        </w:tc>
        <w:tc>
          <w:tcPr>
            <w:tcW w:w="1412" w:type="dxa"/>
            <w:shd w:val="clear" w:color="auto" w:fill="auto"/>
            <w:vAlign w:val="center"/>
          </w:tcPr>
          <w:p>
            <w:pPr>
              <w:pStyle w:val="103"/>
            </w:pPr>
            <w:r>
              <w:t>宇视</w:t>
            </w:r>
          </w:p>
        </w:tc>
        <w:tc>
          <w:tcPr>
            <w:tcW w:w="2552" w:type="dxa"/>
            <w:shd w:val="clear" w:color="auto" w:fill="auto"/>
            <w:vAlign w:val="center"/>
          </w:tcPr>
          <w:p>
            <w:pPr>
              <w:pStyle w:val="103"/>
            </w:pPr>
            <w:r>
              <w:t>VS-IA8500-UV</w:t>
            </w:r>
          </w:p>
        </w:tc>
        <w:tc>
          <w:tcPr>
            <w:tcW w:w="764" w:type="dxa"/>
            <w:shd w:val="clear" w:color="auto" w:fill="auto"/>
            <w:vAlign w:val="center"/>
          </w:tcPr>
          <w:p>
            <w:pPr>
              <w:pStyle w:val="103"/>
            </w:pPr>
            <w:r>
              <w:t>1</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96" w:type="dxa"/>
            <w:shd w:val="clear" w:color="auto" w:fill="auto"/>
            <w:vAlign w:val="center"/>
          </w:tcPr>
          <w:p>
            <w:pPr>
              <w:pStyle w:val="103"/>
            </w:pPr>
            <w:r>
              <w:t>7</w:t>
            </w:r>
          </w:p>
        </w:tc>
        <w:tc>
          <w:tcPr>
            <w:tcW w:w="2618" w:type="dxa"/>
            <w:shd w:val="clear" w:color="auto" w:fill="auto"/>
            <w:vAlign w:val="center"/>
          </w:tcPr>
          <w:p>
            <w:pPr>
              <w:pStyle w:val="103"/>
            </w:pPr>
            <w:r>
              <w:t>智能视频诊断服务器</w:t>
            </w:r>
          </w:p>
        </w:tc>
        <w:tc>
          <w:tcPr>
            <w:tcW w:w="1412" w:type="dxa"/>
            <w:shd w:val="clear" w:color="auto" w:fill="auto"/>
            <w:vAlign w:val="center"/>
          </w:tcPr>
          <w:p>
            <w:pPr>
              <w:pStyle w:val="103"/>
            </w:pPr>
            <w:r>
              <w:t>宇视</w:t>
            </w:r>
          </w:p>
        </w:tc>
        <w:tc>
          <w:tcPr>
            <w:tcW w:w="2552" w:type="dxa"/>
            <w:shd w:val="clear" w:color="auto" w:fill="auto"/>
            <w:vAlign w:val="center"/>
          </w:tcPr>
          <w:p>
            <w:pPr>
              <w:pStyle w:val="103"/>
            </w:pPr>
            <w:r>
              <w:t>VS-IA8500-VD-UV</w:t>
            </w:r>
          </w:p>
        </w:tc>
        <w:tc>
          <w:tcPr>
            <w:tcW w:w="764" w:type="dxa"/>
            <w:shd w:val="clear" w:color="auto" w:fill="auto"/>
            <w:vAlign w:val="center"/>
          </w:tcPr>
          <w:p>
            <w:pPr>
              <w:pStyle w:val="103"/>
            </w:pPr>
            <w:r>
              <w:t>1</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8</w:t>
            </w:r>
          </w:p>
        </w:tc>
        <w:tc>
          <w:tcPr>
            <w:tcW w:w="2618" w:type="dxa"/>
            <w:shd w:val="clear" w:color="auto" w:fill="auto"/>
            <w:vAlign w:val="center"/>
          </w:tcPr>
          <w:p>
            <w:pPr>
              <w:pStyle w:val="103"/>
            </w:pPr>
            <w:r>
              <w:t>智能管理服务器</w:t>
            </w:r>
          </w:p>
        </w:tc>
        <w:tc>
          <w:tcPr>
            <w:tcW w:w="1412" w:type="dxa"/>
            <w:shd w:val="clear" w:color="auto" w:fill="auto"/>
            <w:vAlign w:val="center"/>
          </w:tcPr>
          <w:p>
            <w:pPr>
              <w:pStyle w:val="103"/>
            </w:pPr>
            <w:r>
              <w:t>宇视</w:t>
            </w:r>
          </w:p>
        </w:tc>
        <w:tc>
          <w:tcPr>
            <w:tcW w:w="2552" w:type="dxa"/>
            <w:shd w:val="clear" w:color="auto" w:fill="auto"/>
            <w:vAlign w:val="center"/>
          </w:tcPr>
          <w:p>
            <w:pPr>
              <w:pStyle w:val="103"/>
            </w:pPr>
            <w:r>
              <w:t>VS-IMP8500-UV</w:t>
            </w:r>
          </w:p>
        </w:tc>
        <w:tc>
          <w:tcPr>
            <w:tcW w:w="764" w:type="dxa"/>
            <w:shd w:val="clear" w:color="auto" w:fill="auto"/>
            <w:vAlign w:val="center"/>
          </w:tcPr>
          <w:p>
            <w:pPr>
              <w:pStyle w:val="103"/>
            </w:pPr>
            <w:r>
              <w:t>1</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9</w:t>
            </w:r>
          </w:p>
        </w:tc>
        <w:tc>
          <w:tcPr>
            <w:tcW w:w="2618" w:type="dxa"/>
            <w:shd w:val="clear" w:color="auto" w:fill="auto"/>
            <w:vAlign w:val="center"/>
          </w:tcPr>
          <w:p>
            <w:pPr>
              <w:pStyle w:val="103"/>
            </w:pPr>
            <w:r>
              <w:t>图片接入服务器</w:t>
            </w:r>
          </w:p>
        </w:tc>
        <w:tc>
          <w:tcPr>
            <w:tcW w:w="1412" w:type="dxa"/>
            <w:shd w:val="clear" w:color="auto" w:fill="auto"/>
            <w:vAlign w:val="center"/>
          </w:tcPr>
          <w:p>
            <w:pPr>
              <w:pStyle w:val="103"/>
            </w:pPr>
            <w:r>
              <w:t>宇视</w:t>
            </w:r>
          </w:p>
        </w:tc>
        <w:tc>
          <w:tcPr>
            <w:tcW w:w="2552" w:type="dxa"/>
            <w:shd w:val="clear" w:color="auto" w:fill="auto"/>
            <w:vAlign w:val="center"/>
          </w:tcPr>
          <w:p>
            <w:pPr>
              <w:pStyle w:val="103"/>
            </w:pPr>
            <w:r>
              <w:t>VS-DA8500-PA-UV</w:t>
            </w:r>
          </w:p>
        </w:tc>
        <w:tc>
          <w:tcPr>
            <w:tcW w:w="764" w:type="dxa"/>
            <w:shd w:val="clear" w:color="auto" w:fill="auto"/>
            <w:vAlign w:val="center"/>
          </w:tcPr>
          <w:p>
            <w:pPr>
              <w:pStyle w:val="103"/>
            </w:pPr>
            <w:r>
              <w:t>3</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96" w:type="dxa"/>
            <w:shd w:val="clear" w:color="auto" w:fill="auto"/>
            <w:vAlign w:val="center"/>
          </w:tcPr>
          <w:p>
            <w:pPr>
              <w:pStyle w:val="103"/>
            </w:pPr>
            <w:r>
              <w:t>10</w:t>
            </w:r>
          </w:p>
        </w:tc>
        <w:tc>
          <w:tcPr>
            <w:tcW w:w="2618" w:type="dxa"/>
            <w:shd w:val="clear" w:color="auto" w:fill="auto"/>
            <w:vAlign w:val="center"/>
          </w:tcPr>
          <w:p>
            <w:pPr>
              <w:pStyle w:val="103"/>
            </w:pPr>
            <w:r>
              <w:t>交通媒体交换服务器</w:t>
            </w:r>
          </w:p>
        </w:tc>
        <w:tc>
          <w:tcPr>
            <w:tcW w:w="1412" w:type="dxa"/>
            <w:shd w:val="clear" w:color="auto" w:fill="auto"/>
            <w:vAlign w:val="center"/>
          </w:tcPr>
          <w:p>
            <w:pPr>
              <w:pStyle w:val="103"/>
            </w:pPr>
            <w:r>
              <w:t>宇视</w:t>
            </w:r>
          </w:p>
        </w:tc>
        <w:tc>
          <w:tcPr>
            <w:tcW w:w="2552" w:type="dxa"/>
            <w:shd w:val="clear" w:color="auto" w:fill="auto"/>
            <w:vAlign w:val="center"/>
          </w:tcPr>
          <w:p>
            <w:pPr>
              <w:pStyle w:val="103"/>
            </w:pPr>
            <w:r>
              <w:t>VS-TMS8500-UV</w:t>
            </w:r>
          </w:p>
        </w:tc>
        <w:tc>
          <w:tcPr>
            <w:tcW w:w="764" w:type="dxa"/>
            <w:shd w:val="clear" w:color="auto" w:fill="auto"/>
            <w:vAlign w:val="center"/>
          </w:tcPr>
          <w:p>
            <w:pPr>
              <w:pStyle w:val="103"/>
            </w:pPr>
            <w:r>
              <w:t>5</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11</w:t>
            </w:r>
          </w:p>
        </w:tc>
        <w:tc>
          <w:tcPr>
            <w:tcW w:w="2618" w:type="dxa"/>
            <w:shd w:val="clear" w:color="auto" w:fill="auto"/>
            <w:vAlign w:val="center"/>
          </w:tcPr>
          <w:p>
            <w:pPr>
              <w:pStyle w:val="103"/>
            </w:pPr>
            <w:r>
              <w:t>数据库服务器</w:t>
            </w:r>
          </w:p>
        </w:tc>
        <w:tc>
          <w:tcPr>
            <w:tcW w:w="1412" w:type="dxa"/>
            <w:shd w:val="clear" w:color="auto" w:fill="auto"/>
            <w:vAlign w:val="center"/>
          </w:tcPr>
          <w:p>
            <w:pPr>
              <w:pStyle w:val="103"/>
            </w:pPr>
            <w:r>
              <w:t>宇视</w:t>
            </w:r>
          </w:p>
        </w:tc>
        <w:tc>
          <w:tcPr>
            <w:tcW w:w="2552" w:type="dxa"/>
            <w:shd w:val="clear" w:color="auto" w:fill="auto"/>
            <w:vAlign w:val="center"/>
          </w:tcPr>
          <w:p>
            <w:pPr>
              <w:pStyle w:val="103"/>
            </w:pPr>
            <w:r>
              <w:t>VS-DB9500-UV</w:t>
            </w:r>
          </w:p>
        </w:tc>
        <w:tc>
          <w:tcPr>
            <w:tcW w:w="764" w:type="dxa"/>
            <w:shd w:val="clear" w:color="auto" w:fill="auto"/>
            <w:vAlign w:val="center"/>
          </w:tcPr>
          <w:p>
            <w:pPr>
              <w:pStyle w:val="103"/>
            </w:pPr>
            <w:r>
              <w:t>1</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12</w:t>
            </w:r>
          </w:p>
        </w:tc>
        <w:tc>
          <w:tcPr>
            <w:tcW w:w="2618" w:type="dxa"/>
            <w:shd w:val="clear" w:color="auto" w:fill="auto"/>
            <w:vAlign w:val="center"/>
          </w:tcPr>
          <w:p>
            <w:pPr>
              <w:pStyle w:val="103"/>
            </w:pPr>
            <w:r>
              <w:t>数据检锁服务器</w:t>
            </w:r>
          </w:p>
        </w:tc>
        <w:tc>
          <w:tcPr>
            <w:tcW w:w="1412" w:type="dxa"/>
            <w:shd w:val="clear" w:color="auto" w:fill="auto"/>
            <w:vAlign w:val="center"/>
          </w:tcPr>
          <w:p>
            <w:pPr>
              <w:pStyle w:val="103"/>
            </w:pPr>
            <w:r>
              <w:t>宇视</w:t>
            </w:r>
          </w:p>
        </w:tc>
        <w:tc>
          <w:tcPr>
            <w:tcW w:w="2552" w:type="dxa"/>
            <w:shd w:val="clear" w:color="auto" w:fill="auto"/>
            <w:vAlign w:val="center"/>
          </w:tcPr>
          <w:p>
            <w:pPr>
              <w:pStyle w:val="103"/>
            </w:pPr>
            <w:r>
              <w:t>VS-DR9500-UV</w:t>
            </w:r>
          </w:p>
        </w:tc>
        <w:tc>
          <w:tcPr>
            <w:tcW w:w="764" w:type="dxa"/>
            <w:shd w:val="clear" w:color="auto" w:fill="auto"/>
            <w:vAlign w:val="center"/>
          </w:tcPr>
          <w:p>
            <w:pPr>
              <w:pStyle w:val="103"/>
            </w:pPr>
            <w:r>
              <w:t>1</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13</w:t>
            </w:r>
          </w:p>
        </w:tc>
        <w:tc>
          <w:tcPr>
            <w:tcW w:w="2618" w:type="dxa"/>
            <w:shd w:val="clear" w:color="auto" w:fill="auto"/>
            <w:vAlign w:val="center"/>
          </w:tcPr>
          <w:p>
            <w:pPr>
              <w:pStyle w:val="103"/>
            </w:pPr>
            <w:r>
              <w:t>地图服务器</w:t>
            </w:r>
          </w:p>
        </w:tc>
        <w:tc>
          <w:tcPr>
            <w:tcW w:w="1412" w:type="dxa"/>
            <w:shd w:val="clear" w:color="auto" w:fill="auto"/>
            <w:vAlign w:val="center"/>
          </w:tcPr>
          <w:p>
            <w:pPr>
              <w:pStyle w:val="103"/>
            </w:pPr>
            <w:r>
              <w:t>宇视</w:t>
            </w:r>
          </w:p>
        </w:tc>
        <w:tc>
          <w:tcPr>
            <w:tcW w:w="2552" w:type="dxa"/>
            <w:shd w:val="clear" w:color="auto" w:fill="auto"/>
            <w:vAlign w:val="center"/>
          </w:tcPr>
          <w:p>
            <w:pPr>
              <w:pStyle w:val="103"/>
            </w:pPr>
            <w:r>
              <w:t>VS-MAP9500-UV</w:t>
            </w:r>
          </w:p>
        </w:tc>
        <w:tc>
          <w:tcPr>
            <w:tcW w:w="764" w:type="dxa"/>
            <w:shd w:val="clear" w:color="auto" w:fill="auto"/>
            <w:vAlign w:val="center"/>
          </w:tcPr>
          <w:p>
            <w:pPr>
              <w:pStyle w:val="103"/>
            </w:pPr>
            <w:r>
              <w:t>1</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14</w:t>
            </w:r>
          </w:p>
        </w:tc>
        <w:tc>
          <w:tcPr>
            <w:tcW w:w="2618" w:type="dxa"/>
            <w:shd w:val="clear" w:color="auto" w:fill="auto"/>
            <w:vAlign w:val="center"/>
          </w:tcPr>
          <w:p>
            <w:pPr>
              <w:pStyle w:val="103"/>
            </w:pPr>
            <w:r>
              <w:t>联网报警平台</w:t>
            </w:r>
          </w:p>
        </w:tc>
        <w:tc>
          <w:tcPr>
            <w:tcW w:w="1412" w:type="dxa"/>
            <w:shd w:val="clear" w:color="auto" w:fill="auto"/>
            <w:vAlign w:val="center"/>
          </w:tcPr>
          <w:p>
            <w:pPr>
              <w:pStyle w:val="103"/>
            </w:pPr>
            <w:r>
              <w:t>宇视</w:t>
            </w:r>
          </w:p>
        </w:tc>
        <w:tc>
          <w:tcPr>
            <w:tcW w:w="2552" w:type="dxa"/>
            <w:shd w:val="clear" w:color="auto" w:fill="auto"/>
            <w:vAlign w:val="center"/>
          </w:tcPr>
          <w:p>
            <w:pPr>
              <w:pStyle w:val="103"/>
            </w:pPr>
            <w:r>
              <w:t>VS-DA8500-IS-M-UV</w:t>
            </w:r>
          </w:p>
        </w:tc>
        <w:tc>
          <w:tcPr>
            <w:tcW w:w="764" w:type="dxa"/>
            <w:shd w:val="clear" w:color="auto" w:fill="auto"/>
            <w:vAlign w:val="center"/>
          </w:tcPr>
          <w:p>
            <w:pPr>
              <w:pStyle w:val="103"/>
            </w:pPr>
            <w:r>
              <w:t>1</w:t>
            </w:r>
          </w:p>
        </w:tc>
        <w:tc>
          <w:tcPr>
            <w:tcW w:w="512" w:type="dxa"/>
            <w:shd w:val="clear" w:color="auto" w:fill="auto"/>
            <w:vAlign w:val="center"/>
          </w:tcPr>
          <w:p>
            <w:pPr>
              <w:pStyle w:val="103"/>
            </w:pPr>
            <w:r>
              <w:t>套</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96" w:type="dxa"/>
            <w:shd w:val="clear" w:color="auto" w:fill="auto"/>
            <w:vAlign w:val="center"/>
          </w:tcPr>
          <w:p>
            <w:pPr>
              <w:pStyle w:val="103"/>
            </w:pPr>
            <w:r>
              <w:t>15</w:t>
            </w:r>
          </w:p>
        </w:tc>
        <w:tc>
          <w:tcPr>
            <w:tcW w:w="2618" w:type="dxa"/>
            <w:shd w:val="clear" w:color="auto" w:fill="auto"/>
            <w:vAlign w:val="center"/>
          </w:tcPr>
          <w:p>
            <w:pPr>
              <w:pStyle w:val="103"/>
            </w:pPr>
            <w:r>
              <w:t>宇视服务器</w:t>
            </w:r>
          </w:p>
        </w:tc>
        <w:tc>
          <w:tcPr>
            <w:tcW w:w="1412" w:type="dxa"/>
            <w:shd w:val="clear" w:color="auto" w:fill="auto"/>
            <w:vAlign w:val="center"/>
          </w:tcPr>
          <w:p>
            <w:pPr>
              <w:pStyle w:val="103"/>
            </w:pPr>
            <w:r>
              <w:t>宇视</w:t>
            </w:r>
          </w:p>
        </w:tc>
        <w:tc>
          <w:tcPr>
            <w:tcW w:w="2552" w:type="dxa"/>
            <w:shd w:val="clear" w:color="auto" w:fill="auto"/>
            <w:vAlign w:val="center"/>
          </w:tcPr>
          <w:p>
            <w:pPr>
              <w:pStyle w:val="103"/>
            </w:pPr>
            <w:r>
              <w:t>LIS-video Manager3.0-cam-500</w:t>
            </w:r>
          </w:p>
        </w:tc>
        <w:tc>
          <w:tcPr>
            <w:tcW w:w="764" w:type="dxa"/>
            <w:shd w:val="clear" w:color="auto" w:fill="auto"/>
            <w:vAlign w:val="center"/>
          </w:tcPr>
          <w:p>
            <w:pPr>
              <w:pStyle w:val="103"/>
            </w:pPr>
            <w:r>
              <w:t>1</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96" w:type="dxa"/>
            <w:shd w:val="clear" w:color="auto" w:fill="auto"/>
            <w:vAlign w:val="center"/>
          </w:tcPr>
          <w:p>
            <w:pPr>
              <w:pStyle w:val="103"/>
            </w:pPr>
            <w:r>
              <w:t>16</w:t>
            </w:r>
          </w:p>
        </w:tc>
        <w:tc>
          <w:tcPr>
            <w:tcW w:w="2618" w:type="dxa"/>
            <w:shd w:val="clear" w:color="auto" w:fill="auto"/>
            <w:vAlign w:val="center"/>
          </w:tcPr>
          <w:p>
            <w:pPr>
              <w:pStyle w:val="103"/>
            </w:pPr>
            <w:r>
              <w:t>宇视服务器</w:t>
            </w:r>
          </w:p>
        </w:tc>
        <w:tc>
          <w:tcPr>
            <w:tcW w:w="1412" w:type="dxa"/>
            <w:shd w:val="clear" w:color="auto" w:fill="auto"/>
            <w:vAlign w:val="center"/>
          </w:tcPr>
          <w:p>
            <w:pPr>
              <w:pStyle w:val="103"/>
            </w:pPr>
            <w:r>
              <w:t>宇视</w:t>
            </w:r>
          </w:p>
        </w:tc>
        <w:tc>
          <w:tcPr>
            <w:tcW w:w="2552" w:type="dxa"/>
            <w:shd w:val="clear" w:color="auto" w:fill="auto"/>
            <w:vAlign w:val="center"/>
          </w:tcPr>
          <w:p>
            <w:pPr>
              <w:pStyle w:val="103"/>
            </w:pPr>
            <w:r>
              <w:t>LIS-video Manager3.0-SAN-10</w:t>
            </w:r>
          </w:p>
        </w:tc>
        <w:tc>
          <w:tcPr>
            <w:tcW w:w="764" w:type="dxa"/>
            <w:shd w:val="clear" w:color="auto" w:fill="auto"/>
            <w:vAlign w:val="center"/>
          </w:tcPr>
          <w:p>
            <w:pPr>
              <w:pStyle w:val="103"/>
            </w:pPr>
            <w:r>
              <w:t>1</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17</w:t>
            </w:r>
          </w:p>
        </w:tc>
        <w:tc>
          <w:tcPr>
            <w:tcW w:w="2618" w:type="dxa"/>
            <w:shd w:val="clear" w:color="auto" w:fill="auto"/>
            <w:vAlign w:val="center"/>
          </w:tcPr>
          <w:p>
            <w:pPr>
              <w:pStyle w:val="103"/>
            </w:pPr>
            <w:r>
              <w:t>宇视服务器</w:t>
            </w:r>
          </w:p>
        </w:tc>
        <w:tc>
          <w:tcPr>
            <w:tcW w:w="1412" w:type="dxa"/>
            <w:shd w:val="clear" w:color="auto" w:fill="auto"/>
            <w:vAlign w:val="center"/>
          </w:tcPr>
          <w:p>
            <w:pPr>
              <w:pStyle w:val="103"/>
            </w:pPr>
            <w:r>
              <w:t>宇视</w:t>
            </w:r>
          </w:p>
        </w:tc>
        <w:tc>
          <w:tcPr>
            <w:tcW w:w="2552" w:type="dxa"/>
            <w:shd w:val="clear" w:color="auto" w:fill="auto"/>
            <w:vAlign w:val="center"/>
          </w:tcPr>
          <w:p>
            <w:pPr>
              <w:pStyle w:val="103"/>
            </w:pPr>
            <w:r>
              <w:t>VS-DA8500-IS-M-UV</w:t>
            </w:r>
          </w:p>
        </w:tc>
        <w:tc>
          <w:tcPr>
            <w:tcW w:w="764" w:type="dxa"/>
            <w:shd w:val="clear" w:color="auto" w:fill="auto"/>
            <w:vAlign w:val="center"/>
          </w:tcPr>
          <w:p>
            <w:pPr>
              <w:pStyle w:val="103"/>
            </w:pPr>
            <w:r>
              <w:t>1</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18</w:t>
            </w:r>
          </w:p>
        </w:tc>
        <w:tc>
          <w:tcPr>
            <w:tcW w:w="6582" w:type="dxa"/>
            <w:gridSpan w:val="3"/>
            <w:shd w:val="clear" w:color="auto" w:fill="auto"/>
            <w:vAlign w:val="center"/>
          </w:tcPr>
          <w:p>
            <w:pPr>
              <w:pStyle w:val="103"/>
            </w:pPr>
            <w:r>
              <w:t>小计</w:t>
            </w:r>
          </w:p>
        </w:tc>
        <w:tc>
          <w:tcPr>
            <w:tcW w:w="764" w:type="dxa"/>
            <w:shd w:val="clear" w:color="auto" w:fill="auto"/>
            <w:vAlign w:val="center"/>
          </w:tcPr>
          <w:p>
            <w:pPr>
              <w:pStyle w:val="103"/>
            </w:pPr>
            <w:r>
              <w:t>25</w:t>
            </w:r>
          </w:p>
        </w:tc>
        <w:tc>
          <w:tcPr>
            <w:tcW w:w="512" w:type="dxa"/>
            <w:shd w:val="clear" w:color="auto" w:fill="auto"/>
            <w:vAlign w:val="center"/>
          </w:tcPr>
          <w:p>
            <w:pPr>
              <w:pStyle w:val="103"/>
            </w:pPr>
            <w:r>
              <w:t>　</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9072" w:type="dxa"/>
            <w:gridSpan w:val="7"/>
            <w:shd w:val="clear" w:color="auto" w:fill="auto"/>
            <w:vAlign w:val="center"/>
          </w:tcPr>
          <w:p>
            <w:pPr>
              <w:pStyle w:val="103"/>
            </w:pPr>
            <w:r>
              <w:t>2、电子警察系统工程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96" w:type="dxa"/>
            <w:shd w:val="clear" w:color="auto" w:fill="auto"/>
            <w:vAlign w:val="center"/>
          </w:tcPr>
          <w:p>
            <w:pPr>
              <w:pStyle w:val="103"/>
            </w:pPr>
            <w:r>
              <w:t>19</w:t>
            </w:r>
          </w:p>
        </w:tc>
        <w:tc>
          <w:tcPr>
            <w:tcW w:w="2618" w:type="dxa"/>
            <w:shd w:val="clear" w:color="auto" w:fill="auto"/>
            <w:vAlign w:val="center"/>
          </w:tcPr>
          <w:p>
            <w:pPr>
              <w:pStyle w:val="103"/>
            </w:pPr>
            <w:r>
              <w:t>高清智能一体化摄像机</w:t>
            </w:r>
          </w:p>
        </w:tc>
        <w:tc>
          <w:tcPr>
            <w:tcW w:w="1412" w:type="dxa"/>
            <w:shd w:val="clear" w:color="auto" w:fill="auto"/>
            <w:vAlign w:val="center"/>
          </w:tcPr>
          <w:p>
            <w:pPr>
              <w:pStyle w:val="103"/>
            </w:pPr>
            <w:r>
              <w:t>宇视</w:t>
            </w:r>
          </w:p>
        </w:tc>
        <w:tc>
          <w:tcPr>
            <w:tcW w:w="2552" w:type="dxa"/>
            <w:shd w:val="clear" w:color="auto" w:fill="auto"/>
            <w:vAlign w:val="center"/>
          </w:tcPr>
          <w:p>
            <w:pPr>
              <w:pStyle w:val="103"/>
            </w:pPr>
            <w:r>
              <w:t>HTS-HC531</w:t>
            </w:r>
          </w:p>
        </w:tc>
        <w:tc>
          <w:tcPr>
            <w:tcW w:w="764" w:type="dxa"/>
            <w:shd w:val="clear" w:color="auto" w:fill="auto"/>
            <w:vAlign w:val="center"/>
          </w:tcPr>
          <w:p>
            <w:pPr>
              <w:pStyle w:val="103"/>
            </w:pPr>
            <w:r>
              <w:t>128</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96" w:type="dxa"/>
            <w:shd w:val="clear" w:color="auto" w:fill="auto"/>
            <w:vAlign w:val="center"/>
          </w:tcPr>
          <w:p>
            <w:pPr>
              <w:pStyle w:val="103"/>
            </w:pPr>
            <w:r>
              <w:t>20</w:t>
            </w:r>
          </w:p>
        </w:tc>
        <w:tc>
          <w:tcPr>
            <w:tcW w:w="2618" w:type="dxa"/>
            <w:shd w:val="clear" w:color="auto" w:fill="auto"/>
            <w:vAlign w:val="center"/>
          </w:tcPr>
          <w:p>
            <w:pPr>
              <w:pStyle w:val="103"/>
            </w:pPr>
            <w:r>
              <w:t>LED频闪灯（含支架）</w:t>
            </w:r>
          </w:p>
        </w:tc>
        <w:tc>
          <w:tcPr>
            <w:tcW w:w="1412" w:type="dxa"/>
            <w:shd w:val="clear" w:color="auto" w:fill="auto"/>
            <w:vAlign w:val="center"/>
          </w:tcPr>
          <w:p>
            <w:pPr>
              <w:pStyle w:val="103"/>
            </w:pPr>
            <w:r>
              <w:t>宇视</w:t>
            </w:r>
          </w:p>
        </w:tc>
        <w:tc>
          <w:tcPr>
            <w:tcW w:w="2552" w:type="dxa"/>
            <w:shd w:val="clear" w:color="auto" w:fill="auto"/>
            <w:vAlign w:val="center"/>
          </w:tcPr>
          <w:p>
            <w:pPr>
              <w:pStyle w:val="103"/>
            </w:pPr>
            <w:r>
              <w:t>AE-LAMP-S25-A15-UV</w:t>
            </w:r>
          </w:p>
        </w:tc>
        <w:tc>
          <w:tcPr>
            <w:tcW w:w="764" w:type="dxa"/>
            <w:shd w:val="clear" w:color="auto" w:fill="auto"/>
            <w:vAlign w:val="center"/>
          </w:tcPr>
          <w:p>
            <w:pPr>
              <w:pStyle w:val="103"/>
            </w:pPr>
            <w:r>
              <w:t>256</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96" w:type="dxa"/>
            <w:shd w:val="clear" w:color="auto" w:fill="auto"/>
            <w:vAlign w:val="center"/>
          </w:tcPr>
          <w:p>
            <w:pPr>
              <w:pStyle w:val="103"/>
            </w:pPr>
            <w:r>
              <w:t>21</w:t>
            </w:r>
          </w:p>
        </w:tc>
        <w:tc>
          <w:tcPr>
            <w:tcW w:w="2618" w:type="dxa"/>
            <w:shd w:val="clear" w:color="auto" w:fill="auto"/>
            <w:vAlign w:val="center"/>
          </w:tcPr>
          <w:p>
            <w:pPr>
              <w:pStyle w:val="103"/>
            </w:pPr>
            <w:r>
              <w:t>红灯捡测器（含电源）</w:t>
            </w:r>
          </w:p>
        </w:tc>
        <w:tc>
          <w:tcPr>
            <w:tcW w:w="1412" w:type="dxa"/>
            <w:shd w:val="clear" w:color="auto" w:fill="auto"/>
            <w:vAlign w:val="center"/>
          </w:tcPr>
          <w:p>
            <w:pPr>
              <w:pStyle w:val="103"/>
            </w:pPr>
            <w:r>
              <w:t>宇视</w:t>
            </w:r>
          </w:p>
        </w:tc>
        <w:tc>
          <w:tcPr>
            <w:tcW w:w="2552" w:type="dxa"/>
            <w:shd w:val="clear" w:color="auto" w:fill="auto"/>
            <w:vAlign w:val="center"/>
          </w:tcPr>
          <w:p>
            <w:pPr>
              <w:pStyle w:val="103"/>
            </w:pPr>
            <w:r>
              <w:t>AE-DT-L16-UV</w:t>
            </w:r>
          </w:p>
        </w:tc>
        <w:tc>
          <w:tcPr>
            <w:tcW w:w="764" w:type="dxa"/>
            <w:shd w:val="clear" w:color="auto" w:fill="auto"/>
            <w:vAlign w:val="center"/>
          </w:tcPr>
          <w:p>
            <w:pPr>
              <w:pStyle w:val="103"/>
            </w:pPr>
            <w:r>
              <w:t>19</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22</w:t>
            </w:r>
          </w:p>
        </w:tc>
        <w:tc>
          <w:tcPr>
            <w:tcW w:w="2618" w:type="dxa"/>
            <w:shd w:val="clear" w:color="auto" w:fill="auto"/>
            <w:vAlign w:val="center"/>
          </w:tcPr>
          <w:p>
            <w:pPr>
              <w:pStyle w:val="103"/>
            </w:pPr>
            <w:r>
              <w:t>网络防雷器</w:t>
            </w:r>
          </w:p>
        </w:tc>
        <w:tc>
          <w:tcPr>
            <w:tcW w:w="1412" w:type="dxa"/>
            <w:shd w:val="clear" w:color="auto" w:fill="auto"/>
            <w:vAlign w:val="center"/>
          </w:tcPr>
          <w:p>
            <w:pPr>
              <w:pStyle w:val="103"/>
            </w:pPr>
            <w:r>
              <w:t>高新兴</w:t>
            </w:r>
          </w:p>
        </w:tc>
        <w:tc>
          <w:tcPr>
            <w:tcW w:w="2552" w:type="dxa"/>
            <w:shd w:val="clear" w:color="auto" w:fill="auto"/>
            <w:vAlign w:val="center"/>
          </w:tcPr>
          <w:p>
            <w:pPr>
              <w:pStyle w:val="103"/>
            </w:pPr>
            <w:r>
              <w:t>GXX-220/D05J4</w:t>
            </w:r>
          </w:p>
        </w:tc>
        <w:tc>
          <w:tcPr>
            <w:tcW w:w="764" w:type="dxa"/>
            <w:shd w:val="clear" w:color="auto" w:fill="auto"/>
            <w:vAlign w:val="center"/>
          </w:tcPr>
          <w:p>
            <w:pPr>
              <w:pStyle w:val="103"/>
            </w:pPr>
            <w:r>
              <w:t>128</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96" w:type="dxa"/>
            <w:shd w:val="clear" w:color="auto" w:fill="auto"/>
            <w:vAlign w:val="center"/>
          </w:tcPr>
          <w:p>
            <w:pPr>
              <w:pStyle w:val="103"/>
            </w:pPr>
            <w:r>
              <w:t>23</w:t>
            </w:r>
          </w:p>
        </w:tc>
        <w:tc>
          <w:tcPr>
            <w:tcW w:w="2618" w:type="dxa"/>
            <w:shd w:val="clear" w:color="auto" w:fill="auto"/>
            <w:vAlign w:val="center"/>
          </w:tcPr>
          <w:p>
            <w:pPr>
              <w:pStyle w:val="103"/>
            </w:pPr>
            <w:r>
              <w:t>前端管理主机（含3T硬盘）</w:t>
            </w:r>
          </w:p>
        </w:tc>
        <w:tc>
          <w:tcPr>
            <w:tcW w:w="1412" w:type="dxa"/>
            <w:shd w:val="clear" w:color="auto" w:fill="auto"/>
            <w:vAlign w:val="center"/>
          </w:tcPr>
          <w:p>
            <w:pPr>
              <w:pStyle w:val="103"/>
            </w:pPr>
            <w:r>
              <w:t>宇视</w:t>
            </w:r>
          </w:p>
        </w:tc>
        <w:tc>
          <w:tcPr>
            <w:tcW w:w="2552" w:type="dxa"/>
            <w:shd w:val="clear" w:color="auto" w:fill="auto"/>
            <w:vAlign w:val="center"/>
          </w:tcPr>
          <w:p>
            <w:pPr>
              <w:pStyle w:val="103"/>
            </w:pPr>
            <w:r>
              <w:t>VS-ISC2500-SCT-E-UV</w:t>
            </w:r>
          </w:p>
        </w:tc>
        <w:tc>
          <w:tcPr>
            <w:tcW w:w="764" w:type="dxa"/>
            <w:shd w:val="clear" w:color="auto" w:fill="auto"/>
            <w:vAlign w:val="center"/>
          </w:tcPr>
          <w:p>
            <w:pPr>
              <w:pStyle w:val="103"/>
            </w:pPr>
            <w:r>
              <w:t>19</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24</w:t>
            </w:r>
          </w:p>
        </w:tc>
        <w:tc>
          <w:tcPr>
            <w:tcW w:w="2618" w:type="dxa"/>
            <w:shd w:val="clear" w:color="auto" w:fill="auto"/>
            <w:vAlign w:val="center"/>
          </w:tcPr>
          <w:p>
            <w:pPr>
              <w:pStyle w:val="103"/>
            </w:pPr>
            <w:r>
              <w:t>汇聚光纤收发</w:t>
            </w:r>
          </w:p>
        </w:tc>
        <w:tc>
          <w:tcPr>
            <w:tcW w:w="1412" w:type="dxa"/>
            <w:shd w:val="clear" w:color="auto" w:fill="auto"/>
            <w:vAlign w:val="center"/>
          </w:tcPr>
          <w:p>
            <w:pPr>
              <w:pStyle w:val="103"/>
            </w:pPr>
            <w:r>
              <w:t>高新兴</w:t>
            </w:r>
          </w:p>
        </w:tc>
        <w:tc>
          <w:tcPr>
            <w:tcW w:w="2552" w:type="dxa"/>
            <w:shd w:val="clear" w:color="auto" w:fill="auto"/>
            <w:vAlign w:val="center"/>
          </w:tcPr>
          <w:p>
            <w:pPr>
              <w:pStyle w:val="103"/>
            </w:pPr>
            <w:r>
              <w:t>GXX-GQ-IESM-8</w:t>
            </w:r>
          </w:p>
        </w:tc>
        <w:tc>
          <w:tcPr>
            <w:tcW w:w="764" w:type="dxa"/>
            <w:shd w:val="clear" w:color="auto" w:fill="auto"/>
            <w:vAlign w:val="center"/>
          </w:tcPr>
          <w:p>
            <w:pPr>
              <w:pStyle w:val="103"/>
            </w:pPr>
            <w:r>
              <w:t>19</w:t>
            </w:r>
          </w:p>
        </w:tc>
        <w:tc>
          <w:tcPr>
            <w:tcW w:w="512" w:type="dxa"/>
            <w:shd w:val="clear" w:color="auto" w:fill="auto"/>
            <w:vAlign w:val="center"/>
          </w:tcPr>
          <w:p>
            <w:pPr>
              <w:pStyle w:val="103"/>
            </w:pPr>
            <w:r>
              <w:t>对</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25</w:t>
            </w:r>
          </w:p>
        </w:tc>
        <w:tc>
          <w:tcPr>
            <w:tcW w:w="2618" w:type="dxa"/>
            <w:shd w:val="clear" w:color="auto" w:fill="auto"/>
            <w:vAlign w:val="center"/>
          </w:tcPr>
          <w:p>
            <w:pPr>
              <w:pStyle w:val="103"/>
            </w:pPr>
            <w:r>
              <w:t>前端光纤收发器</w:t>
            </w:r>
          </w:p>
        </w:tc>
        <w:tc>
          <w:tcPr>
            <w:tcW w:w="1412" w:type="dxa"/>
            <w:shd w:val="clear" w:color="auto" w:fill="auto"/>
            <w:vAlign w:val="center"/>
          </w:tcPr>
          <w:p>
            <w:pPr>
              <w:pStyle w:val="103"/>
            </w:pPr>
            <w:r>
              <w:t>高新兴</w:t>
            </w:r>
          </w:p>
        </w:tc>
        <w:tc>
          <w:tcPr>
            <w:tcW w:w="2552" w:type="dxa"/>
            <w:shd w:val="clear" w:color="auto" w:fill="auto"/>
            <w:vAlign w:val="center"/>
          </w:tcPr>
          <w:p>
            <w:pPr>
              <w:pStyle w:val="103"/>
            </w:pPr>
            <w:r>
              <w:t>GXX-GQ-IES-2</w:t>
            </w:r>
          </w:p>
        </w:tc>
        <w:tc>
          <w:tcPr>
            <w:tcW w:w="764" w:type="dxa"/>
            <w:shd w:val="clear" w:color="auto" w:fill="auto"/>
            <w:vAlign w:val="center"/>
          </w:tcPr>
          <w:p>
            <w:pPr>
              <w:pStyle w:val="103"/>
            </w:pPr>
            <w:r>
              <w:t>74</w:t>
            </w:r>
          </w:p>
        </w:tc>
        <w:tc>
          <w:tcPr>
            <w:tcW w:w="512" w:type="dxa"/>
            <w:shd w:val="clear" w:color="auto" w:fill="auto"/>
            <w:vAlign w:val="center"/>
          </w:tcPr>
          <w:p>
            <w:pPr>
              <w:pStyle w:val="103"/>
            </w:pPr>
            <w:r>
              <w:t>对</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26</w:t>
            </w:r>
          </w:p>
        </w:tc>
        <w:tc>
          <w:tcPr>
            <w:tcW w:w="6582" w:type="dxa"/>
            <w:gridSpan w:val="3"/>
            <w:shd w:val="clear" w:color="auto" w:fill="auto"/>
            <w:vAlign w:val="center"/>
          </w:tcPr>
          <w:p>
            <w:pPr>
              <w:pStyle w:val="103"/>
            </w:pPr>
            <w:r>
              <w:t>小计</w:t>
            </w:r>
          </w:p>
        </w:tc>
        <w:tc>
          <w:tcPr>
            <w:tcW w:w="764" w:type="dxa"/>
            <w:shd w:val="clear" w:color="auto" w:fill="auto"/>
            <w:vAlign w:val="center"/>
          </w:tcPr>
          <w:p>
            <w:pPr>
              <w:pStyle w:val="103"/>
            </w:pPr>
            <w:r>
              <w:t>643</w:t>
            </w:r>
          </w:p>
        </w:tc>
        <w:tc>
          <w:tcPr>
            <w:tcW w:w="512" w:type="dxa"/>
            <w:shd w:val="clear" w:color="auto" w:fill="auto"/>
            <w:vAlign w:val="center"/>
          </w:tcPr>
          <w:p>
            <w:pPr>
              <w:pStyle w:val="103"/>
            </w:pPr>
            <w:r>
              <w:t>　</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9072" w:type="dxa"/>
            <w:gridSpan w:val="7"/>
            <w:shd w:val="clear" w:color="auto" w:fill="auto"/>
            <w:vAlign w:val="center"/>
          </w:tcPr>
          <w:p>
            <w:pPr>
              <w:pStyle w:val="103"/>
            </w:pPr>
            <w:r>
              <w:t>3、视频图像存储系统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27</w:t>
            </w:r>
          </w:p>
        </w:tc>
        <w:tc>
          <w:tcPr>
            <w:tcW w:w="2618" w:type="dxa"/>
            <w:shd w:val="clear" w:color="auto" w:fill="auto"/>
            <w:vAlign w:val="center"/>
          </w:tcPr>
          <w:p>
            <w:pPr>
              <w:pStyle w:val="103"/>
            </w:pPr>
            <w:r>
              <w:t>网络存储主机</w:t>
            </w:r>
          </w:p>
        </w:tc>
        <w:tc>
          <w:tcPr>
            <w:tcW w:w="1412" w:type="dxa"/>
            <w:shd w:val="clear" w:color="auto" w:fill="auto"/>
            <w:vAlign w:val="center"/>
          </w:tcPr>
          <w:p>
            <w:pPr>
              <w:pStyle w:val="103"/>
            </w:pPr>
            <w:r>
              <w:t>宇视</w:t>
            </w:r>
          </w:p>
        </w:tc>
        <w:tc>
          <w:tcPr>
            <w:tcW w:w="2552" w:type="dxa"/>
            <w:shd w:val="clear" w:color="auto" w:fill="auto"/>
            <w:vAlign w:val="center"/>
          </w:tcPr>
          <w:p>
            <w:pPr>
              <w:pStyle w:val="103"/>
            </w:pPr>
            <w:r>
              <w:t>NI0ZIVX1600-UV</w:t>
            </w:r>
          </w:p>
        </w:tc>
        <w:tc>
          <w:tcPr>
            <w:tcW w:w="764" w:type="dxa"/>
            <w:shd w:val="clear" w:color="auto" w:fill="auto"/>
            <w:vAlign w:val="center"/>
          </w:tcPr>
          <w:p>
            <w:pPr>
              <w:pStyle w:val="103"/>
            </w:pPr>
            <w:r>
              <w:t>8</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96" w:type="dxa"/>
            <w:shd w:val="clear" w:color="auto" w:fill="auto"/>
            <w:vAlign w:val="center"/>
          </w:tcPr>
          <w:p>
            <w:pPr>
              <w:pStyle w:val="103"/>
            </w:pPr>
            <w:r>
              <w:t>28</w:t>
            </w:r>
          </w:p>
        </w:tc>
        <w:tc>
          <w:tcPr>
            <w:tcW w:w="2618" w:type="dxa"/>
            <w:shd w:val="clear" w:color="auto" w:fill="auto"/>
            <w:vAlign w:val="center"/>
          </w:tcPr>
          <w:p>
            <w:pPr>
              <w:pStyle w:val="103"/>
            </w:pPr>
            <w:r>
              <w:t>网络存储扩展磁盘柜</w:t>
            </w:r>
          </w:p>
        </w:tc>
        <w:tc>
          <w:tcPr>
            <w:tcW w:w="1412" w:type="dxa"/>
            <w:shd w:val="clear" w:color="auto" w:fill="auto"/>
            <w:vAlign w:val="center"/>
          </w:tcPr>
          <w:p>
            <w:pPr>
              <w:pStyle w:val="103"/>
            </w:pPr>
            <w:r>
              <w:t>宇视</w:t>
            </w:r>
          </w:p>
        </w:tc>
        <w:tc>
          <w:tcPr>
            <w:tcW w:w="2552" w:type="dxa"/>
            <w:shd w:val="clear" w:color="auto" w:fill="auto"/>
            <w:vAlign w:val="center"/>
          </w:tcPr>
          <w:p>
            <w:pPr>
              <w:pStyle w:val="103"/>
            </w:pPr>
            <w:r>
              <w:t>NI0ZIDE1124-UV</w:t>
            </w:r>
          </w:p>
        </w:tc>
        <w:tc>
          <w:tcPr>
            <w:tcW w:w="764" w:type="dxa"/>
            <w:shd w:val="clear" w:color="auto" w:fill="auto"/>
            <w:vAlign w:val="center"/>
          </w:tcPr>
          <w:p>
            <w:pPr>
              <w:pStyle w:val="103"/>
            </w:pPr>
            <w:r>
              <w:t>28</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29</w:t>
            </w:r>
          </w:p>
        </w:tc>
        <w:tc>
          <w:tcPr>
            <w:tcW w:w="2618" w:type="dxa"/>
            <w:shd w:val="clear" w:color="auto" w:fill="auto"/>
            <w:vAlign w:val="center"/>
          </w:tcPr>
          <w:p>
            <w:pPr>
              <w:pStyle w:val="103"/>
            </w:pPr>
            <w:r>
              <w:t>硬盘</w:t>
            </w:r>
          </w:p>
        </w:tc>
        <w:tc>
          <w:tcPr>
            <w:tcW w:w="1412" w:type="dxa"/>
            <w:shd w:val="clear" w:color="auto" w:fill="auto"/>
            <w:vAlign w:val="center"/>
          </w:tcPr>
          <w:p>
            <w:pPr>
              <w:pStyle w:val="103"/>
            </w:pPr>
            <w:r>
              <w:t>宇视</w:t>
            </w:r>
          </w:p>
        </w:tc>
        <w:tc>
          <w:tcPr>
            <w:tcW w:w="2552" w:type="dxa"/>
            <w:shd w:val="clear" w:color="auto" w:fill="auto"/>
            <w:vAlign w:val="center"/>
          </w:tcPr>
          <w:p>
            <w:pPr>
              <w:pStyle w:val="103"/>
            </w:pPr>
            <w:r>
              <w:t>4T</w:t>
            </w:r>
          </w:p>
        </w:tc>
        <w:tc>
          <w:tcPr>
            <w:tcW w:w="764" w:type="dxa"/>
            <w:shd w:val="clear" w:color="auto" w:fill="auto"/>
            <w:vAlign w:val="center"/>
          </w:tcPr>
          <w:p>
            <w:pPr>
              <w:pStyle w:val="103"/>
            </w:pPr>
            <w:r>
              <w:t>850</w:t>
            </w:r>
          </w:p>
        </w:tc>
        <w:tc>
          <w:tcPr>
            <w:tcW w:w="512" w:type="dxa"/>
            <w:shd w:val="clear" w:color="auto" w:fill="auto"/>
            <w:vAlign w:val="center"/>
          </w:tcPr>
          <w:p>
            <w:pPr>
              <w:pStyle w:val="103"/>
            </w:pPr>
            <w:r>
              <w:t>块</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30</w:t>
            </w:r>
          </w:p>
        </w:tc>
        <w:tc>
          <w:tcPr>
            <w:tcW w:w="2618" w:type="dxa"/>
            <w:shd w:val="clear" w:color="auto" w:fill="auto"/>
            <w:vAlign w:val="center"/>
          </w:tcPr>
          <w:p>
            <w:pPr>
              <w:pStyle w:val="103"/>
            </w:pPr>
            <w:r>
              <w:t>中心汇聚交换机</w:t>
            </w:r>
          </w:p>
        </w:tc>
        <w:tc>
          <w:tcPr>
            <w:tcW w:w="1412" w:type="dxa"/>
            <w:shd w:val="clear" w:color="auto" w:fill="auto"/>
            <w:vAlign w:val="center"/>
          </w:tcPr>
          <w:p>
            <w:pPr>
              <w:pStyle w:val="103"/>
            </w:pPr>
            <w:r>
              <w:t>华为</w:t>
            </w:r>
          </w:p>
        </w:tc>
        <w:tc>
          <w:tcPr>
            <w:tcW w:w="2552" w:type="dxa"/>
            <w:shd w:val="clear" w:color="auto" w:fill="auto"/>
            <w:vAlign w:val="center"/>
          </w:tcPr>
          <w:p>
            <w:pPr>
              <w:pStyle w:val="103"/>
            </w:pPr>
            <w:r>
              <w:t>S7706</w:t>
            </w:r>
          </w:p>
        </w:tc>
        <w:tc>
          <w:tcPr>
            <w:tcW w:w="764" w:type="dxa"/>
            <w:shd w:val="clear" w:color="auto" w:fill="auto"/>
            <w:vAlign w:val="center"/>
          </w:tcPr>
          <w:p>
            <w:pPr>
              <w:pStyle w:val="103"/>
            </w:pPr>
            <w:r>
              <w:t>2</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31</w:t>
            </w:r>
          </w:p>
        </w:tc>
        <w:tc>
          <w:tcPr>
            <w:tcW w:w="6582" w:type="dxa"/>
            <w:gridSpan w:val="3"/>
            <w:shd w:val="clear" w:color="auto" w:fill="auto"/>
            <w:vAlign w:val="center"/>
          </w:tcPr>
          <w:p>
            <w:pPr>
              <w:pStyle w:val="103"/>
            </w:pPr>
            <w:r>
              <w:t>小计</w:t>
            </w:r>
          </w:p>
        </w:tc>
        <w:tc>
          <w:tcPr>
            <w:tcW w:w="764" w:type="dxa"/>
            <w:shd w:val="clear" w:color="auto" w:fill="auto"/>
            <w:vAlign w:val="center"/>
          </w:tcPr>
          <w:p>
            <w:pPr>
              <w:pStyle w:val="103"/>
            </w:pPr>
            <w:r>
              <w:t>888</w:t>
            </w:r>
          </w:p>
        </w:tc>
        <w:tc>
          <w:tcPr>
            <w:tcW w:w="512" w:type="dxa"/>
            <w:shd w:val="clear" w:color="auto" w:fill="auto"/>
            <w:vAlign w:val="center"/>
          </w:tcPr>
          <w:p>
            <w:pPr>
              <w:pStyle w:val="103"/>
            </w:pP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9072" w:type="dxa"/>
            <w:gridSpan w:val="7"/>
            <w:shd w:val="clear" w:color="auto" w:fill="auto"/>
            <w:vAlign w:val="center"/>
          </w:tcPr>
          <w:p>
            <w:pPr>
              <w:pStyle w:val="103"/>
            </w:pPr>
            <w:r>
              <w:t>4、电视墙系统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32</w:t>
            </w:r>
          </w:p>
        </w:tc>
        <w:tc>
          <w:tcPr>
            <w:tcW w:w="2618" w:type="dxa"/>
            <w:shd w:val="clear" w:color="auto" w:fill="auto"/>
            <w:vAlign w:val="center"/>
          </w:tcPr>
          <w:p>
            <w:pPr>
              <w:pStyle w:val="103"/>
            </w:pPr>
            <w:r>
              <w:t>LCD单元</w:t>
            </w:r>
          </w:p>
        </w:tc>
        <w:tc>
          <w:tcPr>
            <w:tcW w:w="1412" w:type="dxa"/>
            <w:shd w:val="clear" w:color="auto" w:fill="auto"/>
            <w:vAlign w:val="center"/>
          </w:tcPr>
          <w:p>
            <w:pPr>
              <w:pStyle w:val="103"/>
            </w:pPr>
            <w:r>
              <w:t>宇视</w:t>
            </w:r>
          </w:p>
        </w:tc>
        <w:tc>
          <w:tcPr>
            <w:tcW w:w="2552" w:type="dxa"/>
            <w:shd w:val="clear" w:color="auto" w:fill="auto"/>
            <w:vAlign w:val="center"/>
          </w:tcPr>
          <w:p>
            <w:pPr>
              <w:pStyle w:val="103"/>
            </w:pPr>
            <w:r>
              <w:t>VMW5255-G3-C-UV</w:t>
            </w:r>
          </w:p>
        </w:tc>
        <w:tc>
          <w:tcPr>
            <w:tcW w:w="764" w:type="dxa"/>
            <w:shd w:val="clear" w:color="auto" w:fill="auto"/>
            <w:vAlign w:val="center"/>
          </w:tcPr>
          <w:p>
            <w:pPr>
              <w:pStyle w:val="103"/>
            </w:pPr>
            <w:r>
              <w:t>1</w:t>
            </w:r>
          </w:p>
        </w:tc>
        <w:tc>
          <w:tcPr>
            <w:tcW w:w="512" w:type="dxa"/>
            <w:shd w:val="clear" w:color="auto" w:fill="auto"/>
            <w:vAlign w:val="center"/>
          </w:tcPr>
          <w:p>
            <w:pPr>
              <w:pStyle w:val="103"/>
            </w:pPr>
            <w:r>
              <w:t>块</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33</w:t>
            </w:r>
          </w:p>
        </w:tc>
        <w:tc>
          <w:tcPr>
            <w:tcW w:w="2618" w:type="dxa"/>
            <w:shd w:val="clear" w:color="auto" w:fill="auto"/>
            <w:vAlign w:val="center"/>
          </w:tcPr>
          <w:p>
            <w:pPr>
              <w:pStyle w:val="103"/>
            </w:pPr>
            <w:r>
              <w:t>底座</w:t>
            </w:r>
          </w:p>
        </w:tc>
        <w:tc>
          <w:tcPr>
            <w:tcW w:w="1412" w:type="dxa"/>
            <w:shd w:val="clear" w:color="auto" w:fill="auto"/>
            <w:vAlign w:val="center"/>
          </w:tcPr>
          <w:p>
            <w:pPr>
              <w:pStyle w:val="103"/>
            </w:pPr>
            <w:r>
              <w:t>宇视</w:t>
            </w:r>
          </w:p>
        </w:tc>
        <w:tc>
          <w:tcPr>
            <w:tcW w:w="2552" w:type="dxa"/>
            <w:shd w:val="clear" w:color="auto" w:fill="auto"/>
            <w:vAlign w:val="center"/>
          </w:tcPr>
          <w:p>
            <w:pPr>
              <w:pStyle w:val="103"/>
            </w:pPr>
            <w:r>
              <w:t>定制</w:t>
            </w:r>
          </w:p>
        </w:tc>
        <w:tc>
          <w:tcPr>
            <w:tcW w:w="764" w:type="dxa"/>
            <w:shd w:val="clear" w:color="auto" w:fill="auto"/>
            <w:vAlign w:val="center"/>
          </w:tcPr>
          <w:p>
            <w:pPr>
              <w:pStyle w:val="103"/>
            </w:pPr>
            <w:r>
              <w:t>1</w:t>
            </w:r>
          </w:p>
        </w:tc>
        <w:tc>
          <w:tcPr>
            <w:tcW w:w="512" w:type="dxa"/>
            <w:shd w:val="clear" w:color="auto" w:fill="auto"/>
            <w:vAlign w:val="center"/>
          </w:tcPr>
          <w:p>
            <w:pPr>
              <w:pStyle w:val="103"/>
            </w:pPr>
            <w:r>
              <w:t>套</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96" w:type="dxa"/>
            <w:shd w:val="clear" w:color="auto" w:fill="auto"/>
            <w:vAlign w:val="center"/>
          </w:tcPr>
          <w:p>
            <w:pPr>
              <w:pStyle w:val="103"/>
            </w:pPr>
            <w:r>
              <w:t>34</w:t>
            </w:r>
          </w:p>
        </w:tc>
        <w:tc>
          <w:tcPr>
            <w:tcW w:w="2618" w:type="dxa"/>
            <w:shd w:val="clear" w:color="auto" w:fill="auto"/>
            <w:vAlign w:val="center"/>
          </w:tcPr>
          <w:p>
            <w:pPr>
              <w:pStyle w:val="103"/>
            </w:pPr>
            <w:r>
              <w:t>大屏幕显示系统控制软件</w:t>
            </w:r>
          </w:p>
        </w:tc>
        <w:tc>
          <w:tcPr>
            <w:tcW w:w="1412" w:type="dxa"/>
            <w:shd w:val="clear" w:color="auto" w:fill="auto"/>
            <w:vAlign w:val="center"/>
          </w:tcPr>
          <w:p>
            <w:pPr>
              <w:pStyle w:val="103"/>
            </w:pPr>
            <w:r>
              <w:t>宇视</w:t>
            </w:r>
          </w:p>
        </w:tc>
        <w:tc>
          <w:tcPr>
            <w:tcW w:w="2552" w:type="dxa"/>
            <w:shd w:val="clear" w:color="auto" w:fill="auto"/>
            <w:vAlign w:val="center"/>
          </w:tcPr>
          <w:p>
            <w:pPr>
              <w:pStyle w:val="103"/>
            </w:pPr>
            <w:r>
              <w:t>　</w:t>
            </w:r>
          </w:p>
        </w:tc>
        <w:tc>
          <w:tcPr>
            <w:tcW w:w="764" w:type="dxa"/>
            <w:shd w:val="clear" w:color="auto" w:fill="auto"/>
            <w:vAlign w:val="center"/>
          </w:tcPr>
          <w:p>
            <w:pPr>
              <w:pStyle w:val="103"/>
            </w:pPr>
            <w:r>
              <w:t>1</w:t>
            </w:r>
          </w:p>
        </w:tc>
        <w:tc>
          <w:tcPr>
            <w:tcW w:w="512" w:type="dxa"/>
            <w:shd w:val="clear" w:color="auto" w:fill="auto"/>
            <w:vAlign w:val="center"/>
          </w:tcPr>
          <w:p>
            <w:pPr>
              <w:pStyle w:val="103"/>
            </w:pPr>
            <w:r>
              <w:t>套</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35</w:t>
            </w:r>
          </w:p>
        </w:tc>
        <w:tc>
          <w:tcPr>
            <w:tcW w:w="2618" w:type="dxa"/>
            <w:shd w:val="clear" w:color="auto" w:fill="auto"/>
            <w:vAlign w:val="center"/>
          </w:tcPr>
          <w:p>
            <w:pPr>
              <w:pStyle w:val="103"/>
            </w:pPr>
            <w:r>
              <w:t>电脑及显示器</w:t>
            </w:r>
          </w:p>
        </w:tc>
        <w:tc>
          <w:tcPr>
            <w:tcW w:w="1412" w:type="dxa"/>
            <w:shd w:val="clear" w:color="auto" w:fill="auto"/>
            <w:vAlign w:val="center"/>
          </w:tcPr>
          <w:p>
            <w:pPr>
              <w:pStyle w:val="103"/>
            </w:pPr>
            <w:r>
              <w:t>戴尔</w:t>
            </w:r>
          </w:p>
        </w:tc>
        <w:tc>
          <w:tcPr>
            <w:tcW w:w="2552" w:type="dxa"/>
            <w:shd w:val="clear" w:color="auto" w:fill="auto"/>
            <w:vAlign w:val="center"/>
          </w:tcPr>
          <w:p>
            <w:pPr>
              <w:pStyle w:val="103"/>
            </w:pPr>
            <w:r>
              <w:t xml:space="preserve"> </w:t>
            </w:r>
          </w:p>
        </w:tc>
        <w:tc>
          <w:tcPr>
            <w:tcW w:w="764" w:type="dxa"/>
            <w:shd w:val="clear" w:color="auto" w:fill="auto"/>
            <w:vAlign w:val="center"/>
          </w:tcPr>
          <w:p>
            <w:pPr>
              <w:pStyle w:val="103"/>
            </w:pPr>
            <w:r>
              <w:t>1</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36</w:t>
            </w:r>
          </w:p>
        </w:tc>
        <w:tc>
          <w:tcPr>
            <w:tcW w:w="2618" w:type="dxa"/>
            <w:shd w:val="clear" w:color="auto" w:fill="auto"/>
            <w:vAlign w:val="center"/>
          </w:tcPr>
          <w:p>
            <w:pPr>
              <w:pStyle w:val="103"/>
            </w:pPr>
            <w:r>
              <w:t>电脑及显示器</w:t>
            </w:r>
          </w:p>
        </w:tc>
        <w:tc>
          <w:tcPr>
            <w:tcW w:w="1412" w:type="dxa"/>
            <w:shd w:val="clear" w:color="auto" w:fill="auto"/>
            <w:vAlign w:val="center"/>
          </w:tcPr>
          <w:p>
            <w:pPr>
              <w:pStyle w:val="103"/>
            </w:pPr>
            <w:r>
              <w:t>联想</w:t>
            </w:r>
          </w:p>
        </w:tc>
        <w:tc>
          <w:tcPr>
            <w:tcW w:w="2552" w:type="dxa"/>
            <w:shd w:val="clear" w:color="auto" w:fill="auto"/>
            <w:vAlign w:val="center"/>
          </w:tcPr>
          <w:p>
            <w:pPr>
              <w:pStyle w:val="103"/>
            </w:pPr>
            <w:r>
              <w:t>M4360-N071</w:t>
            </w:r>
          </w:p>
        </w:tc>
        <w:tc>
          <w:tcPr>
            <w:tcW w:w="764" w:type="dxa"/>
            <w:shd w:val="clear" w:color="auto" w:fill="auto"/>
            <w:vAlign w:val="center"/>
          </w:tcPr>
          <w:p>
            <w:pPr>
              <w:pStyle w:val="103"/>
            </w:pPr>
            <w:r>
              <w:t>3</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37</w:t>
            </w:r>
          </w:p>
        </w:tc>
        <w:tc>
          <w:tcPr>
            <w:tcW w:w="2618" w:type="dxa"/>
            <w:shd w:val="clear" w:color="auto" w:fill="auto"/>
            <w:vAlign w:val="center"/>
          </w:tcPr>
          <w:p>
            <w:pPr>
              <w:pStyle w:val="103"/>
            </w:pPr>
            <w:r>
              <w:t>小间距LED屏</w:t>
            </w:r>
          </w:p>
        </w:tc>
        <w:tc>
          <w:tcPr>
            <w:tcW w:w="1412" w:type="dxa"/>
            <w:shd w:val="clear" w:color="auto" w:fill="auto"/>
            <w:vAlign w:val="center"/>
          </w:tcPr>
          <w:p>
            <w:pPr>
              <w:pStyle w:val="103"/>
            </w:pPr>
            <w:r>
              <w:t>联建光电</w:t>
            </w:r>
          </w:p>
        </w:tc>
        <w:tc>
          <w:tcPr>
            <w:tcW w:w="2552" w:type="dxa"/>
            <w:shd w:val="clear" w:color="auto" w:fill="auto"/>
            <w:vAlign w:val="center"/>
          </w:tcPr>
          <w:p>
            <w:pPr>
              <w:pStyle w:val="103"/>
            </w:pPr>
            <w:r>
              <w:t>　</w:t>
            </w:r>
          </w:p>
        </w:tc>
        <w:tc>
          <w:tcPr>
            <w:tcW w:w="764" w:type="dxa"/>
            <w:shd w:val="clear" w:color="auto" w:fill="auto"/>
            <w:vAlign w:val="center"/>
          </w:tcPr>
          <w:p>
            <w:pPr>
              <w:pStyle w:val="103"/>
            </w:pPr>
            <w:r>
              <w:t>1</w:t>
            </w:r>
          </w:p>
        </w:tc>
        <w:tc>
          <w:tcPr>
            <w:tcW w:w="512" w:type="dxa"/>
            <w:shd w:val="clear" w:color="auto" w:fill="auto"/>
            <w:vAlign w:val="center"/>
          </w:tcPr>
          <w:p>
            <w:pPr>
              <w:pStyle w:val="103"/>
            </w:pPr>
            <w:r>
              <w:t>套</w:t>
            </w:r>
          </w:p>
        </w:tc>
        <w:tc>
          <w:tcPr>
            <w:tcW w:w="718" w:type="dxa"/>
            <w:shd w:val="clear" w:color="auto" w:fill="auto"/>
            <w:vAlign w:val="center"/>
          </w:tcPr>
          <w:p>
            <w:pPr>
              <w:pStyle w:val="103"/>
            </w:pPr>
            <w:r>
              <w:t>32平米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38</w:t>
            </w:r>
          </w:p>
        </w:tc>
        <w:tc>
          <w:tcPr>
            <w:tcW w:w="2618" w:type="dxa"/>
            <w:shd w:val="clear" w:color="auto" w:fill="auto"/>
            <w:vAlign w:val="center"/>
          </w:tcPr>
          <w:p>
            <w:pPr>
              <w:pStyle w:val="103"/>
            </w:pPr>
            <w:r>
              <w:t>解码器</w:t>
            </w:r>
          </w:p>
        </w:tc>
        <w:tc>
          <w:tcPr>
            <w:tcW w:w="1412" w:type="dxa"/>
            <w:shd w:val="clear" w:color="auto" w:fill="auto"/>
            <w:vAlign w:val="center"/>
          </w:tcPr>
          <w:p>
            <w:pPr>
              <w:pStyle w:val="103"/>
            </w:pPr>
            <w:r>
              <w:t>宇视</w:t>
            </w:r>
          </w:p>
        </w:tc>
        <w:tc>
          <w:tcPr>
            <w:tcW w:w="2552" w:type="dxa"/>
            <w:shd w:val="clear" w:color="auto" w:fill="auto"/>
            <w:vAlign w:val="center"/>
          </w:tcPr>
          <w:p>
            <w:pPr>
              <w:pStyle w:val="103"/>
            </w:pPr>
            <w:r>
              <w:t>　</w:t>
            </w:r>
          </w:p>
        </w:tc>
        <w:tc>
          <w:tcPr>
            <w:tcW w:w="764" w:type="dxa"/>
            <w:shd w:val="clear" w:color="auto" w:fill="auto"/>
            <w:vAlign w:val="center"/>
          </w:tcPr>
          <w:p>
            <w:pPr>
              <w:pStyle w:val="103"/>
            </w:pPr>
            <w:r>
              <w:t>3</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39</w:t>
            </w:r>
          </w:p>
        </w:tc>
        <w:tc>
          <w:tcPr>
            <w:tcW w:w="6582" w:type="dxa"/>
            <w:gridSpan w:val="3"/>
            <w:shd w:val="clear" w:color="auto" w:fill="auto"/>
            <w:vAlign w:val="center"/>
          </w:tcPr>
          <w:p>
            <w:pPr>
              <w:pStyle w:val="103"/>
            </w:pPr>
            <w:r>
              <w:t>小计</w:t>
            </w:r>
          </w:p>
        </w:tc>
        <w:tc>
          <w:tcPr>
            <w:tcW w:w="764" w:type="dxa"/>
            <w:shd w:val="clear" w:color="auto" w:fill="auto"/>
            <w:vAlign w:val="center"/>
          </w:tcPr>
          <w:p>
            <w:pPr>
              <w:pStyle w:val="103"/>
            </w:pPr>
            <w:r>
              <w:t>11</w:t>
            </w:r>
          </w:p>
        </w:tc>
        <w:tc>
          <w:tcPr>
            <w:tcW w:w="512" w:type="dxa"/>
            <w:shd w:val="clear" w:color="auto" w:fill="auto"/>
            <w:vAlign w:val="center"/>
          </w:tcPr>
          <w:p>
            <w:pPr>
              <w:pStyle w:val="103"/>
            </w:pPr>
            <w:r>
              <w:t>　</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9072" w:type="dxa"/>
            <w:gridSpan w:val="7"/>
            <w:shd w:val="clear" w:color="auto" w:fill="auto"/>
            <w:vAlign w:val="center"/>
          </w:tcPr>
          <w:p>
            <w:pPr>
              <w:pStyle w:val="103"/>
            </w:pPr>
            <w:r>
              <w:t>5、供配电系统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40</w:t>
            </w:r>
          </w:p>
        </w:tc>
        <w:tc>
          <w:tcPr>
            <w:tcW w:w="2618" w:type="dxa"/>
            <w:shd w:val="clear" w:color="auto" w:fill="auto"/>
            <w:vAlign w:val="center"/>
          </w:tcPr>
          <w:p>
            <w:pPr>
              <w:pStyle w:val="103"/>
            </w:pPr>
            <w:r>
              <w:t>UPS机柜</w:t>
            </w:r>
          </w:p>
        </w:tc>
        <w:tc>
          <w:tcPr>
            <w:tcW w:w="1412" w:type="dxa"/>
            <w:shd w:val="clear" w:color="auto" w:fill="auto"/>
            <w:vAlign w:val="center"/>
          </w:tcPr>
          <w:p>
            <w:pPr>
              <w:pStyle w:val="103"/>
            </w:pPr>
            <w:r>
              <w:t>爱克斯</w:t>
            </w:r>
          </w:p>
        </w:tc>
        <w:tc>
          <w:tcPr>
            <w:tcW w:w="2552" w:type="dxa"/>
            <w:shd w:val="clear" w:color="auto" w:fill="auto"/>
            <w:vAlign w:val="center"/>
          </w:tcPr>
          <w:p>
            <w:pPr>
              <w:pStyle w:val="103"/>
            </w:pPr>
            <w:r>
              <w:t xml:space="preserve">EKM200KVA </w:t>
            </w:r>
          </w:p>
        </w:tc>
        <w:tc>
          <w:tcPr>
            <w:tcW w:w="764" w:type="dxa"/>
            <w:shd w:val="clear" w:color="auto" w:fill="auto"/>
            <w:vAlign w:val="center"/>
          </w:tcPr>
          <w:p>
            <w:pPr>
              <w:pStyle w:val="103"/>
            </w:pPr>
            <w:r>
              <w:t>1</w:t>
            </w:r>
          </w:p>
        </w:tc>
        <w:tc>
          <w:tcPr>
            <w:tcW w:w="512" w:type="dxa"/>
            <w:shd w:val="clear" w:color="auto" w:fill="auto"/>
            <w:vAlign w:val="center"/>
          </w:tcPr>
          <w:p>
            <w:pPr>
              <w:pStyle w:val="103"/>
            </w:pPr>
            <w:r>
              <w:t>个</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41</w:t>
            </w:r>
          </w:p>
        </w:tc>
        <w:tc>
          <w:tcPr>
            <w:tcW w:w="2618" w:type="dxa"/>
            <w:shd w:val="clear" w:color="auto" w:fill="auto"/>
            <w:vAlign w:val="center"/>
          </w:tcPr>
          <w:p>
            <w:pPr>
              <w:pStyle w:val="103"/>
            </w:pPr>
            <w:r>
              <w:t>UPS机块</w:t>
            </w:r>
          </w:p>
        </w:tc>
        <w:tc>
          <w:tcPr>
            <w:tcW w:w="1412" w:type="dxa"/>
            <w:shd w:val="clear" w:color="auto" w:fill="auto"/>
            <w:vAlign w:val="center"/>
          </w:tcPr>
          <w:p>
            <w:pPr>
              <w:pStyle w:val="103"/>
            </w:pPr>
            <w:r>
              <w:t>爱克斯</w:t>
            </w:r>
          </w:p>
        </w:tc>
        <w:tc>
          <w:tcPr>
            <w:tcW w:w="2552" w:type="dxa"/>
            <w:shd w:val="clear" w:color="auto" w:fill="auto"/>
            <w:vAlign w:val="center"/>
          </w:tcPr>
          <w:p>
            <w:pPr>
              <w:pStyle w:val="103"/>
            </w:pPr>
            <w:r>
              <w:t>PR20KVA</w:t>
            </w:r>
          </w:p>
        </w:tc>
        <w:tc>
          <w:tcPr>
            <w:tcW w:w="764" w:type="dxa"/>
            <w:shd w:val="clear" w:color="auto" w:fill="auto"/>
            <w:vAlign w:val="center"/>
          </w:tcPr>
          <w:p>
            <w:pPr>
              <w:pStyle w:val="103"/>
            </w:pPr>
            <w:r>
              <w:t>5</w:t>
            </w:r>
          </w:p>
        </w:tc>
        <w:tc>
          <w:tcPr>
            <w:tcW w:w="512" w:type="dxa"/>
            <w:shd w:val="clear" w:color="auto" w:fill="auto"/>
            <w:vAlign w:val="center"/>
          </w:tcPr>
          <w:p>
            <w:pPr>
              <w:pStyle w:val="103"/>
            </w:pPr>
            <w:r>
              <w:t>个</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42</w:t>
            </w:r>
          </w:p>
        </w:tc>
        <w:tc>
          <w:tcPr>
            <w:tcW w:w="2618" w:type="dxa"/>
            <w:shd w:val="clear" w:color="auto" w:fill="auto"/>
            <w:vAlign w:val="center"/>
          </w:tcPr>
          <w:p>
            <w:pPr>
              <w:pStyle w:val="103"/>
            </w:pPr>
            <w:r>
              <w:t>胶体蓄电池</w:t>
            </w:r>
          </w:p>
        </w:tc>
        <w:tc>
          <w:tcPr>
            <w:tcW w:w="1412" w:type="dxa"/>
            <w:shd w:val="clear" w:color="auto" w:fill="auto"/>
            <w:vAlign w:val="center"/>
          </w:tcPr>
          <w:p>
            <w:pPr>
              <w:pStyle w:val="103"/>
            </w:pPr>
            <w:r>
              <w:t>爱克斯</w:t>
            </w:r>
          </w:p>
        </w:tc>
        <w:tc>
          <w:tcPr>
            <w:tcW w:w="2552" w:type="dxa"/>
            <w:shd w:val="clear" w:color="auto" w:fill="auto"/>
            <w:vAlign w:val="center"/>
          </w:tcPr>
          <w:p>
            <w:pPr>
              <w:pStyle w:val="103"/>
            </w:pPr>
            <w:r>
              <w:t>NPJ250AH-12V</w:t>
            </w:r>
          </w:p>
        </w:tc>
        <w:tc>
          <w:tcPr>
            <w:tcW w:w="764" w:type="dxa"/>
            <w:shd w:val="clear" w:color="auto" w:fill="auto"/>
            <w:vAlign w:val="center"/>
          </w:tcPr>
          <w:p>
            <w:pPr>
              <w:pStyle w:val="103"/>
            </w:pPr>
            <w:r>
              <w:t>160</w:t>
            </w:r>
          </w:p>
        </w:tc>
        <w:tc>
          <w:tcPr>
            <w:tcW w:w="512" w:type="dxa"/>
            <w:shd w:val="clear" w:color="auto" w:fill="auto"/>
            <w:vAlign w:val="center"/>
          </w:tcPr>
          <w:p>
            <w:pPr>
              <w:pStyle w:val="103"/>
            </w:pPr>
            <w:r>
              <w:t>个</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43</w:t>
            </w:r>
          </w:p>
        </w:tc>
        <w:tc>
          <w:tcPr>
            <w:tcW w:w="2618" w:type="dxa"/>
            <w:shd w:val="clear" w:color="auto" w:fill="auto"/>
            <w:vAlign w:val="center"/>
          </w:tcPr>
          <w:p>
            <w:pPr>
              <w:pStyle w:val="103"/>
            </w:pPr>
            <w:r>
              <w:t>电池架</w:t>
            </w:r>
          </w:p>
        </w:tc>
        <w:tc>
          <w:tcPr>
            <w:tcW w:w="1412" w:type="dxa"/>
            <w:shd w:val="clear" w:color="auto" w:fill="auto"/>
            <w:vAlign w:val="center"/>
          </w:tcPr>
          <w:p>
            <w:pPr>
              <w:pStyle w:val="103"/>
            </w:pPr>
            <w:r>
              <w:t>爱克斯</w:t>
            </w:r>
          </w:p>
        </w:tc>
        <w:tc>
          <w:tcPr>
            <w:tcW w:w="2552" w:type="dxa"/>
            <w:shd w:val="clear" w:color="auto" w:fill="auto"/>
            <w:vAlign w:val="center"/>
          </w:tcPr>
          <w:p>
            <w:pPr>
              <w:pStyle w:val="103"/>
            </w:pPr>
            <w:r>
              <w:t>定制40节电池架</w:t>
            </w:r>
          </w:p>
        </w:tc>
        <w:tc>
          <w:tcPr>
            <w:tcW w:w="764" w:type="dxa"/>
            <w:shd w:val="clear" w:color="auto" w:fill="auto"/>
            <w:vAlign w:val="center"/>
          </w:tcPr>
          <w:p>
            <w:pPr>
              <w:pStyle w:val="103"/>
            </w:pPr>
            <w:r>
              <w:t>4</w:t>
            </w:r>
          </w:p>
        </w:tc>
        <w:tc>
          <w:tcPr>
            <w:tcW w:w="512" w:type="dxa"/>
            <w:shd w:val="clear" w:color="auto" w:fill="auto"/>
            <w:vAlign w:val="center"/>
          </w:tcPr>
          <w:p>
            <w:pPr>
              <w:pStyle w:val="103"/>
            </w:pPr>
            <w:r>
              <w:t>个</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44</w:t>
            </w:r>
          </w:p>
        </w:tc>
        <w:tc>
          <w:tcPr>
            <w:tcW w:w="6582" w:type="dxa"/>
            <w:gridSpan w:val="3"/>
            <w:shd w:val="clear" w:color="auto" w:fill="auto"/>
            <w:vAlign w:val="center"/>
          </w:tcPr>
          <w:p>
            <w:pPr>
              <w:pStyle w:val="103"/>
            </w:pPr>
            <w:r>
              <w:t>小计</w:t>
            </w:r>
          </w:p>
        </w:tc>
        <w:tc>
          <w:tcPr>
            <w:tcW w:w="764" w:type="dxa"/>
            <w:shd w:val="clear" w:color="auto" w:fill="auto"/>
            <w:vAlign w:val="center"/>
          </w:tcPr>
          <w:p>
            <w:pPr>
              <w:pStyle w:val="103"/>
            </w:pPr>
            <w:r>
              <w:t>170</w:t>
            </w:r>
          </w:p>
        </w:tc>
        <w:tc>
          <w:tcPr>
            <w:tcW w:w="512" w:type="dxa"/>
            <w:shd w:val="clear" w:color="auto" w:fill="auto"/>
            <w:vAlign w:val="center"/>
          </w:tcPr>
          <w:p>
            <w:pPr>
              <w:pStyle w:val="103"/>
            </w:pPr>
            <w:r>
              <w:t>　</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序号</w:t>
            </w:r>
          </w:p>
        </w:tc>
        <w:tc>
          <w:tcPr>
            <w:tcW w:w="2618" w:type="dxa"/>
            <w:shd w:val="clear" w:color="auto" w:fill="auto"/>
            <w:vAlign w:val="center"/>
          </w:tcPr>
          <w:p>
            <w:pPr>
              <w:pStyle w:val="103"/>
            </w:pPr>
            <w:r>
              <w:t>名称</w:t>
            </w:r>
          </w:p>
        </w:tc>
        <w:tc>
          <w:tcPr>
            <w:tcW w:w="1412" w:type="dxa"/>
            <w:shd w:val="clear" w:color="auto" w:fill="auto"/>
            <w:vAlign w:val="center"/>
          </w:tcPr>
          <w:p>
            <w:pPr>
              <w:pStyle w:val="103"/>
            </w:pPr>
            <w:r>
              <w:t>品牌</w:t>
            </w:r>
          </w:p>
        </w:tc>
        <w:tc>
          <w:tcPr>
            <w:tcW w:w="2552" w:type="dxa"/>
            <w:shd w:val="clear" w:color="auto" w:fill="auto"/>
            <w:vAlign w:val="center"/>
          </w:tcPr>
          <w:p>
            <w:pPr>
              <w:pStyle w:val="103"/>
            </w:pPr>
            <w:r>
              <w:t>型号</w:t>
            </w:r>
          </w:p>
        </w:tc>
        <w:tc>
          <w:tcPr>
            <w:tcW w:w="764" w:type="dxa"/>
            <w:shd w:val="clear" w:color="auto" w:fill="auto"/>
            <w:vAlign w:val="center"/>
          </w:tcPr>
          <w:p>
            <w:pPr>
              <w:pStyle w:val="103"/>
            </w:pPr>
            <w:r>
              <w:t>数量</w:t>
            </w:r>
          </w:p>
        </w:tc>
        <w:tc>
          <w:tcPr>
            <w:tcW w:w="512" w:type="dxa"/>
            <w:shd w:val="clear" w:color="auto" w:fill="auto"/>
            <w:vAlign w:val="center"/>
          </w:tcPr>
          <w:p>
            <w:pPr>
              <w:pStyle w:val="103"/>
            </w:pPr>
            <w:r>
              <w:t>单位</w:t>
            </w:r>
          </w:p>
        </w:tc>
        <w:tc>
          <w:tcPr>
            <w:tcW w:w="718" w:type="dxa"/>
            <w:shd w:val="clear" w:color="auto" w:fill="auto"/>
            <w:noWrap/>
            <w:vAlign w:val="center"/>
          </w:tcPr>
          <w:p>
            <w:pPr>
              <w:pStyle w:val="103"/>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9072" w:type="dxa"/>
            <w:gridSpan w:val="7"/>
            <w:shd w:val="clear" w:color="auto" w:fill="auto"/>
            <w:vAlign w:val="center"/>
          </w:tcPr>
          <w:p>
            <w:pPr>
              <w:pStyle w:val="103"/>
            </w:pPr>
            <w:r>
              <w:t>6、社会联网报警平台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1</w:t>
            </w:r>
          </w:p>
        </w:tc>
        <w:tc>
          <w:tcPr>
            <w:tcW w:w="2618" w:type="dxa"/>
            <w:shd w:val="clear" w:color="auto" w:fill="auto"/>
            <w:vAlign w:val="center"/>
          </w:tcPr>
          <w:p>
            <w:pPr>
              <w:pStyle w:val="103"/>
            </w:pPr>
            <w:r>
              <w:t>系统管理中心</w:t>
            </w:r>
          </w:p>
        </w:tc>
        <w:tc>
          <w:tcPr>
            <w:tcW w:w="1412" w:type="dxa"/>
            <w:shd w:val="clear" w:color="auto" w:fill="auto"/>
            <w:vAlign w:val="center"/>
          </w:tcPr>
          <w:p>
            <w:pPr>
              <w:pStyle w:val="103"/>
            </w:pPr>
            <w:r>
              <w:t>海康</w:t>
            </w:r>
          </w:p>
        </w:tc>
        <w:tc>
          <w:tcPr>
            <w:tcW w:w="2552" w:type="dxa"/>
            <w:shd w:val="clear" w:color="auto" w:fill="auto"/>
            <w:vAlign w:val="center"/>
          </w:tcPr>
          <w:p>
            <w:pPr>
              <w:pStyle w:val="103"/>
            </w:pPr>
            <w:r>
              <w:t>iVMS-8200E(CMS)</w:t>
            </w:r>
          </w:p>
        </w:tc>
        <w:tc>
          <w:tcPr>
            <w:tcW w:w="764" w:type="dxa"/>
            <w:shd w:val="clear" w:color="auto" w:fill="auto"/>
            <w:vAlign w:val="center"/>
          </w:tcPr>
          <w:p>
            <w:pPr>
              <w:pStyle w:val="103"/>
            </w:pPr>
            <w:r>
              <w:t>1</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2</w:t>
            </w:r>
          </w:p>
        </w:tc>
        <w:tc>
          <w:tcPr>
            <w:tcW w:w="2618" w:type="dxa"/>
            <w:shd w:val="clear" w:color="auto" w:fill="auto"/>
            <w:vAlign w:val="center"/>
          </w:tcPr>
          <w:p>
            <w:pPr>
              <w:pStyle w:val="103"/>
            </w:pPr>
            <w:r>
              <w:t>数据库管理单元</w:t>
            </w:r>
          </w:p>
        </w:tc>
        <w:tc>
          <w:tcPr>
            <w:tcW w:w="1412" w:type="dxa"/>
            <w:shd w:val="clear" w:color="auto" w:fill="auto"/>
            <w:vAlign w:val="center"/>
          </w:tcPr>
          <w:p>
            <w:pPr>
              <w:pStyle w:val="103"/>
            </w:pPr>
            <w:r>
              <w:t>海康</w:t>
            </w:r>
          </w:p>
        </w:tc>
        <w:tc>
          <w:tcPr>
            <w:tcW w:w="2552" w:type="dxa"/>
            <w:shd w:val="clear" w:color="auto" w:fill="auto"/>
            <w:vAlign w:val="center"/>
          </w:tcPr>
          <w:p>
            <w:pPr>
              <w:pStyle w:val="103"/>
            </w:pPr>
            <w:r>
              <w:t>iVMS-8200E(DB)</w:t>
            </w:r>
          </w:p>
        </w:tc>
        <w:tc>
          <w:tcPr>
            <w:tcW w:w="764" w:type="dxa"/>
            <w:shd w:val="clear" w:color="auto" w:fill="auto"/>
            <w:vAlign w:val="center"/>
          </w:tcPr>
          <w:p>
            <w:pPr>
              <w:pStyle w:val="103"/>
            </w:pPr>
            <w:r>
              <w:t>1</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3</w:t>
            </w:r>
          </w:p>
        </w:tc>
        <w:tc>
          <w:tcPr>
            <w:tcW w:w="2618" w:type="dxa"/>
            <w:shd w:val="clear" w:color="auto" w:fill="auto"/>
            <w:vAlign w:val="center"/>
          </w:tcPr>
          <w:p>
            <w:pPr>
              <w:pStyle w:val="103"/>
            </w:pPr>
            <w:r>
              <w:t>流媒体转发单元</w:t>
            </w:r>
          </w:p>
        </w:tc>
        <w:tc>
          <w:tcPr>
            <w:tcW w:w="1412" w:type="dxa"/>
            <w:shd w:val="clear" w:color="auto" w:fill="auto"/>
            <w:vAlign w:val="center"/>
          </w:tcPr>
          <w:p>
            <w:pPr>
              <w:pStyle w:val="103"/>
            </w:pPr>
            <w:r>
              <w:t>海康</w:t>
            </w:r>
          </w:p>
        </w:tc>
        <w:tc>
          <w:tcPr>
            <w:tcW w:w="2552" w:type="dxa"/>
            <w:shd w:val="clear" w:color="auto" w:fill="auto"/>
            <w:vAlign w:val="center"/>
          </w:tcPr>
          <w:p>
            <w:pPr>
              <w:pStyle w:val="103"/>
            </w:pPr>
            <w:r>
              <w:t>iVMS-8200E(VTDU)</w:t>
            </w:r>
          </w:p>
        </w:tc>
        <w:tc>
          <w:tcPr>
            <w:tcW w:w="764" w:type="dxa"/>
            <w:shd w:val="clear" w:color="auto" w:fill="auto"/>
            <w:vAlign w:val="center"/>
          </w:tcPr>
          <w:p>
            <w:pPr>
              <w:pStyle w:val="103"/>
            </w:pPr>
            <w:r>
              <w:t>3</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96" w:type="dxa"/>
            <w:shd w:val="clear" w:color="auto" w:fill="auto"/>
            <w:vAlign w:val="center"/>
          </w:tcPr>
          <w:p>
            <w:pPr>
              <w:pStyle w:val="103"/>
            </w:pPr>
            <w:r>
              <w:t>4</w:t>
            </w:r>
          </w:p>
        </w:tc>
        <w:tc>
          <w:tcPr>
            <w:tcW w:w="2618" w:type="dxa"/>
            <w:shd w:val="clear" w:color="auto" w:fill="auto"/>
            <w:vAlign w:val="center"/>
          </w:tcPr>
          <w:p>
            <w:pPr>
              <w:pStyle w:val="103"/>
            </w:pPr>
            <w:r>
              <w:t>存储管理服务单元</w:t>
            </w:r>
          </w:p>
        </w:tc>
        <w:tc>
          <w:tcPr>
            <w:tcW w:w="1412" w:type="dxa"/>
            <w:shd w:val="clear" w:color="auto" w:fill="auto"/>
            <w:vAlign w:val="center"/>
          </w:tcPr>
          <w:p>
            <w:pPr>
              <w:pStyle w:val="103"/>
            </w:pPr>
            <w:r>
              <w:t>海康</w:t>
            </w:r>
          </w:p>
        </w:tc>
        <w:tc>
          <w:tcPr>
            <w:tcW w:w="2552" w:type="dxa"/>
            <w:shd w:val="clear" w:color="auto" w:fill="auto"/>
            <w:vAlign w:val="center"/>
          </w:tcPr>
          <w:p>
            <w:pPr>
              <w:pStyle w:val="103"/>
            </w:pPr>
            <w:r>
              <w:t>iVMS-8200E(VRM)</w:t>
            </w:r>
          </w:p>
        </w:tc>
        <w:tc>
          <w:tcPr>
            <w:tcW w:w="764" w:type="dxa"/>
            <w:shd w:val="clear" w:color="auto" w:fill="auto"/>
            <w:vAlign w:val="center"/>
          </w:tcPr>
          <w:p>
            <w:pPr>
              <w:pStyle w:val="103"/>
            </w:pPr>
            <w:r>
              <w:t>1</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5</w:t>
            </w:r>
          </w:p>
        </w:tc>
        <w:tc>
          <w:tcPr>
            <w:tcW w:w="2618" w:type="dxa"/>
            <w:shd w:val="clear" w:color="auto" w:fill="auto"/>
            <w:vAlign w:val="center"/>
          </w:tcPr>
          <w:p>
            <w:pPr>
              <w:pStyle w:val="103"/>
            </w:pPr>
            <w:r>
              <w:t>电视墙集控中心</w:t>
            </w:r>
          </w:p>
        </w:tc>
        <w:tc>
          <w:tcPr>
            <w:tcW w:w="1412" w:type="dxa"/>
            <w:shd w:val="clear" w:color="auto" w:fill="auto"/>
            <w:vAlign w:val="center"/>
          </w:tcPr>
          <w:p>
            <w:pPr>
              <w:pStyle w:val="103"/>
            </w:pPr>
            <w:r>
              <w:t>海康</w:t>
            </w:r>
          </w:p>
        </w:tc>
        <w:tc>
          <w:tcPr>
            <w:tcW w:w="2552" w:type="dxa"/>
            <w:shd w:val="clear" w:color="auto" w:fill="auto"/>
            <w:vAlign w:val="center"/>
          </w:tcPr>
          <w:p>
            <w:pPr>
              <w:pStyle w:val="103"/>
            </w:pPr>
            <w:r>
              <w:t>iVMS-8200E(TVMC)</w:t>
            </w:r>
          </w:p>
        </w:tc>
        <w:tc>
          <w:tcPr>
            <w:tcW w:w="764" w:type="dxa"/>
            <w:shd w:val="clear" w:color="auto" w:fill="auto"/>
            <w:vAlign w:val="center"/>
          </w:tcPr>
          <w:p>
            <w:pPr>
              <w:pStyle w:val="103"/>
            </w:pPr>
            <w:r>
              <w:t>1</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96" w:type="dxa"/>
            <w:shd w:val="clear" w:color="auto" w:fill="auto"/>
            <w:vAlign w:val="center"/>
          </w:tcPr>
          <w:p>
            <w:pPr>
              <w:pStyle w:val="103"/>
            </w:pPr>
            <w:r>
              <w:t>6</w:t>
            </w:r>
          </w:p>
        </w:tc>
        <w:tc>
          <w:tcPr>
            <w:tcW w:w="2618" w:type="dxa"/>
            <w:shd w:val="clear" w:color="auto" w:fill="auto"/>
            <w:vAlign w:val="center"/>
          </w:tcPr>
          <w:p>
            <w:pPr>
              <w:pStyle w:val="103"/>
            </w:pPr>
            <w:r>
              <w:t>视频运维服务主机</w:t>
            </w:r>
          </w:p>
        </w:tc>
        <w:tc>
          <w:tcPr>
            <w:tcW w:w="1412" w:type="dxa"/>
            <w:shd w:val="clear" w:color="auto" w:fill="auto"/>
            <w:vAlign w:val="center"/>
          </w:tcPr>
          <w:p>
            <w:pPr>
              <w:pStyle w:val="103"/>
            </w:pPr>
            <w:r>
              <w:t>海康</w:t>
            </w:r>
          </w:p>
        </w:tc>
        <w:tc>
          <w:tcPr>
            <w:tcW w:w="2552" w:type="dxa"/>
            <w:shd w:val="clear" w:color="auto" w:fill="auto"/>
            <w:vAlign w:val="center"/>
          </w:tcPr>
          <w:p>
            <w:pPr>
              <w:pStyle w:val="103"/>
            </w:pPr>
            <w:r>
              <w:t>iVMS-8200E(NMC)</w:t>
            </w:r>
          </w:p>
        </w:tc>
        <w:tc>
          <w:tcPr>
            <w:tcW w:w="764" w:type="dxa"/>
            <w:shd w:val="clear" w:color="auto" w:fill="auto"/>
            <w:vAlign w:val="center"/>
          </w:tcPr>
          <w:p>
            <w:pPr>
              <w:pStyle w:val="103"/>
            </w:pPr>
            <w:r>
              <w:t>1</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7</w:t>
            </w:r>
          </w:p>
        </w:tc>
        <w:tc>
          <w:tcPr>
            <w:tcW w:w="2618" w:type="dxa"/>
            <w:shd w:val="clear" w:color="auto" w:fill="auto"/>
            <w:vAlign w:val="center"/>
          </w:tcPr>
          <w:p>
            <w:pPr>
              <w:pStyle w:val="103"/>
            </w:pPr>
            <w:r>
              <w:t>视频接入网关</w:t>
            </w:r>
          </w:p>
        </w:tc>
        <w:tc>
          <w:tcPr>
            <w:tcW w:w="1412" w:type="dxa"/>
            <w:shd w:val="clear" w:color="auto" w:fill="auto"/>
            <w:vAlign w:val="center"/>
          </w:tcPr>
          <w:p>
            <w:pPr>
              <w:pStyle w:val="103"/>
            </w:pPr>
            <w:r>
              <w:t>海康</w:t>
            </w:r>
          </w:p>
        </w:tc>
        <w:tc>
          <w:tcPr>
            <w:tcW w:w="2552" w:type="dxa"/>
            <w:shd w:val="clear" w:color="auto" w:fill="auto"/>
            <w:vAlign w:val="center"/>
          </w:tcPr>
          <w:p>
            <w:pPr>
              <w:pStyle w:val="103"/>
            </w:pPr>
            <w:r>
              <w:t>iVMS-8201E(VAG)</w:t>
            </w:r>
          </w:p>
        </w:tc>
        <w:tc>
          <w:tcPr>
            <w:tcW w:w="764" w:type="dxa"/>
            <w:shd w:val="clear" w:color="auto" w:fill="auto"/>
            <w:vAlign w:val="center"/>
          </w:tcPr>
          <w:p>
            <w:pPr>
              <w:pStyle w:val="103"/>
            </w:pPr>
            <w:r>
              <w:t>1</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8</w:t>
            </w:r>
          </w:p>
        </w:tc>
        <w:tc>
          <w:tcPr>
            <w:tcW w:w="2618" w:type="dxa"/>
            <w:shd w:val="clear" w:color="auto" w:fill="auto"/>
            <w:vAlign w:val="center"/>
          </w:tcPr>
          <w:p>
            <w:pPr>
              <w:pStyle w:val="103"/>
            </w:pPr>
            <w:r>
              <w:t>联网网关</w:t>
            </w:r>
          </w:p>
        </w:tc>
        <w:tc>
          <w:tcPr>
            <w:tcW w:w="1412" w:type="dxa"/>
            <w:shd w:val="clear" w:color="auto" w:fill="auto"/>
            <w:vAlign w:val="center"/>
          </w:tcPr>
          <w:p>
            <w:pPr>
              <w:pStyle w:val="103"/>
            </w:pPr>
            <w:r>
              <w:t>海康</w:t>
            </w:r>
          </w:p>
        </w:tc>
        <w:tc>
          <w:tcPr>
            <w:tcW w:w="2552" w:type="dxa"/>
            <w:shd w:val="clear" w:color="auto" w:fill="auto"/>
            <w:vAlign w:val="center"/>
          </w:tcPr>
          <w:p>
            <w:pPr>
              <w:pStyle w:val="103"/>
            </w:pPr>
            <w:r>
              <w:t>iVMS-8201E(NCG)</w:t>
            </w:r>
          </w:p>
        </w:tc>
        <w:tc>
          <w:tcPr>
            <w:tcW w:w="764" w:type="dxa"/>
            <w:shd w:val="clear" w:color="auto" w:fill="auto"/>
            <w:vAlign w:val="center"/>
          </w:tcPr>
          <w:p>
            <w:pPr>
              <w:pStyle w:val="103"/>
            </w:pPr>
            <w:r>
              <w:t>1</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9</w:t>
            </w:r>
          </w:p>
        </w:tc>
        <w:tc>
          <w:tcPr>
            <w:tcW w:w="2618" w:type="dxa"/>
            <w:shd w:val="clear" w:color="auto" w:fill="auto"/>
            <w:vAlign w:val="center"/>
          </w:tcPr>
          <w:p>
            <w:pPr>
              <w:pStyle w:val="103"/>
            </w:pPr>
            <w:r>
              <w:t>联网报警平台</w:t>
            </w:r>
          </w:p>
        </w:tc>
        <w:tc>
          <w:tcPr>
            <w:tcW w:w="1412" w:type="dxa"/>
            <w:shd w:val="clear" w:color="auto" w:fill="auto"/>
            <w:vAlign w:val="center"/>
          </w:tcPr>
          <w:p>
            <w:pPr>
              <w:pStyle w:val="103"/>
            </w:pPr>
            <w:r>
              <w:t>海康</w:t>
            </w:r>
          </w:p>
        </w:tc>
        <w:tc>
          <w:tcPr>
            <w:tcW w:w="2552" w:type="dxa"/>
            <w:shd w:val="clear" w:color="auto" w:fill="auto"/>
            <w:vAlign w:val="center"/>
          </w:tcPr>
          <w:p>
            <w:pPr>
              <w:pStyle w:val="103"/>
            </w:pPr>
            <w:r>
              <w:t>iVMS-8200E</w:t>
            </w:r>
          </w:p>
        </w:tc>
        <w:tc>
          <w:tcPr>
            <w:tcW w:w="764" w:type="dxa"/>
            <w:shd w:val="clear" w:color="auto" w:fill="auto"/>
            <w:vAlign w:val="center"/>
          </w:tcPr>
          <w:p>
            <w:pPr>
              <w:pStyle w:val="103"/>
            </w:pPr>
            <w:r>
              <w:t>1</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96" w:type="dxa"/>
            <w:shd w:val="clear" w:color="auto" w:fill="auto"/>
            <w:vAlign w:val="center"/>
          </w:tcPr>
          <w:p>
            <w:pPr>
              <w:pStyle w:val="103"/>
            </w:pPr>
            <w:r>
              <w:t>10</w:t>
            </w:r>
          </w:p>
        </w:tc>
        <w:tc>
          <w:tcPr>
            <w:tcW w:w="2618" w:type="dxa"/>
            <w:shd w:val="clear" w:color="auto" w:fill="auto"/>
            <w:vAlign w:val="center"/>
          </w:tcPr>
          <w:p>
            <w:pPr>
              <w:pStyle w:val="103"/>
            </w:pPr>
            <w:r>
              <w:t>智能视频诊断服务器</w:t>
            </w:r>
          </w:p>
        </w:tc>
        <w:tc>
          <w:tcPr>
            <w:tcW w:w="1412" w:type="dxa"/>
            <w:shd w:val="clear" w:color="auto" w:fill="auto"/>
            <w:vAlign w:val="center"/>
          </w:tcPr>
          <w:p>
            <w:pPr>
              <w:pStyle w:val="103"/>
            </w:pPr>
            <w:r>
              <w:t>海康</w:t>
            </w:r>
          </w:p>
        </w:tc>
        <w:tc>
          <w:tcPr>
            <w:tcW w:w="2552" w:type="dxa"/>
            <w:shd w:val="clear" w:color="auto" w:fill="auto"/>
            <w:vAlign w:val="center"/>
          </w:tcPr>
          <w:p>
            <w:pPr>
              <w:pStyle w:val="103"/>
            </w:pPr>
            <w:r>
              <w:t>iVMS-6200E-D</w:t>
            </w:r>
          </w:p>
        </w:tc>
        <w:tc>
          <w:tcPr>
            <w:tcW w:w="764" w:type="dxa"/>
            <w:shd w:val="clear" w:color="auto" w:fill="auto"/>
            <w:vAlign w:val="center"/>
          </w:tcPr>
          <w:p>
            <w:pPr>
              <w:pStyle w:val="103"/>
            </w:pPr>
            <w:r>
              <w:t>1</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11</w:t>
            </w:r>
          </w:p>
        </w:tc>
        <w:tc>
          <w:tcPr>
            <w:tcW w:w="2618" w:type="dxa"/>
            <w:shd w:val="clear" w:color="auto" w:fill="auto"/>
            <w:vAlign w:val="center"/>
          </w:tcPr>
          <w:p>
            <w:pPr>
              <w:pStyle w:val="103"/>
            </w:pPr>
            <w:r>
              <w:t>人脸识别服务器</w:t>
            </w:r>
          </w:p>
        </w:tc>
        <w:tc>
          <w:tcPr>
            <w:tcW w:w="1412" w:type="dxa"/>
            <w:shd w:val="clear" w:color="auto" w:fill="auto"/>
            <w:vAlign w:val="center"/>
          </w:tcPr>
          <w:p>
            <w:pPr>
              <w:pStyle w:val="103"/>
            </w:pPr>
            <w:r>
              <w:t>海康</w:t>
            </w:r>
          </w:p>
        </w:tc>
        <w:tc>
          <w:tcPr>
            <w:tcW w:w="2552" w:type="dxa"/>
            <w:shd w:val="clear" w:color="auto" w:fill="auto"/>
            <w:vAlign w:val="center"/>
          </w:tcPr>
          <w:p>
            <w:pPr>
              <w:pStyle w:val="103"/>
            </w:pPr>
            <w:r>
              <w:t>iVMS-6200E-FA</w:t>
            </w:r>
          </w:p>
        </w:tc>
        <w:tc>
          <w:tcPr>
            <w:tcW w:w="764" w:type="dxa"/>
            <w:shd w:val="clear" w:color="auto" w:fill="auto"/>
            <w:vAlign w:val="center"/>
          </w:tcPr>
          <w:p>
            <w:pPr>
              <w:pStyle w:val="103"/>
            </w:pPr>
            <w:r>
              <w:t>1</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12</w:t>
            </w:r>
          </w:p>
        </w:tc>
        <w:tc>
          <w:tcPr>
            <w:tcW w:w="2618" w:type="dxa"/>
            <w:shd w:val="clear" w:color="auto" w:fill="auto"/>
            <w:vAlign w:val="center"/>
          </w:tcPr>
          <w:p>
            <w:pPr>
              <w:pStyle w:val="103"/>
            </w:pPr>
            <w:r>
              <w:t>网闸</w:t>
            </w:r>
          </w:p>
        </w:tc>
        <w:tc>
          <w:tcPr>
            <w:tcW w:w="1412" w:type="dxa"/>
            <w:shd w:val="clear" w:color="auto" w:fill="auto"/>
            <w:vAlign w:val="center"/>
          </w:tcPr>
          <w:p>
            <w:pPr>
              <w:pStyle w:val="103"/>
            </w:pPr>
            <w:r>
              <w:t>国保金泰</w:t>
            </w:r>
          </w:p>
        </w:tc>
        <w:tc>
          <w:tcPr>
            <w:tcW w:w="2552" w:type="dxa"/>
            <w:shd w:val="clear" w:color="auto" w:fill="auto"/>
            <w:vAlign w:val="center"/>
          </w:tcPr>
          <w:p>
            <w:pPr>
              <w:pStyle w:val="103"/>
            </w:pPr>
            <w:r>
              <w:t>iGap-1000</w:t>
            </w:r>
          </w:p>
        </w:tc>
        <w:tc>
          <w:tcPr>
            <w:tcW w:w="764" w:type="dxa"/>
            <w:shd w:val="clear" w:color="auto" w:fill="auto"/>
            <w:vAlign w:val="center"/>
          </w:tcPr>
          <w:p>
            <w:pPr>
              <w:pStyle w:val="103"/>
            </w:pPr>
            <w:r>
              <w:t>1</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13</w:t>
            </w:r>
          </w:p>
        </w:tc>
        <w:tc>
          <w:tcPr>
            <w:tcW w:w="6582" w:type="dxa"/>
            <w:gridSpan w:val="3"/>
            <w:shd w:val="clear" w:color="auto" w:fill="auto"/>
            <w:vAlign w:val="center"/>
          </w:tcPr>
          <w:p>
            <w:pPr>
              <w:pStyle w:val="103"/>
            </w:pPr>
            <w:r>
              <w:t>小计</w:t>
            </w:r>
          </w:p>
        </w:tc>
        <w:tc>
          <w:tcPr>
            <w:tcW w:w="764" w:type="dxa"/>
            <w:shd w:val="clear" w:color="auto" w:fill="auto"/>
            <w:vAlign w:val="center"/>
          </w:tcPr>
          <w:p>
            <w:pPr>
              <w:pStyle w:val="103"/>
            </w:pPr>
            <w:r>
              <w:t>14</w:t>
            </w:r>
          </w:p>
        </w:tc>
        <w:tc>
          <w:tcPr>
            <w:tcW w:w="512" w:type="dxa"/>
            <w:shd w:val="clear" w:color="auto" w:fill="auto"/>
            <w:vAlign w:val="center"/>
          </w:tcPr>
          <w:p>
            <w:pPr>
              <w:pStyle w:val="103"/>
            </w:pPr>
            <w:r>
              <w:t>　</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9072" w:type="dxa"/>
            <w:gridSpan w:val="7"/>
            <w:shd w:val="clear" w:color="auto" w:fill="auto"/>
            <w:vAlign w:val="center"/>
          </w:tcPr>
          <w:p>
            <w:pPr>
              <w:pStyle w:val="103"/>
            </w:pPr>
            <w:r>
              <w:t>7、高清卡口摄像机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496" w:type="dxa"/>
            <w:shd w:val="clear" w:color="auto" w:fill="auto"/>
            <w:vAlign w:val="center"/>
          </w:tcPr>
          <w:p>
            <w:pPr>
              <w:pStyle w:val="103"/>
            </w:pPr>
            <w:r>
              <w:t>14</w:t>
            </w:r>
          </w:p>
        </w:tc>
        <w:tc>
          <w:tcPr>
            <w:tcW w:w="2618" w:type="dxa"/>
            <w:shd w:val="clear" w:color="auto" w:fill="auto"/>
            <w:vAlign w:val="center"/>
          </w:tcPr>
          <w:p>
            <w:pPr>
              <w:pStyle w:val="103"/>
            </w:pPr>
            <w:r>
              <w:t>卡口抓拍单元</w:t>
            </w:r>
          </w:p>
        </w:tc>
        <w:tc>
          <w:tcPr>
            <w:tcW w:w="1412" w:type="dxa"/>
            <w:shd w:val="clear" w:color="auto" w:fill="auto"/>
            <w:vAlign w:val="center"/>
          </w:tcPr>
          <w:p>
            <w:pPr>
              <w:pStyle w:val="103"/>
            </w:pPr>
            <w:r>
              <w:t>宇视</w:t>
            </w:r>
          </w:p>
        </w:tc>
        <w:tc>
          <w:tcPr>
            <w:tcW w:w="2552" w:type="dxa"/>
            <w:shd w:val="clear" w:color="auto" w:fill="auto"/>
            <w:vAlign w:val="center"/>
          </w:tcPr>
          <w:p>
            <w:pPr>
              <w:pStyle w:val="103"/>
            </w:pPr>
            <w:r>
              <w:t>HTS-HC531</w:t>
            </w:r>
          </w:p>
        </w:tc>
        <w:tc>
          <w:tcPr>
            <w:tcW w:w="764" w:type="dxa"/>
            <w:shd w:val="clear" w:color="auto" w:fill="auto"/>
            <w:vAlign w:val="center"/>
          </w:tcPr>
          <w:p>
            <w:pPr>
              <w:pStyle w:val="103"/>
            </w:pPr>
            <w:r>
              <w:t>128</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包含2015年35台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15</w:t>
            </w:r>
          </w:p>
        </w:tc>
        <w:tc>
          <w:tcPr>
            <w:tcW w:w="2618" w:type="dxa"/>
            <w:shd w:val="clear" w:color="auto" w:fill="auto"/>
            <w:vAlign w:val="center"/>
          </w:tcPr>
          <w:p>
            <w:pPr>
              <w:pStyle w:val="103"/>
            </w:pPr>
            <w:r>
              <w:t>补光灯</w:t>
            </w:r>
          </w:p>
        </w:tc>
        <w:tc>
          <w:tcPr>
            <w:tcW w:w="1412" w:type="dxa"/>
            <w:shd w:val="clear" w:color="auto" w:fill="auto"/>
            <w:vAlign w:val="center"/>
          </w:tcPr>
          <w:p>
            <w:pPr>
              <w:pStyle w:val="103"/>
            </w:pPr>
            <w:r>
              <w:t>高新兴</w:t>
            </w:r>
          </w:p>
        </w:tc>
        <w:tc>
          <w:tcPr>
            <w:tcW w:w="2552" w:type="dxa"/>
            <w:shd w:val="clear" w:color="auto" w:fill="auto"/>
            <w:vAlign w:val="center"/>
          </w:tcPr>
          <w:p>
            <w:pPr>
              <w:pStyle w:val="103"/>
            </w:pPr>
            <w:r>
              <w:t>GXX-BGD-1211</w:t>
            </w:r>
          </w:p>
        </w:tc>
        <w:tc>
          <w:tcPr>
            <w:tcW w:w="764" w:type="dxa"/>
            <w:shd w:val="clear" w:color="auto" w:fill="auto"/>
            <w:vAlign w:val="center"/>
          </w:tcPr>
          <w:p>
            <w:pPr>
              <w:pStyle w:val="103"/>
            </w:pPr>
            <w:r>
              <w:t>170</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96" w:type="dxa"/>
            <w:shd w:val="clear" w:color="auto" w:fill="auto"/>
            <w:vAlign w:val="center"/>
          </w:tcPr>
          <w:p>
            <w:pPr>
              <w:pStyle w:val="103"/>
            </w:pPr>
            <w:r>
              <w:t>16</w:t>
            </w:r>
          </w:p>
        </w:tc>
        <w:tc>
          <w:tcPr>
            <w:tcW w:w="2618" w:type="dxa"/>
            <w:shd w:val="clear" w:color="auto" w:fill="auto"/>
            <w:vAlign w:val="center"/>
          </w:tcPr>
          <w:p>
            <w:pPr>
              <w:pStyle w:val="103"/>
            </w:pPr>
            <w:r>
              <w:t>终端服务器</w:t>
            </w:r>
          </w:p>
        </w:tc>
        <w:tc>
          <w:tcPr>
            <w:tcW w:w="1412" w:type="dxa"/>
            <w:shd w:val="clear" w:color="auto" w:fill="auto"/>
            <w:vAlign w:val="center"/>
          </w:tcPr>
          <w:p>
            <w:pPr>
              <w:pStyle w:val="103"/>
            </w:pPr>
            <w:r>
              <w:t>宇视</w:t>
            </w:r>
          </w:p>
        </w:tc>
        <w:tc>
          <w:tcPr>
            <w:tcW w:w="2552" w:type="dxa"/>
            <w:shd w:val="clear" w:color="auto" w:fill="auto"/>
            <w:vAlign w:val="center"/>
          </w:tcPr>
          <w:p>
            <w:pPr>
              <w:pStyle w:val="103"/>
            </w:pPr>
            <w:r>
              <w:t>VS-ISC2500-SCT-E-UV</w:t>
            </w:r>
          </w:p>
        </w:tc>
        <w:tc>
          <w:tcPr>
            <w:tcW w:w="764" w:type="dxa"/>
            <w:shd w:val="clear" w:color="auto" w:fill="auto"/>
            <w:vAlign w:val="center"/>
          </w:tcPr>
          <w:p>
            <w:pPr>
              <w:pStyle w:val="103"/>
            </w:pPr>
            <w:r>
              <w:t>14</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17</w:t>
            </w:r>
          </w:p>
        </w:tc>
        <w:tc>
          <w:tcPr>
            <w:tcW w:w="6582" w:type="dxa"/>
            <w:gridSpan w:val="3"/>
            <w:shd w:val="clear" w:color="auto" w:fill="auto"/>
            <w:vAlign w:val="center"/>
          </w:tcPr>
          <w:p>
            <w:pPr>
              <w:pStyle w:val="103"/>
            </w:pPr>
            <w:r>
              <w:t>小计</w:t>
            </w:r>
          </w:p>
        </w:tc>
        <w:tc>
          <w:tcPr>
            <w:tcW w:w="764" w:type="dxa"/>
            <w:shd w:val="clear" w:color="auto" w:fill="auto"/>
            <w:vAlign w:val="center"/>
          </w:tcPr>
          <w:p>
            <w:pPr>
              <w:pStyle w:val="103"/>
            </w:pPr>
            <w:r>
              <w:t>312</w:t>
            </w:r>
          </w:p>
        </w:tc>
        <w:tc>
          <w:tcPr>
            <w:tcW w:w="512" w:type="dxa"/>
            <w:shd w:val="clear" w:color="auto" w:fill="auto"/>
            <w:vAlign w:val="center"/>
          </w:tcPr>
          <w:p>
            <w:pPr>
              <w:pStyle w:val="103"/>
            </w:pPr>
            <w:r>
              <w:t>　</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9072" w:type="dxa"/>
            <w:gridSpan w:val="7"/>
            <w:shd w:val="clear" w:color="auto" w:fill="auto"/>
            <w:vAlign w:val="center"/>
          </w:tcPr>
          <w:p>
            <w:pPr>
              <w:pStyle w:val="103"/>
            </w:pPr>
            <w:r>
              <w:t>8、治安监控系统工程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96" w:type="dxa"/>
            <w:shd w:val="clear" w:color="auto" w:fill="auto"/>
            <w:vAlign w:val="center"/>
          </w:tcPr>
          <w:p>
            <w:pPr>
              <w:pStyle w:val="103"/>
            </w:pPr>
            <w:r>
              <w:t>18</w:t>
            </w:r>
          </w:p>
        </w:tc>
        <w:tc>
          <w:tcPr>
            <w:tcW w:w="2618" w:type="dxa"/>
            <w:shd w:val="clear" w:color="auto" w:fill="auto"/>
            <w:vAlign w:val="center"/>
          </w:tcPr>
          <w:p>
            <w:pPr>
              <w:pStyle w:val="103"/>
            </w:pPr>
            <w:r>
              <w:t>高清红外球型摄像机</w:t>
            </w:r>
          </w:p>
        </w:tc>
        <w:tc>
          <w:tcPr>
            <w:tcW w:w="1412" w:type="dxa"/>
            <w:shd w:val="clear" w:color="auto" w:fill="auto"/>
            <w:vAlign w:val="center"/>
          </w:tcPr>
          <w:p>
            <w:pPr>
              <w:pStyle w:val="103"/>
            </w:pPr>
            <w:r>
              <w:t>宇视</w:t>
            </w:r>
          </w:p>
        </w:tc>
        <w:tc>
          <w:tcPr>
            <w:tcW w:w="2552" w:type="dxa"/>
            <w:shd w:val="clear" w:color="auto" w:fill="auto"/>
            <w:vAlign w:val="center"/>
          </w:tcPr>
          <w:p>
            <w:pPr>
              <w:pStyle w:val="103"/>
            </w:pPr>
            <w:r>
              <w:t>IPC-HIC6622HX22-5CIR-UV</w:t>
            </w:r>
          </w:p>
        </w:tc>
        <w:tc>
          <w:tcPr>
            <w:tcW w:w="764" w:type="dxa"/>
            <w:shd w:val="clear" w:color="auto" w:fill="auto"/>
            <w:vAlign w:val="center"/>
          </w:tcPr>
          <w:p>
            <w:pPr>
              <w:pStyle w:val="103"/>
            </w:pPr>
            <w:r>
              <w:t>150</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96" w:type="dxa"/>
            <w:shd w:val="clear" w:color="auto" w:fill="auto"/>
            <w:vAlign w:val="center"/>
          </w:tcPr>
          <w:p>
            <w:pPr>
              <w:pStyle w:val="103"/>
            </w:pPr>
            <w:r>
              <w:t>19</w:t>
            </w:r>
          </w:p>
        </w:tc>
        <w:tc>
          <w:tcPr>
            <w:tcW w:w="2618" w:type="dxa"/>
            <w:shd w:val="clear" w:color="auto" w:fill="auto"/>
            <w:vAlign w:val="center"/>
          </w:tcPr>
          <w:p>
            <w:pPr>
              <w:pStyle w:val="103"/>
            </w:pPr>
            <w:r>
              <w:t>高清红外一体枪型摄像机</w:t>
            </w:r>
          </w:p>
        </w:tc>
        <w:tc>
          <w:tcPr>
            <w:tcW w:w="1412" w:type="dxa"/>
            <w:shd w:val="clear" w:color="auto" w:fill="auto"/>
            <w:vAlign w:val="center"/>
          </w:tcPr>
          <w:p>
            <w:pPr>
              <w:pStyle w:val="103"/>
            </w:pPr>
            <w:r>
              <w:t>宇视</w:t>
            </w:r>
          </w:p>
        </w:tc>
        <w:tc>
          <w:tcPr>
            <w:tcW w:w="2552" w:type="dxa"/>
            <w:shd w:val="clear" w:color="auto" w:fill="auto"/>
            <w:vAlign w:val="center"/>
          </w:tcPr>
          <w:p>
            <w:pPr>
              <w:pStyle w:val="103"/>
            </w:pPr>
            <w:r>
              <w:t>IPC-HIC5621E-LUV</w:t>
            </w:r>
          </w:p>
        </w:tc>
        <w:tc>
          <w:tcPr>
            <w:tcW w:w="764" w:type="dxa"/>
            <w:shd w:val="clear" w:color="auto" w:fill="auto"/>
            <w:vAlign w:val="center"/>
          </w:tcPr>
          <w:p>
            <w:pPr>
              <w:pStyle w:val="103"/>
            </w:pPr>
            <w:r>
              <w:t>300</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20</w:t>
            </w:r>
          </w:p>
        </w:tc>
        <w:tc>
          <w:tcPr>
            <w:tcW w:w="2618" w:type="dxa"/>
            <w:shd w:val="clear" w:color="auto" w:fill="auto"/>
            <w:vAlign w:val="center"/>
          </w:tcPr>
          <w:p>
            <w:pPr>
              <w:pStyle w:val="103"/>
            </w:pPr>
            <w:r>
              <w:t>球机壁装支架</w:t>
            </w:r>
          </w:p>
        </w:tc>
        <w:tc>
          <w:tcPr>
            <w:tcW w:w="1412" w:type="dxa"/>
            <w:shd w:val="clear" w:color="auto" w:fill="auto"/>
            <w:vAlign w:val="center"/>
          </w:tcPr>
          <w:p>
            <w:pPr>
              <w:pStyle w:val="103"/>
            </w:pPr>
            <w:r>
              <w:t>宇视</w:t>
            </w:r>
          </w:p>
        </w:tc>
        <w:tc>
          <w:tcPr>
            <w:tcW w:w="2552" w:type="dxa"/>
            <w:shd w:val="clear" w:color="auto" w:fill="auto"/>
            <w:vAlign w:val="center"/>
          </w:tcPr>
          <w:p>
            <w:pPr>
              <w:pStyle w:val="103"/>
            </w:pPr>
            <w:r>
              <w:t>AE-TR-WE45</w:t>
            </w:r>
          </w:p>
        </w:tc>
        <w:tc>
          <w:tcPr>
            <w:tcW w:w="764" w:type="dxa"/>
            <w:shd w:val="clear" w:color="auto" w:fill="auto"/>
            <w:vAlign w:val="center"/>
          </w:tcPr>
          <w:p>
            <w:pPr>
              <w:pStyle w:val="103"/>
            </w:pPr>
            <w:r>
              <w:t>150</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96" w:type="dxa"/>
            <w:shd w:val="clear" w:color="auto" w:fill="auto"/>
            <w:vAlign w:val="center"/>
          </w:tcPr>
          <w:p>
            <w:pPr>
              <w:pStyle w:val="103"/>
            </w:pPr>
            <w:r>
              <w:t>21</w:t>
            </w:r>
          </w:p>
        </w:tc>
        <w:tc>
          <w:tcPr>
            <w:tcW w:w="2618" w:type="dxa"/>
            <w:shd w:val="clear" w:color="auto" w:fill="auto"/>
            <w:vAlign w:val="center"/>
          </w:tcPr>
          <w:p>
            <w:pPr>
              <w:pStyle w:val="103"/>
            </w:pPr>
            <w:r>
              <w:t>镜头</w:t>
            </w:r>
          </w:p>
        </w:tc>
        <w:tc>
          <w:tcPr>
            <w:tcW w:w="1412" w:type="dxa"/>
            <w:shd w:val="clear" w:color="auto" w:fill="auto"/>
            <w:vAlign w:val="center"/>
          </w:tcPr>
          <w:p>
            <w:pPr>
              <w:pStyle w:val="103"/>
            </w:pPr>
            <w:r>
              <w:t>福特科</w:t>
            </w:r>
          </w:p>
        </w:tc>
        <w:tc>
          <w:tcPr>
            <w:tcW w:w="2552" w:type="dxa"/>
            <w:shd w:val="clear" w:color="auto" w:fill="auto"/>
            <w:vAlign w:val="center"/>
          </w:tcPr>
          <w:p>
            <w:pPr>
              <w:pStyle w:val="103"/>
            </w:pPr>
            <w:r>
              <w:t>M16(8MP)-1F12-F1L,16mm,1'.28MP</w:t>
            </w:r>
          </w:p>
        </w:tc>
        <w:tc>
          <w:tcPr>
            <w:tcW w:w="764" w:type="dxa"/>
            <w:shd w:val="clear" w:color="auto" w:fill="auto"/>
            <w:vAlign w:val="center"/>
          </w:tcPr>
          <w:p>
            <w:pPr>
              <w:pStyle w:val="103"/>
            </w:pPr>
            <w:r>
              <w:t>300</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　</w:t>
            </w:r>
          </w:p>
        </w:tc>
        <w:tc>
          <w:tcPr>
            <w:tcW w:w="2618" w:type="dxa"/>
            <w:shd w:val="clear" w:color="auto" w:fill="auto"/>
            <w:vAlign w:val="center"/>
          </w:tcPr>
          <w:p>
            <w:pPr>
              <w:pStyle w:val="103"/>
            </w:pPr>
            <w:r>
              <w:t>人脸抓拍</w:t>
            </w:r>
          </w:p>
        </w:tc>
        <w:tc>
          <w:tcPr>
            <w:tcW w:w="1412" w:type="dxa"/>
            <w:shd w:val="clear" w:color="auto" w:fill="auto"/>
            <w:vAlign w:val="center"/>
          </w:tcPr>
          <w:p>
            <w:pPr>
              <w:pStyle w:val="103"/>
            </w:pPr>
            <w:r>
              <w:t>宇视</w:t>
            </w:r>
          </w:p>
        </w:tc>
        <w:tc>
          <w:tcPr>
            <w:tcW w:w="2552" w:type="dxa"/>
            <w:shd w:val="clear" w:color="auto" w:fill="auto"/>
            <w:vAlign w:val="center"/>
          </w:tcPr>
          <w:p>
            <w:pPr>
              <w:pStyle w:val="103"/>
            </w:pPr>
            <w:r>
              <w:t>　</w:t>
            </w:r>
          </w:p>
        </w:tc>
        <w:tc>
          <w:tcPr>
            <w:tcW w:w="764" w:type="dxa"/>
            <w:shd w:val="clear" w:color="auto" w:fill="auto"/>
            <w:vAlign w:val="center"/>
          </w:tcPr>
          <w:p>
            <w:pPr>
              <w:pStyle w:val="103"/>
            </w:pPr>
            <w:r>
              <w:t>3</w:t>
            </w:r>
          </w:p>
        </w:tc>
        <w:tc>
          <w:tcPr>
            <w:tcW w:w="512" w:type="dxa"/>
            <w:shd w:val="clear" w:color="auto" w:fill="auto"/>
            <w:vAlign w:val="center"/>
          </w:tcPr>
          <w:p>
            <w:pPr>
              <w:pStyle w:val="103"/>
            </w:pPr>
            <w:r>
              <w:t>套</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22</w:t>
            </w:r>
          </w:p>
        </w:tc>
        <w:tc>
          <w:tcPr>
            <w:tcW w:w="6582" w:type="dxa"/>
            <w:gridSpan w:val="3"/>
            <w:shd w:val="clear" w:color="auto" w:fill="auto"/>
            <w:vAlign w:val="center"/>
          </w:tcPr>
          <w:p>
            <w:pPr>
              <w:pStyle w:val="103"/>
            </w:pPr>
            <w:r>
              <w:t>小计</w:t>
            </w:r>
          </w:p>
        </w:tc>
        <w:tc>
          <w:tcPr>
            <w:tcW w:w="764" w:type="dxa"/>
            <w:shd w:val="clear" w:color="auto" w:fill="auto"/>
            <w:vAlign w:val="center"/>
          </w:tcPr>
          <w:p>
            <w:pPr>
              <w:pStyle w:val="103"/>
            </w:pPr>
            <w:r>
              <w:t>903</w:t>
            </w:r>
          </w:p>
        </w:tc>
        <w:tc>
          <w:tcPr>
            <w:tcW w:w="512" w:type="dxa"/>
            <w:shd w:val="clear" w:color="auto" w:fill="auto"/>
            <w:vAlign w:val="center"/>
          </w:tcPr>
          <w:p>
            <w:pPr>
              <w:pStyle w:val="103"/>
            </w:pPr>
            <w:r>
              <w:t>　</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9072" w:type="dxa"/>
            <w:gridSpan w:val="7"/>
            <w:shd w:val="clear" w:color="auto" w:fill="auto"/>
            <w:vAlign w:val="center"/>
          </w:tcPr>
          <w:p>
            <w:pPr>
              <w:pStyle w:val="103"/>
            </w:pPr>
            <w:r>
              <w:t>9、重型制高点监控摄像机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96" w:type="dxa"/>
            <w:shd w:val="clear" w:color="auto" w:fill="auto"/>
            <w:vAlign w:val="center"/>
          </w:tcPr>
          <w:p>
            <w:pPr>
              <w:pStyle w:val="103"/>
            </w:pPr>
            <w:r>
              <w:t>23</w:t>
            </w:r>
          </w:p>
        </w:tc>
        <w:tc>
          <w:tcPr>
            <w:tcW w:w="2618" w:type="dxa"/>
            <w:shd w:val="clear" w:color="auto" w:fill="auto"/>
            <w:vAlign w:val="center"/>
          </w:tcPr>
          <w:p>
            <w:pPr>
              <w:pStyle w:val="103"/>
            </w:pPr>
            <w:r>
              <w:t>高清激光一体化摄像机</w:t>
            </w:r>
          </w:p>
        </w:tc>
        <w:tc>
          <w:tcPr>
            <w:tcW w:w="1412" w:type="dxa"/>
            <w:shd w:val="clear" w:color="auto" w:fill="auto"/>
            <w:vAlign w:val="center"/>
          </w:tcPr>
          <w:p>
            <w:pPr>
              <w:pStyle w:val="103"/>
            </w:pPr>
            <w:r>
              <w:t>天地伟业</w:t>
            </w:r>
          </w:p>
        </w:tc>
        <w:tc>
          <w:tcPr>
            <w:tcW w:w="2552" w:type="dxa"/>
            <w:shd w:val="clear" w:color="auto" w:fill="auto"/>
            <w:vAlign w:val="center"/>
          </w:tcPr>
          <w:p>
            <w:pPr>
              <w:pStyle w:val="103"/>
            </w:pPr>
            <w:r>
              <w:t>TC-LS10000S6-2MP</w:t>
            </w:r>
          </w:p>
        </w:tc>
        <w:tc>
          <w:tcPr>
            <w:tcW w:w="764" w:type="dxa"/>
            <w:shd w:val="clear" w:color="auto" w:fill="auto"/>
            <w:vAlign w:val="center"/>
          </w:tcPr>
          <w:p>
            <w:pPr>
              <w:pStyle w:val="103"/>
            </w:pPr>
            <w:r>
              <w:t>1</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24</w:t>
            </w:r>
          </w:p>
        </w:tc>
        <w:tc>
          <w:tcPr>
            <w:tcW w:w="2618" w:type="dxa"/>
            <w:shd w:val="clear" w:color="auto" w:fill="auto"/>
            <w:vAlign w:val="center"/>
          </w:tcPr>
          <w:p>
            <w:pPr>
              <w:pStyle w:val="103"/>
            </w:pPr>
            <w:r>
              <w:t>增强现实球机</w:t>
            </w:r>
          </w:p>
        </w:tc>
        <w:tc>
          <w:tcPr>
            <w:tcW w:w="1412" w:type="dxa"/>
            <w:shd w:val="clear" w:color="auto" w:fill="auto"/>
            <w:vAlign w:val="center"/>
          </w:tcPr>
          <w:p>
            <w:pPr>
              <w:pStyle w:val="103"/>
            </w:pPr>
            <w:r>
              <w:t>高新兴</w:t>
            </w:r>
          </w:p>
        </w:tc>
        <w:tc>
          <w:tcPr>
            <w:tcW w:w="2552" w:type="dxa"/>
            <w:shd w:val="clear" w:color="auto" w:fill="auto"/>
            <w:vAlign w:val="center"/>
          </w:tcPr>
          <w:p>
            <w:pPr>
              <w:pStyle w:val="103"/>
            </w:pPr>
            <w:r>
              <w:t>GXX-ISP2215FSKA-BR</w:t>
            </w:r>
          </w:p>
        </w:tc>
        <w:tc>
          <w:tcPr>
            <w:tcW w:w="764" w:type="dxa"/>
            <w:shd w:val="clear" w:color="auto" w:fill="auto"/>
            <w:vAlign w:val="center"/>
          </w:tcPr>
          <w:p>
            <w:pPr>
              <w:pStyle w:val="103"/>
            </w:pPr>
            <w:r>
              <w:t>10</w:t>
            </w:r>
          </w:p>
        </w:tc>
        <w:tc>
          <w:tcPr>
            <w:tcW w:w="512" w:type="dxa"/>
            <w:shd w:val="clear" w:color="auto" w:fill="auto"/>
            <w:vAlign w:val="center"/>
          </w:tcPr>
          <w:p>
            <w:pPr>
              <w:pStyle w:val="103"/>
            </w:pPr>
            <w:r>
              <w:t>台</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25</w:t>
            </w:r>
          </w:p>
        </w:tc>
        <w:tc>
          <w:tcPr>
            <w:tcW w:w="2618" w:type="dxa"/>
            <w:shd w:val="clear" w:color="auto" w:fill="auto"/>
            <w:vAlign w:val="center"/>
          </w:tcPr>
          <w:p>
            <w:pPr>
              <w:pStyle w:val="103"/>
            </w:pPr>
            <w:r>
              <w:t>三维地图系统</w:t>
            </w:r>
          </w:p>
        </w:tc>
        <w:tc>
          <w:tcPr>
            <w:tcW w:w="1412" w:type="dxa"/>
            <w:shd w:val="clear" w:color="auto" w:fill="auto"/>
            <w:vAlign w:val="center"/>
          </w:tcPr>
          <w:p>
            <w:pPr>
              <w:pStyle w:val="103"/>
            </w:pPr>
            <w:r>
              <w:t>杭州志远</w:t>
            </w:r>
          </w:p>
        </w:tc>
        <w:tc>
          <w:tcPr>
            <w:tcW w:w="2552" w:type="dxa"/>
            <w:shd w:val="clear" w:color="auto" w:fill="auto"/>
            <w:vAlign w:val="center"/>
          </w:tcPr>
          <w:p>
            <w:pPr>
              <w:pStyle w:val="103"/>
            </w:pPr>
            <w:r>
              <w:t>　</w:t>
            </w:r>
          </w:p>
        </w:tc>
        <w:tc>
          <w:tcPr>
            <w:tcW w:w="764" w:type="dxa"/>
            <w:shd w:val="clear" w:color="auto" w:fill="auto"/>
            <w:vAlign w:val="center"/>
          </w:tcPr>
          <w:p>
            <w:pPr>
              <w:pStyle w:val="103"/>
            </w:pPr>
            <w:r>
              <w:t>1</w:t>
            </w:r>
          </w:p>
        </w:tc>
        <w:tc>
          <w:tcPr>
            <w:tcW w:w="512" w:type="dxa"/>
            <w:shd w:val="clear" w:color="auto" w:fill="auto"/>
            <w:vAlign w:val="center"/>
          </w:tcPr>
          <w:p>
            <w:pPr>
              <w:pStyle w:val="103"/>
            </w:pPr>
            <w:r>
              <w:t>套</w:t>
            </w:r>
          </w:p>
        </w:tc>
        <w:tc>
          <w:tcPr>
            <w:tcW w:w="718" w:type="dxa"/>
            <w:shd w:val="clear" w:color="auto" w:fill="auto"/>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26</w:t>
            </w:r>
          </w:p>
        </w:tc>
        <w:tc>
          <w:tcPr>
            <w:tcW w:w="2618" w:type="dxa"/>
            <w:shd w:val="clear" w:color="auto" w:fill="auto"/>
            <w:vAlign w:val="center"/>
          </w:tcPr>
          <w:p>
            <w:pPr>
              <w:pStyle w:val="103"/>
            </w:pPr>
            <w:r>
              <w:t>补光灯</w:t>
            </w:r>
          </w:p>
        </w:tc>
        <w:tc>
          <w:tcPr>
            <w:tcW w:w="1412" w:type="dxa"/>
            <w:shd w:val="clear" w:color="auto" w:fill="auto"/>
            <w:vAlign w:val="center"/>
          </w:tcPr>
          <w:p>
            <w:pPr>
              <w:pStyle w:val="103"/>
            </w:pPr>
            <w:r>
              <w:t>莱特司</w:t>
            </w:r>
          </w:p>
        </w:tc>
        <w:tc>
          <w:tcPr>
            <w:tcW w:w="2552" w:type="dxa"/>
            <w:shd w:val="clear" w:color="auto" w:fill="auto"/>
            <w:vAlign w:val="center"/>
          </w:tcPr>
          <w:p>
            <w:pPr>
              <w:pStyle w:val="103"/>
            </w:pPr>
            <w:r>
              <w:t>AFBG-2</w:t>
            </w:r>
          </w:p>
        </w:tc>
        <w:tc>
          <w:tcPr>
            <w:tcW w:w="764" w:type="dxa"/>
            <w:shd w:val="clear" w:color="auto" w:fill="auto"/>
            <w:vAlign w:val="center"/>
          </w:tcPr>
          <w:p>
            <w:pPr>
              <w:pStyle w:val="103"/>
            </w:pPr>
            <w:r>
              <w:t>200</w:t>
            </w:r>
          </w:p>
        </w:tc>
        <w:tc>
          <w:tcPr>
            <w:tcW w:w="512" w:type="dxa"/>
            <w:shd w:val="clear" w:color="auto" w:fill="auto"/>
            <w:vAlign w:val="center"/>
          </w:tcPr>
          <w:p>
            <w:pPr>
              <w:pStyle w:val="103"/>
            </w:pPr>
            <w:r>
              <w:t>台</w:t>
            </w:r>
          </w:p>
        </w:tc>
        <w:tc>
          <w:tcPr>
            <w:tcW w:w="718" w:type="dxa"/>
            <w:shd w:val="clear" w:color="auto" w:fill="auto"/>
            <w:noWrap/>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27</w:t>
            </w:r>
          </w:p>
        </w:tc>
        <w:tc>
          <w:tcPr>
            <w:tcW w:w="6582" w:type="dxa"/>
            <w:gridSpan w:val="3"/>
            <w:shd w:val="clear" w:color="auto" w:fill="auto"/>
            <w:vAlign w:val="center"/>
          </w:tcPr>
          <w:p>
            <w:pPr>
              <w:pStyle w:val="103"/>
            </w:pPr>
            <w:r>
              <w:t>小计</w:t>
            </w:r>
          </w:p>
        </w:tc>
        <w:tc>
          <w:tcPr>
            <w:tcW w:w="764" w:type="dxa"/>
            <w:shd w:val="clear" w:color="auto" w:fill="auto"/>
            <w:vAlign w:val="center"/>
          </w:tcPr>
          <w:p>
            <w:pPr>
              <w:pStyle w:val="103"/>
            </w:pPr>
            <w:r>
              <w:t>212</w:t>
            </w:r>
          </w:p>
        </w:tc>
        <w:tc>
          <w:tcPr>
            <w:tcW w:w="512" w:type="dxa"/>
            <w:shd w:val="clear" w:color="auto" w:fill="auto"/>
            <w:vAlign w:val="center"/>
          </w:tcPr>
          <w:p>
            <w:pPr>
              <w:pStyle w:val="103"/>
            </w:pPr>
            <w:r>
              <w:t>　</w:t>
            </w:r>
          </w:p>
        </w:tc>
        <w:tc>
          <w:tcPr>
            <w:tcW w:w="718" w:type="dxa"/>
            <w:shd w:val="clear" w:color="auto" w:fill="auto"/>
            <w:noWrap/>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9072" w:type="dxa"/>
            <w:gridSpan w:val="7"/>
            <w:shd w:val="clear" w:color="auto" w:fill="auto"/>
            <w:vAlign w:val="center"/>
          </w:tcPr>
          <w:p>
            <w:pPr>
              <w:pStyle w:val="103"/>
            </w:pPr>
            <w:r>
              <w:t>10、视频存储系统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31</w:t>
            </w:r>
          </w:p>
        </w:tc>
        <w:tc>
          <w:tcPr>
            <w:tcW w:w="2618" w:type="dxa"/>
            <w:shd w:val="clear" w:color="auto" w:fill="auto"/>
            <w:vAlign w:val="center"/>
          </w:tcPr>
          <w:p>
            <w:pPr>
              <w:pStyle w:val="103"/>
            </w:pPr>
            <w:r>
              <w:t>磁盘阵列</w:t>
            </w:r>
          </w:p>
        </w:tc>
        <w:tc>
          <w:tcPr>
            <w:tcW w:w="1412" w:type="dxa"/>
            <w:shd w:val="clear" w:color="auto" w:fill="auto"/>
            <w:vAlign w:val="center"/>
          </w:tcPr>
          <w:p>
            <w:pPr>
              <w:pStyle w:val="103"/>
            </w:pPr>
            <w:r>
              <w:t>海康</w:t>
            </w:r>
          </w:p>
        </w:tc>
        <w:tc>
          <w:tcPr>
            <w:tcW w:w="2552" w:type="dxa"/>
            <w:shd w:val="clear" w:color="auto" w:fill="auto"/>
            <w:vAlign w:val="center"/>
          </w:tcPr>
          <w:p>
            <w:pPr>
              <w:pStyle w:val="103"/>
            </w:pPr>
            <w:r>
              <w:t>DS-A72072R</w:t>
            </w:r>
          </w:p>
        </w:tc>
        <w:tc>
          <w:tcPr>
            <w:tcW w:w="764" w:type="dxa"/>
            <w:shd w:val="clear" w:color="auto" w:fill="auto"/>
            <w:vAlign w:val="center"/>
          </w:tcPr>
          <w:p>
            <w:pPr>
              <w:pStyle w:val="103"/>
            </w:pPr>
            <w:r>
              <w:t>4</w:t>
            </w:r>
          </w:p>
        </w:tc>
        <w:tc>
          <w:tcPr>
            <w:tcW w:w="512" w:type="dxa"/>
            <w:shd w:val="clear" w:color="auto" w:fill="auto"/>
            <w:vAlign w:val="center"/>
          </w:tcPr>
          <w:p>
            <w:pPr>
              <w:pStyle w:val="103"/>
            </w:pPr>
            <w:r>
              <w:t>套</w:t>
            </w:r>
          </w:p>
        </w:tc>
        <w:tc>
          <w:tcPr>
            <w:tcW w:w="718" w:type="dxa"/>
            <w:shd w:val="clear" w:color="auto" w:fill="auto"/>
            <w:noWrap/>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32</w:t>
            </w:r>
          </w:p>
        </w:tc>
        <w:tc>
          <w:tcPr>
            <w:tcW w:w="2618" w:type="dxa"/>
            <w:shd w:val="clear" w:color="auto" w:fill="auto"/>
            <w:vAlign w:val="center"/>
          </w:tcPr>
          <w:p>
            <w:pPr>
              <w:pStyle w:val="103"/>
            </w:pPr>
            <w:r>
              <w:t>硬盘</w:t>
            </w:r>
          </w:p>
        </w:tc>
        <w:tc>
          <w:tcPr>
            <w:tcW w:w="1412" w:type="dxa"/>
            <w:shd w:val="clear" w:color="auto" w:fill="auto"/>
            <w:vAlign w:val="center"/>
          </w:tcPr>
          <w:p>
            <w:pPr>
              <w:pStyle w:val="103"/>
            </w:pPr>
            <w:r>
              <w:t>希捷</w:t>
            </w:r>
          </w:p>
        </w:tc>
        <w:tc>
          <w:tcPr>
            <w:tcW w:w="2552" w:type="dxa"/>
            <w:shd w:val="clear" w:color="auto" w:fill="auto"/>
            <w:vAlign w:val="center"/>
          </w:tcPr>
          <w:p>
            <w:pPr>
              <w:pStyle w:val="103"/>
            </w:pPr>
            <w:r>
              <w:t>4T</w:t>
            </w:r>
          </w:p>
        </w:tc>
        <w:tc>
          <w:tcPr>
            <w:tcW w:w="764" w:type="dxa"/>
            <w:shd w:val="clear" w:color="auto" w:fill="auto"/>
            <w:vAlign w:val="center"/>
          </w:tcPr>
          <w:p>
            <w:pPr>
              <w:pStyle w:val="103"/>
            </w:pPr>
            <w:r>
              <w:t>200</w:t>
            </w:r>
          </w:p>
        </w:tc>
        <w:tc>
          <w:tcPr>
            <w:tcW w:w="512" w:type="dxa"/>
            <w:shd w:val="clear" w:color="auto" w:fill="auto"/>
            <w:vAlign w:val="center"/>
          </w:tcPr>
          <w:p>
            <w:pPr>
              <w:pStyle w:val="103"/>
            </w:pPr>
            <w:r>
              <w:t>块</w:t>
            </w:r>
          </w:p>
        </w:tc>
        <w:tc>
          <w:tcPr>
            <w:tcW w:w="718" w:type="dxa"/>
            <w:shd w:val="clear" w:color="auto" w:fill="auto"/>
            <w:noWrap/>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33</w:t>
            </w:r>
          </w:p>
        </w:tc>
        <w:tc>
          <w:tcPr>
            <w:tcW w:w="6582" w:type="dxa"/>
            <w:gridSpan w:val="3"/>
            <w:shd w:val="clear" w:color="auto" w:fill="auto"/>
            <w:vAlign w:val="center"/>
          </w:tcPr>
          <w:p>
            <w:pPr>
              <w:pStyle w:val="103"/>
            </w:pPr>
            <w:r>
              <w:t>小计</w:t>
            </w:r>
          </w:p>
        </w:tc>
        <w:tc>
          <w:tcPr>
            <w:tcW w:w="764" w:type="dxa"/>
            <w:shd w:val="clear" w:color="auto" w:fill="auto"/>
            <w:vAlign w:val="center"/>
          </w:tcPr>
          <w:p>
            <w:pPr>
              <w:pStyle w:val="103"/>
            </w:pPr>
            <w:r>
              <w:t>204</w:t>
            </w:r>
          </w:p>
        </w:tc>
        <w:tc>
          <w:tcPr>
            <w:tcW w:w="512" w:type="dxa"/>
            <w:shd w:val="clear" w:color="auto" w:fill="auto"/>
            <w:vAlign w:val="center"/>
          </w:tcPr>
          <w:p>
            <w:pPr>
              <w:pStyle w:val="103"/>
            </w:pPr>
            <w:r>
              <w:t>　</w:t>
            </w:r>
          </w:p>
        </w:tc>
        <w:tc>
          <w:tcPr>
            <w:tcW w:w="718" w:type="dxa"/>
            <w:shd w:val="clear" w:color="auto" w:fill="auto"/>
            <w:noWrap/>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9072" w:type="dxa"/>
            <w:gridSpan w:val="7"/>
            <w:shd w:val="clear" w:color="auto" w:fill="auto"/>
            <w:vAlign w:val="center"/>
          </w:tcPr>
          <w:p>
            <w:pPr>
              <w:pStyle w:val="103"/>
            </w:pPr>
            <w:r>
              <w:t>11、无线传输设备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34</w:t>
            </w:r>
          </w:p>
        </w:tc>
        <w:tc>
          <w:tcPr>
            <w:tcW w:w="2618" w:type="dxa"/>
            <w:shd w:val="clear" w:color="auto" w:fill="auto"/>
            <w:vAlign w:val="center"/>
          </w:tcPr>
          <w:p>
            <w:pPr>
              <w:pStyle w:val="103"/>
            </w:pPr>
            <w:r>
              <w:t>4G专网基站</w:t>
            </w:r>
          </w:p>
        </w:tc>
        <w:tc>
          <w:tcPr>
            <w:tcW w:w="1412" w:type="dxa"/>
            <w:shd w:val="clear" w:color="auto" w:fill="auto"/>
            <w:vAlign w:val="center"/>
          </w:tcPr>
          <w:p>
            <w:pPr>
              <w:pStyle w:val="103"/>
            </w:pPr>
            <w:r>
              <w:t>华为</w:t>
            </w:r>
          </w:p>
        </w:tc>
        <w:tc>
          <w:tcPr>
            <w:tcW w:w="2552" w:type="dxa"/>
            <w:shd w:val="clear" w:color="auto" w:fill="auto"/>
            <w:vAlign w:val="center"/>
          </w:tcPr>
          <w:p>
            <w:pPr>
              <w:pStyle w:val="103"/>
            </w:pPr>
            <w:r>
              <w:t>DBS3900</w:t>
            </w:r>
          </w:p>
        </w:tc>
        <w:tc>
          <w:tcPr>
            <w:tcW w:w="764" w:type="dxa"/>
            <w:shd w:val="clear" w:color="auto" w:fill="auto"/>
            <w:vAlign w:val="center"/>
          </w:tcPr>
          <w:p>
            <w:pPr>
              <w:pStyle w:val="103"/>
            </w:pPr>
            <w:r>
              <w:t>4</w:t>
            </w:r>
          </w:p>
        </w:tc>
        <w:tc>
          <w:tcPr>
            <w:tcW w:w="512" w:type="dxa"/>
            <w:shd w:val="clear" w:color="auto" w:fill="auto"/>
            <w:vAlign w:val="center"/>
          </w:tcPr>
          <w:p>
            <w:pPr>
              <w:pStyle w:val="103"/>
            </w:pPr>
            <w:r>
              <w:t>套</w:t>
            </w:r>
          </w:p>
        </w:tc>
        <w:tc>
          <w:tcPr>
            <w:tcW w:w="718" w:type="dxa"/>
            <w:shd w:val="clear" w:color="auto" w:fill="auto"/>
            <w:noWrap/>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35</w:t>
            </w:r>
          </w:p>
        </w:tc>
        <w:tc>
          <w:tcPr>
            <w:tcW w:w="2618" w:type="dxa"/>
            <w:shd w:val="clear" w:color="auto" w:fill="auto"/>
            <w:vAlign w:val="center"/>
          </w:tcPr>
          <w:p>
            <w:pPr>
              <w:pStyle w:val="103"/>
            </w:pPr>
            <w:r>
              <w:t>手持终端</w:t>
            </w:r>
          </w:p>
        </w:tc>
        <w:tc>
          <w:tcPr>
            <w:tcW w:w="1412" w:type="dxa"/>
            <w:shd w:val="clear" w:color="auto" w:fill="auto"/>
            <w:vAlign w:val="center"/>
          </w:tcPr>
          <w:p>
            <w:pPr>
              <w:pStyle w:val="103"/>
            </w:pPr>
            <w:r>
              <w:t>华为</w:t>
            </w:r>
          </w:p>
        </w:tc>
        <w:tc>
          <w:tcPr>
            <w:tcW w:w="2552" w:type="dxa"/>
            <w:shd w:val="clear" w:color="auto" w:fill="auto"/>
            <w:vAlign w:val="center"/>
          </w:tcPr>
          <w:p>
            <w:pPr>
              <w:pStyle w:val="103"/>
            </w:pPr>
            <w:r>
              <w:t>EP680V2-C71</w:t>
            </w:r>
          </w:p>
        </w:tc>
        <w:tc>
          <w:tcPr>
            <w:tcW w:w="764" w:type="dxa"/>
            <w:shd w:val="clear" w:color="auto" w:fill="auto"/>
            <w:vAlign w:val="center"/>
          </w:tcPr>
          <w:p>
            <w:pPr>
              <w:pStyle w:val="103"/>
            </w:pPr>
            <w:r>
              <w:t>3</w:t>
            </w:r>
          </w:p>
        </w:tc>
        <w:tc>
          <w:tcPr>
            <w:tcW w:w="512" w:type="dxa"/>
            <w:shd w:val="clear" w:color="auto" w:fill="auto"/>
            <w:vAlign w:val="center"/>
          </w:tcPr>
          <w:p>
            <w:pPr>
              <w:pStyle w:val="103"/>
            </w:pPr>
            <w:r>
              <w:t>套</w:t>
            </w:r>
          </w:p>
        </w:tc>
        <w:tc>
          <w:tcPr>
            <w:tcW w:w="718" w:type="dxa"/>
            <w:shd w:val="clear" w:color="auto" w:fill="auto"/>
            <w:noWrap/>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36</w:t>
            </w:r>
          </w:p>
        </w:tc>
        <w:tc>
          <w:tcPr>
            <w:tcW w:w="2618" w:type="dxa"/>
            <w:shd w:val="clear" w:color="auto" w:fill="auto"/>
            <w:vAlign w:val="center"/>
          </w:tcPr>
          <w:p>
            <w:pPr>
              <w:pStyle w:val="103"/>
            </w:pPr>
            <w:r>
              <w:t>室外CPE</w:t>
            </w:r>
          </w:p>
        </w:tc>
        <w:tc>
          <w:tcPr>
            <w:tcW w:w="1412" w:type="dxa"/>
            <w:shd w:val="clear" w:color="auto" w:fill="auto"/>
            <w:vAlign w:val="center"/>
          </w:tcPr>
          <w:p>
            <w:pPr>
              <w:pStyle w:val="103"/>
            </w:pPr>
            <w:r>
              <w:t>华为</w:t>
            </w:r>
          </w:p>
        </w:tc>
        <w:tc>
          <w:tcPr>
            <w:tcW w:w="2552" w:type="dxa"/>
            <w:shd w:val="clear" w:color="auto" w:fill="auto"/>
            <w:vAlign w:val="center"/>
          </w:tcPr>
          <w:p>
            <w:pPr>
              <w:pStyle w:val="103"/>
            </w:pPr>
            <w:r>
              <w:t>EG860-C71</w:t>
            </w:r>
          </w:p>
        </w:tc>
        <w:tc>
          <w:tcPr>
            <w:tcW w:w="764" w:type="dxa"/>
            <w:shd w:val="clear" w:color="auto" w:fill="auto"/>
            <w:vAlign w:val="center"/>
          </w:tcPr>
          <w:p>
            <w:pPr>
              <w:pStyle w:val="103"/>
            </w:pPr>
            <w:r>
              <w:t>7</w:t>
            </w:r>
          </w:p>
        </w:tc>
        <w:tc>
          <w:tcPr>
            <w:tcW w:w="512" w:type="dxa"/>
            <w:shd w:val="clear" w:color="auto" w:fill="auto"/>
            <w:vAlign w:val="center"/>
          </w:tcPr>
          <w:p>
            <w:pPr>
              <w:pStyle w:val="103"/>
            </w:pPr>
            <w:r>
              <w:t>套</w:t>
            </w:r>
          </w:p>
        </w:tc>
        <w:tc>
          <w:tcPr>
            <w:tcW w:w="718" w:type="dxa"/>
            <w:shd w:val="clear" w:color="auto" w:fill="auto"/>
            <w:noWrap/>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37</w:t>
            </w:r>
          </w:p>
        </w:tc>
        <w:tc>
          <w:tcPr>
            <w:tcW w:w="6582" w:type="dxa"/>
            <w:gridSpan w:val="3"/>
            <w:shd w:val="clear" w:color="auto" w:fill="auto"/>
            <w:vAlign w:val="center"/>
          </w:tcPr>
          <w:p>
            <w:pPr>
              <w:pStyle w:val="103"/>
            </w:pPr>
            <w:r>
              <w:t>小计</w:t>
            </w:r>
          </w:p>
        </w:tc>
        <w:tc>
          <w:tcPr>
            <w:tcW w:w="764" w:type="dxa"/>
            <w:shd w:val="clear" w:color="auto" w:fill="auto"/>
            <w:vAlign w:val="center"/>
          </w:tcPr>
          <w:p>
            <w:pPr>
              <w:pStyle w:val="103"/>
            </w:pPr>
            <w:r>
              <w:t>14</w:t>
            </w:r>
          </w:p>
        </w:tc>
        <w:tc>
          <w:tcPr>
            <w:tcW w:w="512" w:type="dxa"/>
            <w:shd w:val="clear" w:color="auto" w:fill="auto"/>
            <w:vAlign w:val="center"/>
          </w:tcPr>
          <w:p>
            <w:pPr>
              <w:pStyle w:val="103"/>
            </w:pPr>
            <w:r>
              <w:t>　</w:t>
            </w:r>
          </w:p>
        </w:tc>
        <w:tc>
          <w:tcPr>
            <w:tcW w:w="718" w:type="dxa"/>
            <w:shd w:val="clear" w:color="auto" w:fill="auto"/>
            <w:noWrap/>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9072" w:type="dxa"/>
            <w:gridSpan w:val="7"/>
            <w:shd w:val="clear" w:color="auto" w:fill="auto"/>
            <w:vAlign w:val="center"/>
          </w:tcPr>
          <w:p>
            <w:pPr>
              <w:pStyle w:val="103"/>
            </w:pPr>
            <w:r>
              <w:t>12、基础及立杆施工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38</w:t>
            </w:r>
          </w:p>
        </w:tc>
        <w:tc>
          <w:tcPr>
            <w:tcW w:w="2618" w:type="dxa"/>
            <w:shd w:val="clear" w:color="auto" w:fill="auto"/>
            <w:vAlign w:val="center"/>
          </w:tcPr>
          <w:p>
            <w:pPr>
              <w:pStyle w:val="103"/>
            </w:pPr>
            <w:r>
              <w:t>机箱</w:t>
            </w:r>
          </w:p>
        </w:tc>
        <w:tc>
          <w:tcPr>
            <w:tcW w:w="1412" w:type="dxa"/>
            <w:shd w:val="clear" w:color="auto" w:fill="auto"/>
            <w:vAlign w:val="center"/>
          </w:tcPr>
          <w:p>
            <w:pPr>
              <w:pStyle w:val="103"/>
            </w:pPr>
            <w:r>
              <w:t>国产</w:t>
            </w:r>
          </w:p>
        </w:tc>
        <w:tc>
          <w:tcPr>
            <w:tcW w:w="2552" w:type="dxa"/>
            <w:shd w:val="clear" w:color="auto" w:fill="auto"/>
            <w:vAlign w:val="center"/>
          </w:tcPr>
          <w:p>
            <w:pPr>
              <w:pStyle w:val="103"/>
            </w:pPr>
            <w:r>
              <w:t>GXX-BOX-560</w:t>
            </w:r>
          </w:p>
        </w:tc>
        <w:tc>
          <w:tcPr>
            <w:tcW w:w="764" w:type="dxa"/>
            <w:shd w:val="clear" w:color="auto" w:fill="auto"/>
            <w:vAlign w:val="center"/>
          </w:tcPr>
          <w:p>
            <w:pPr>
              <w:pStyle w:val="103"/>
            </w:pPr>
            <w:r>
              <w:t>189</w:t>
            </w:r>
          </w:p>
        </w:tc>
        <w:tc>
          <w:tcPr>
            <w:tcW w:w="512" w:type="dxa"/>
            <w:shd w:val="clear" w:color="auto" w:fill="auto"/>
            <w:vAlign w:val="center"/>
          </w:tcPr>
          <w:p>
            <w:pPr>
              <w:pStyle w:val="103"/>
            </w:pPr>
            <w:r>
              <w:t>套</w:t>
            </w:r>
          </w:p>
        </w:tc>
        <w:tc>
          <w:tcPr>
            <w:tcW w:w="718" w:type="dxa"/>
            <w:shd w:val="clear" w:color="auto" w:fill="auto"/>
            <w:noWrap/>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39</w:t>
            </w:r>
          </w:p>
        </w:tc>
        <w:tc>
          <w:tcPr>
            <w:tcW w:w="2618" w:type="dxa"/>
            <w:shd w:val="clear" w:color="auto" w:fill="auto"/>
            <w:vAlign w:val="center"/>
          </w:tcPr>
          <w:p>
            <w:pPr>
              <w:pStyle w:val="103"/>
            </w:pPr>
            <w:r>
              <w:t>二合一防雷器</w:t>
            </w:r>
          </w:p>
        </w:tc>
        <w:tc>
          <w:tcPr>
            <w:tcW w:w="1412" w:type="dxa"/>
            <w:shd w:val="clear" w:color="auto" w:fill="auto"/>
            <w:vAlign w:val="center"/>
          </w:tcPr>
          <w:p>
            <w:pPr>
              <w:pStyle w:val="103"/>
            </w:pPr>
            <w:r>
              <w:t>高新兴</w:t>
            </w:r>
          </w:p>
        </w:tc>
        <w:tc>
          <w:tcPr>
            <w:tcW w:w="2552" w:type="dxa"/>
            <w:shd w:val="clear" w:color="auto" w:fill="auto"/>
            <w:vAlign w:val="center"/>
          </w:tcPr>
          <w:p>
            <w:pPr>
              <w:pStyle w:val="103"/>
            </w:pPr>
            <w:r>
              <w:t>GXX-220/D05J4</w:t>
            </w:r>
          </w:p>
        </w:tc>
        <w:tc>
          <w:tcPr>
            <w:tcW w:w="764" w:type="dxa"/>
            <w:shd w:val="clear" w:color="auto" w:fill="auto"/>
            <w:vAlign w:val="center"/>
          </w:tcPr>
          <w:p>
            <w:pPr>
              <w:pStyle w:val="103"/>
            </w:pPr>
            <w:r>
              <w:t>189</w:t>
            </w:r>
          </w:p>
        </w:tc>
        <w:tc>
          <w:tcPr>
            <w:tcW w:w="512" w:type="dxa"/>
            <w:shd w:val="clear" w:color="auto" w:fill="auto"/>
            <w:vAlign w:val="center"/>
          </w:tcPr>
          <w:p>
            <w:pPr>
              <w:pStyle w:val="103"/>
            </w:pPr>
            <w:r>
              <w:t>个</w:t>
            </w:r>
          </w:p>
        </w:tc>
        <w:tc>
          <w:tcPr>
            <w:tcW w:w="718" w:type="dxa"/>
            <w:shd w:val="clear" w:color="auto" w:fill="auto"/>
            <w:noWrap/>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40</w:t>
            </w:r>
          </w:p>
        </w:tc>
        <w:tc>
          <w:tcPr>
            <w:tcW w:w="2618" w:type="dxa"/>
            <w:shd w:val="clear" w:color="auto" w:fill="auto"/>
            <w:vAlign w:val="center"/>
          </w:tcPr>
          <w:p>
            <w:pPr>
              <w:pStyle w:val="103"/>
            </w:pPr>
            <w:r>
              <w:t>摄像机立杆</w:t>
            </w:r>
          </w:p>
        </w:tc>
        <w:tc>
          <w:tcPr>
            <w:tcW w:w="1412" w:type="dxa"/>
            <w:shd w:val="clear" w:color="auto" w:fill="auto"/>
            <w:vAlign w:val="center"/>
          </w:tcPr>
          <w:p>
            <w:pPr>
              <w:pStyle w:val="103"/>
            </w:pPr>
            <w:r>
              <w:t>国产</w:t>
            </w:r>
          </w:p>
        </w:tc>
        <w:tc>
          <w:tcPr>
            <w:tcW w:w="2552" w:type="dxa"/>
            <w:shd w:val="clear" w:color="auto" w:fill="auto"/>
            <w:vAlign w:val="center"/>
          </w:tcPr>
          <w:p>
            <w:pPr>
              <w:pStyle w:val="103"/>
            </w:pPr>
            <w:r>
              <w:t>5米</w:t>
            </w:r>
          </w:p>
        </w:tc>
        <w:tc>
          <w:tcPr>
            <w:tcW w:w="764" w:type="dxa"/>
            <w:shd w:val="clear" w:color="auto" w:fill="auto"/>
            <w:vAlign w:val="center"/>
          </w:tcPr>
          <w:p>
            <w:pPr>
              <w:pStyle w:val="103"/>
            </w:pPr>
            <w:r>
              <w:t>189</w:t>
            </w:r>
          </w:p>
        </w:tc>
        <w:tc>
          <w:tcPr>
            <w:tcW w:w="512" w:type="dxa"/>
            <w:shd w:val="clear" w:color="auto" w:fill="auto"/>
            <w:vAlign w:val="center"/>
          </w:tcPr>
          <w:p>
            <w:pPr>
              <w:pStyle w:val="103"/>
            </w:pPr>
            <w:r>
              <w:t>套</w:t>
            </w:r>
          </w:p>
        </w:tc>
        <w:tc>
          <w:tcPr>
            <w:tcW w:w="718" w:type="dxa"/>
            <w:shd w:val="clear" w:color="auto" w:fill="auto"/>
            <w:noWrap/>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96" w:type="dxa"/>
            <w:shd w:val="clear" w:color="auto" w:fill="auto"/>
            <w:vAlign w:val="center"/>
          </w:tcPr>
          <w:p>
            <w:pPr>
              <w:pStyle w:val="103"/>
            </w:pPr>
            <w:r>
              <w:t>41</w:t>
            </w:r>
          </w:p>
        </w:tc>
        <w:tc>
          <w:tcPr>
            <w:tcW w:w="2618" w:type="dxa"/>
            <w:shd w:val="clear" w:color="auto" w:fill="auto"/>
            <w:vAlign w:val="center"/>
          </w:tcPr>
          <w:p>
            <w:pPr>
              <w:pStyle w:val="103"/>
            </w:pPr>
            <w:r>
              <w:t>手井</w:t>
            </w:r>
          </w:p>
        </w:tc>
        <w:tc>
          <w:tcPr>
            <w:tcW w:w="1412" w:type="dxa"/>
            <w:shd w:val="clear" w:color="auto" w:fill="auto"/>
            <w:vAlign w:val="center"/>
          </w:tcPr>
          <w:p>
            <w:pPr>
              <w:pStyle w:val="103"/>
            </w:pPr>
            <w:r>
              <w:t>国产</w:t>
            </w:r>
          </w:p>
        </w:tc>
        <w:tc>
          <w:tcPr>
            <w:tcW w:w="2552" w:type="dxa"/>
            <w:shd w:val="clear" w:color="auto" w:fill="auto"/>
            <w:vAlign w:val="center"/>
          </w:tcPr>
          <w:p>
            <w:pPr>
              <w:pStyle w:val="103"/>
            </w:pPr>
            <w:r>
              <w:t>手井：400*400*600mm</w:t>
            </w:r>
          </w:p>
        </w:tc>
        <w:tc>
          <w:tcPr>
            <w:tcW w:w="764" w:type="dxa"/>
            <w:shd w:val="clear" w:color="auto" w:fill="auto"/>
            <w:vAlign w:val="center"/>
          </w:tcPr>
          <w:p>
            <w:pPr>
              <w:pStyle w:val="103"/>
            </w:pPr>
            <w:r>
              <w:t>189</w:t>
            </w:r>
          </w:p>
        </w:tc>
        <w:tc>
          <w:tcPr>
            <w:tcW w:w="512" w:type="dxa"/>
            <w:shd w:val="clear" w:color="auto" w:fill="auto"/>
            <w:vAlign w:val="center"/>
          </w:tcPr>
          <w:p>
            <w:pPr>
              <w:pStyle w:val="103"/>
            </w:pPr>
            <w:r>
              <w:t>个</w:t>
            </w:r>
          </w:p>
        </w:tc>
        <w:tc>
          <w:tcPr>
            <w:tcW w:w="718" w:type="dxa"/>
            <w:shd w:val="clear" w:color="auto" w:fill="auto"/>
            <w:noWrap/>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96" w:type="dxa"/>
            <w:shd w:val="clear" w:color="auto" w:fill="auto"/>
            <w:vAlign w:val="center"/>
          </w:tcPr>
          <w:p>
            <w:pPr>
              <w:pStyle w:val="103"/>
            </w:pPr>
            <w:r>
              <w:t>42</w:t>
            </w:r>
          </w:p>
        </w:tc>
        <w:tc>
          <w:tcPr>
            <w:tcW w:w="2618" w:type="dxa"/>
            <w:shd w:val="clear" w:color="auto" w:fill="auto"/>
            <w:vAlign w:val="center"/>
          </w:tcPr>
          <w:p>
            <w:pPr>
              <w:pStyle w:val="103"/>
            </w:pPr>
            <w:r>
              <w:t>以太网交换机</w:t>
            </w:r>
          </w:p>
        </w:tc>
        <w:tc>
          <w:tcPr>
            <w:tcW w:w="1412" w:type="dxa"/>
            <w:shd w:val="clear" w:color="auto" w:fill="auto"/>
            <w:vAlign w:val="center"/>
          </w:tcPr>
          <w:p>
            <w:pPr>
              <w:pStyle w:val="103"/>
            </w:pPr>
            <w:r>
              <w:t>高新兴</w:t>
            </w:r>
          </w:p>
        </w:tc>
        <w:tc>
          <w:tcPr>
            <w:tcW w:w="2552" w:type="dxa"/>
            <w:shd w:val="clear" w:color="auto" w:fill="auto"/>
            <w:vAlign w:val="center"/>
          </w:tcPr>
          <w:p>
            <w:pPr>
              <w:pStyle w:val="103"/>
            </w:pPr>
            <w:r>
              <w:t>GXX-3700-28TP-SI-AC</w:t>
            </w:r>
          </w:p>
        </w:tc>
        <w:tc>
          <w:tcPr>
            <w:tcW w:w="764" w:type="dxa"/>
            <w:shd w:val="clear" w:color="auto" w:fill="auto"/>
            <w:vAlign w:val="center"/>
          </w:tcPr>
          <w:p>
            <w:pPr>
              <w:pStyle w:val="103"/>
            </w:pPr>
            <w:r>
              <w:t>189</w:t>
            </w:r>
          </w:p>
        </w:tc>
        <w:tc>
          <w:tcPr>
            <w:tcW w:w="512" w:type="dxa"/>
            <w:shd w:val="clear" w:color="auto" w:fill="auto"/>
            <w:vAlign w:val="center"/>
          </w:tcPr>
          <w:p>
            <w:pPr>
              <w:pStyle w:val="103"/>
            </w:pPr>
            <w:r>
              <w:t>台</w:t>
            </w:r>
          </w:p>
        </w:tc>
        <w:tc>
          <w:tcPr>
            <w:tcW w:w="718" w:type="dxa"/>
            <w:shd w:val="clear" w:color="auto" w:fill="auto"/>
            <w:noWrap/>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6" w:type="dxa"/>
            <w:shd w:val="clear" w:color="auto" w:fill="auto"/>
            <w:vAlign w:val="center"/>
          </w:tcPr>
          <w:p>
            <w:pPr>
              <w:pStyle w:val="103"/>
            </w:pPr>
            <w:r>
              <w:t>43</w:t>
            </w:r>
          </w:p>
        </w:tc>
        <w:tc>
          <w:tcPr>
            <w:tcW w:w="6582" w:type="dxa"/>
            <w:gridSpan w:val="3"/>
            <w:shd w:val="clear" w:color="auto" w:fill="auto"/>
            <w:vAlign w:val="center"/>
          </w:tcPr>
          <w:p>
            <w:pPr>
              <w:pStyle w:val="103"/>
            </w:pPr>
            <w:r>
              <w:t>小计</w:t>
            </w:r>
          </w:p>
        </w:tc>
        <w:tc>
          <w:tcPr>
            <w:tcW w:w="764" w:type="dxa"/>
            <w:shd w:val="clear" w:color="auto" w:fill="auto"/>
            <w:vAlign w:val="center"/>
          </w:tcPr>
          <w:p>
            <w:pPr>
              <w:pStyle w:val="103"/>
            </w:pPr>
            <w:r>
              <w:t>945</w:t>
            </w:r>
          </w:p>
        </w:tc>
        <w:tc>
          <w:tcPr>
            <w:tcW w:w="512" w:type="dxa"/>
            <w:shd w:val="clear" w:color="auto" w:fill="auto"/>
            <w:vAlign w:val="center"/>
          </w:tcPr>
          <w:p>
            <w:pPr>
              <w:pStyle w:val="103"/>
            </w:pPr>
            <w:r>
              <w:t>　</w:t>
            </w:r>
          </w:p>
        </w:tc>
        <w:tc>
          <w:tcPr>
            <w:tcW w:w="718" w:type="dxa"/>
            <w:shd w:val="clear" w:color="auto" w:fill="auto"/>
            <w:noWrap/>
            <w:vAlign w:val="center"/>
          </w:tcPr>
          <w:p>
            <w:pPr>
              <w:pStyle w:val="10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96" w:type="dxa"/>
            <w:shd w:val="clear" w:color="auto" w:fill="auto"/>
            <w:vAlign w:val="center"/>
          </w:tcPr>
          <w:p>
            <w:pPr>
              <w:pStyle w:val="103"/>
            </w:pPr>
            <w:r>
              <w:t>序号</w:t>
            </w:r>
          </w:p>
        </w:tc>
        <w:tc>
          <w:tcPr>
            <w:tcW w:w="2618" w:type="dxa"/>
            <w:shd w:val="clear" w:color="auto" w:fill="auto"/>
            <w:vAlign w:val="center"/>
          </w:tcPr>
          <w:p>
            <w:pPr>
              <w:pStyle w:val="103"/>
            </w:pPr>
            <w:r>
              <w:t>设备名称</w:t>
            </w:r>
          </w:p>
        </w:tc>
        <w:tc>
          <w:tcPr>
            <w:tcW w:w="1412" w:type="dxa"/>
            <w:shd w:val="clear" w:color="auto" w:fill="auto"/>
            <w:vAlign w:val="center"/>
          </w:tcPr>
          <w:p>
            <w:pPr>
              <w:pStyle w:val="103"/>
            </w:pPr>
            <w:r>
              <w:t>设备型号</w:t>
            </w:r>
          </w:p>
        </w:tc>
        <w:tc>
          <w:tcPr>
            <w:tcW w:w="2552" w:type="dxa"/>
            <w:shd w:val="clear" w:color="auto" w:fill="auto"/>
            <w:vAlign w:val="center"/>
          </w:tcPr>
          <w:p>
            <w:pPr>
              <w:pStyle w:val="103"/>
            </w:pPr>
            <w:r>
              <w:t>设备规格（高×宽×深）</w:t>
            </w:r>
          </w:p>
        </w:tc>
        <w:tc>
          <w:tcPr>
            <w:tcW w:w="764" w:type="dxa"/>
            <w:shd w:val="clear" w:color="auto" w:fill="auto"/>
            <w:vAlign w:val="center"/>
          </w:tcPr>
          <w:p>
            <w:pPr>
              <w:pStyle w:val="103"/>
            </w:pPr>
            <w:r>
              <w:t>技术参数</w:t>
            </w:r>
          </w:p>
        </w:tc>
        <w:tc>
          <w:tcPr>
            <w:tcW w:w="512" w:type="dxa"/>
            <w:shd w:val="clear" w:color="auto" w:fill="auto"/>
            <w:vAlign w:val="center"/>
          </w:tcPr>
          <w:p>
            <w:pPr>
              <w:pStyle w:val="103"/>
            </w:pPr>
            <w:r>
              <w:t>厂商</w:t>
            </w:r>
          </w:p>
        </w:tc>
        <w:tc>
          <w:tcPr>
            <w:tcW w:w="718" w:type="dxa"/>
            <w:shd w:val="clear" w:color="auto" w:fill="auto"/>
            <w:vAlign w:val="center"/>
          </w:tcPr>
          <w:p>
            <w:pPr>
              <w:pStyle w:val="103"/>
            </w:pPr>
            <w: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9072" w:type="dxa"/>
            <w:gridSpan w:val="7"/>
            <w:shd w:val="clear" w:color="auto" w:fill="auto"/>
            <w:vAlign w:val="center"/>
          </w:tcPr>
          <w:p>
            <w:pPr>
              <w:pStyle w:val="103"/>
            </w:pPr>
            <w:r>
              <w:t>13、网络和安全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496" w:type="dxa"/>
            <w:shd w:val="clear" w:color="auto" w:fill="auto"/>
            <w:vAlign w:val="center"/>
          </w:tcPr>
          <w:p>
            <w:pPr>
              <w:pStyle w:val="103"/>
            </w:pPr>
            <w:r>
              <w:t>1.1</w:t>
            </w:r>
          </w:p>
        </w:tc>
        <w:tc>
          <w:tcPr>
            <w:tcW w:w="2618" w:type="dxa"/>
            <w:shd w:val="clear" w:color="auto" w:fill="auto"/>
            <w:vAlign w:val="center"/>
          </w:tcPr>
          <w:p>
            <w:pPr>
              <w:pStyle w:val="103"/>
            </w:pPr>
            <w:r>
              <w:t>核心交换机</w:t>
            </w:r>
          </w:p>
        </w:tc>
        <w:tc>
          <w:tcPr>
            <w:tcW w:w="1412" w:type="dxa"/>
            <w:shd w:val="clear" w:color="auto" w:fill="auto"/>
            <w:vAlign w:val="center"/>
          </w:tcPr>
          <w:p>
            <w:pPr>
              <w:pStyle w:val="103"/>
            </w:pPr>
            <w:r>
              <w:t>RG-S8606</w:t>
            </w:r>
          </w:p>
        </w:tc>
        <w:tc>
          <w:tcPr>
            <w:tcW w:w="2552" w:type="dxa"/>
            <w:shd w:val="clear" w:color="auto" w:fill="auto"/>
            <w:vAlign w:val="center"/>
          </w:tcPr>
          <w:p>
            <w:pPr>
              <w:pStyle w:val="103"/>
            </w:pPr>
            <w:r>
              <w:t>647.4 × 436.8 × 508mm（15U）</w:t>
            </w:r>
          </w:p>
        </w:tc>
        <w:tc>
          <w:tcPr>
            <w:tcW w:w="764" w:type="dxa"/>
            <w:shd w:val="clear" w:color="auto" w:fill="auto"/>
            <w:vAlign w:val="center"/>
          </w:tcPr>
          <w:p>
            <w:pPr>
              <w:pStyle w:val="103"/>
            </w:pPr>
            <w:r>
              <w:t>2</w:t>
            </w:r>
          </w:p>
        </w:tc>
        <w:tc>
          <w:tcPr>
            <w:tcW w:w="512" w:type="dxa"/>
            <w:shd w:val="clear" w:color="auto" w:fill="auto"/>
            <w:vAlign w:val="center"/>
          </w:tcPr>
          <w:p>
            <w:pPr>
              <w:pStyle w:val="103"/>
            </w:pPr>
            <w:r>
              <w:t>锐捷</w:t>
            </w:r>
          </w:p>
        </w:tc>
        <w:tc>
          <w:tcPr>
            <w:tcW w:w="718" w:type="dxa"/>
            <w:shd w:val="clear" w:color="auto" w:fill="auto"/>
            <w:vAlign w:val="center"/>
          </w:tcPr>
          <w:p>
            <w:pPr>
              <w:pStyle w:val="10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496" w:type="dxa"/>
            <w:shd w:val="clear" w:color="auto" w:fill="auto"/>
            <w:vAlign w:val="center"/>
          </w:tcPr>
          <w:p>
            <w:pPr>
              <w:pStyle w:val="103"/>
            </w:pPr>
            <w:r>
              <w:t>1.2</w:t>
            </w:r>
          </w:p>
        </w:tc>
        <w:tc>
          <w:tcPr>
            <w:tcW w:w="2618" w:type="dxa"/>
            <w:shd w:val="clear" w:color="auto" w:fill="auto"/>
            <w:vAlign w:val="center"/>
          </w:tcPr>
          <w:p>
            <w:pPr>
              <w:pStyle w:val="103"/>
            </w:pPr>
            <w:r>
              <w:t>入侵检测系统</w:t>
            </w:r>
          </w:p>
        </w:tc>
        <w:tc>
          <w:tcPr>
            <w:tcW w:w="1412" w:type="dxa"/>
            <w:shd w:val="clear" w:color="auto" w:fill="auto"/>
            <w:vAlign w:val="center"/>
          </w:tcPr>
          <w:p>
            <w:pPr>
              <w:pStyle w:val="103"/>
            </w:pPr>
            <w:r>
              <w:t>RG-IDS 500</w:t>
            </w:r>
          </w:p>
        </w:tc>
        <w:tc>
          <w:tcPr>
            <w:tcW w:w="2552" w:type="dxa"/>
            <w:shd w:val="clear" w:color="000000" w:fill="FFFFFF"/>
            <w:vAlign w:val="center"/>
          </w:tcPr>
          <w:p>
            <w:pPr>
              <w:pStyle w:val="103"/>
            </w:pPr>
            <w:r>
              <w:t>标准19英寸宽度，1U高度</w:t>
            </w:r>
          </w:p>
        </w:tc>
        <w:tc>
          <w:tcPr>
            <w:tcW w:w="764" w:type="dxa"/>
            <w:shd w:val="clear" w:color="000000" w:fill="FFFFFF"/>
            <w:vAlign w:val="center"/>
          </w:tcPr>
          <w:p>
            <w:pPr>
              <w:pStyle w:val="103"/>
            </w:pPr>
            <w:r>
              <w:t>2</w:t>
            </w:r>
          </w:p>
        </w:tc>
        <w:tc>
          <w:tcPr>
            <w:tcW w:w="512" w:type="dxa"/>
            <w:shd w:val="clear" w:color="auto" w:fill="auto"/>
            <w:vAlign w:val="center"/>
          </w:tcPr>
          <w:p>
            <w:pPr>
              <w:pStyle w:val="103"/>
            </w:pPr>
            <w:r>
              <w:t>锐捷</w:t>
            </w:r>
          </w:p>
        </w:tc>
        <w:tc>
          <w:tcPr>
            <w:tcW w:w="718" w:type="dxa"/>
            <w:shd w:val="clear" w:color="auto" w:fill="auto"/>
            <w:vAlign w:val="center"/>
          </w:tcPr>
          <w:p>
            <w:pPr>
              <w:pStyle w:val="10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496" w:type="dxa"/>
            <w:shd w:val="clear" w:color="auto" w:fill="auto"/>
            <w:vAlign w:val="center"/>
          </w:tcPr>
          <w:p>
            <w:pPr>
              <w:pStyle w:val="103"/>
            </w:pPr>
            <w:r>
              <w:t>1.3</w:t>
            </w:r>
          </w:p>
        </w:tc>
        <w:tc>
          <w:tcPr>
            <w:tcW w:w="2618" w:type="dxa"/>
            <w:shd w:val="clear" w:color="auto" w:fill="auto"/>
            <w:vAlign w:val="center"/>
          </w:tcPr>
          <w:p>
            <w:pPr>
              <w:pStyle w:val="103"/>
            </w:pPr>
            <w:r>
              <w:t>接入交换机</w:t>
            </w:r>
          </w:p>
        </w:tc>
        <w:tc>
          <w:tcPr>
            <w:tcW w:w="1412" w:type="dxa"/>
            <w:shd w:val="clear" w:color="auto" w:fill="auto"/>
            <w:vAlign w:val="center"/>
          </w:tcPr>
          <w:p>
            <w:pPr>
              <w:pStyle w:val="103"/>
            </w:pPr>
            <w:r>
              <w:t>RG-S5760-48GT/4SFP</w:t>
            </w:r>
          </w:p>
        </w:tc>
        <w:tc>
          <w:tcPr>
            <w:tcW w:w="2552" w:type="dxa"/>
            <w:shd w:val="clear" w:color="auto" w:fill="auto"/>
            <w:vAlign w:val="center"/>
          </w:tcPr>
          <w:p>
            <w:pPr>
              <w:pStyle w:val="103"/>
            </w:pPr>
            <w:r>
              <w:t>44 × 400 × 440mm （1U）</w:t>
            </w:r>
          </w:p>
        </w:tc>
        <w:tc>
          <w:tcPr>
            <w:tcW w:w="764" w:type="dxa"/>
            <w:shd w:val="clear" w:color="auto" w:fill="auto"/>
            <w:vAlign w:val="center"/>
          </w:tcPr>
          <w:p>
            <w:pPr>
              <w:pStyle w:val="103"/>
            </w:pPr>
            <w:r>
              <w:t>6</w:t>
            </w:r>
          </w:p>
        </w:tc>
        <w:tc>
          <w:tcPr>
            <w:tcW w:w="512" w:type="dxa"/>
            <w:shd w:val="clear" w:color="auto" w:fill="auto"/>
            <w:vAlign w:val="center"/>
          </w:tcPr>
          <w:p>
            <w:pPr>
              <w:pStyle w:val="103"/>
            </w:pPr>
            <w:r>
              <w:t>锐捷</w:t>
            </w:r>
          </w:p>
        </w:tc>
        <w:tc>
          <w:tcPr>
            <w:tcW w:w="718" w:type="dxa"/>
            <w:shd w:val="clear" w:color="auto" w:fill="auto"/>
            <w:vAlign w:val="center"/>
          </w:tcPr>
          <w:p>
            <w:pPr>
              <w:pStyle w:val="10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496" w:type="dxa"/>
            <w:shd w:val="clear" w:color="auto" w:fill="auto"/>
            <w:vAlign w:val="center"/>
          </w:tcPr>
          <w:p>
            <w:pPr>
              <w:pStyle w:val="103"/>
            </w:pPr>
            <w:r>
              <w:t>1.4</w:t>
            </w:r>
          </w:p>
        </w:tc>
        <w:tc>
          <w:tcPr>
            <w:tcW w:w="2618" w:type="dxa"/>
            <w:shd w:val="clear" w:color="auto" w:fill="auto"/>
            <w:vAlign w:val="center"/>
          </w:tcPr>
          <w:p>
            <w:pPr>
              <w:pStyle w:val="103"/>
            </w:pPr>
            <w:r>
              <w:t>边界防火墙</w:t>
            </w:r>
          </w:p>
        </w:tc>
        <w:tc>
          <w:tcPr>
            <w:tcW w:w="1412" w:type="dxa"/>
            <w:shd w:val="clear" w:color="auto" w:fill="auto"/>
            <w:vAlign w:val="center"/>
          </w:tcPr>
          <w:p>
            <w:pPr>
              <w:pStyle w:val="103"/>
            </w:pPr>
            <w:r>
              <w:t>RG-WALL 1600M</w:t>
            </w:r>
          </w:p>
        </w:tc>
        <w:tc>
          <w:tcPr>
            <w:tcW w:w="2552" w:type="dxa"/>
            <w:shd w:val="clear" w:color="000000" w:fill="FFFFFF"/>
            <w:vAlign w:val="center"/>
          </w:tcPr>
          <w:p>
            <w:pPr>
              <w:pStyle w:val="103"/>
            </w:pPr>
            <w:r>
              <w:t>标准19英寸宽度，2U高度</w:t>
            </w:r>
          </w:p>
        </w:tc>
        <w:tc>
          <w:tcPr>
            <w:tcW w:w="764" w:type="dxa"/>
            <w:shd w:val="clear" w:color="auto" w:fill="auto"/>
            <w:vAlign w:val="center"/>
          </w:tcPr>
          <w:p>
            <w:pPr>
              <w:pStyle w:val="103"/>
            </w:pPr>
            <w:r>
              <w:t>3</w:t>
            </w:r>
          </w:p>
        </w:tc>
        <w:tc>
          <w:tcPr>
            <w:tcW w:w="512" w:type="dxa"/>
            <w:shd w:val="clear" w:color="auto" w:fill="auto"/>
            <w:vAlign w:val="center"/>
          </w:tcPr>
          <w:p>
            <w:pPr>
              <w:pStyle w:val="103"/>
            </w:pPr>
            <w:r>
              <w:t>锐捷</w:t>
            </w:r>
          </w:p>
        </w:tc>
        <w:tc>
          <w:tcPr>
            <w:tcW w:w="718" w:type="dxa"/>
            <w:shd w:val="clear" w:color="auto" w:fill="auto"/>
            <w:vAlign w:val="center"/>
          </w:tcPr>
          <w:p>
            <w:pPr>
              <w:pStyle w:val="10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496" w:type="dxa"/>
            <w:shd w:val="clear" w:color="auto" w:fill="auto"/>
            <w:vAlign w:val="center"/>
          </w:tcPr>
          <w:p>
            <w:pPr>
              <w:pStyle w:val="103"/>
            </w:pPr>
            <w:r>
              <w:t>1.5</w:t>
            </w:r>
          </w:p>
        </w:tc>
        <w:tc>
          <w:tcPr>
            <w:tcW w:w="2618" w:type="dxa"/>
            <w:shd w:val="clear" w:color="auto" w:fill="auto"/>
            <w:vAlign w:val="center"/>
          </w:tcPr>
          <w:p>
            <w:pPr>
              <w:pStyle w:val="103"/>
            </w:pPr>
            <w:r>
              <w:t>路由器</w:t>
            </w:r>
          </w:p>
        </w:tc>
        <w:tc>
          <w:tcPr>
            <w:tcW w:w="1412" w:type="dxa"/>
            <w:shd w:val="clear" w:color="auto" w:fill="auto"/>
            <w:vAlign w:val="center"/>
          </w:tcPr>
          <w:p>
            <w:pPr>
              <w:pStyle w:val="103"/>
            </w:pPr>
            <w:r>
              <w:t>RSR50-80E</w:t>
            </w:r>
          </w:p>
        </w:tc>
        <w:tc>
          <w:tcPr>
            <w:tcW w:w="2552" w:type="dxa"/>
            <w:shd w:val="clear" w:color="auto" w:fill="auto"/>
            <w:vAlign w:val="center"/>
          </w:tcPr>
          <w:p>
            <w:pPr>
              <w:pStyle w:val="103"/>
            </w:pPr>
            <w:r>
              <w:t>412× 445 × 243mm （6U）</w:t>
            </w:r>
          </w:p>
        </w:tc>
        <w:tc>
          <w:tcPr>
            <w:tcW w:w="764" w:type="dxa"/>
            <w:shd w:val="clear" w:color="auto" w:fill="auto"/>
            <w:vAlign w:val="center"/>
          </w:tcPr>
          <w:p>
            <w:pPr>
              <w:pStyle w:val="103"/>
            </w:pPr>
            <w:r>
              <w:t>2</w:t>
            </w:r>
          </w:p>
        </w:tc>
        <w:tc>
          <w:tcPr>
            <w:tcW w:w="512" w:type="dxa"/>
            <w:shd w:val="clear" w:color="auto" w:fill="auto"/>
            <w:vAlign w:val="center"/>
          </w:tcPr>
          <w:p>
            <w:pPr>
              <w:pStyle w:val="103"/>
            </w:pPr>
            <w:r>
              <w:t>锐捷</w:t>
            </w:r>
          </w:p>
        </w:tc>
        <w:tc>
          <w:tcPr>
            <w:tcW w:w="718" w:type="dxa"/>
            <w:shd w:val="clear" w:color="auto" w:fill="auto"/>
            <w:vAlign w:val="center"/>
          </w:tcPr>
          <w:p>
            <w:pPr>
              <w:pStyle w:val="103"/>
            </w:pPr>
          </w:p>
        </w:tc>
      </w:tr>
    </w:tbl>
    <w:p>
      <w:pPr>
        <w:ind w:firstLine="0" w:firstLineChars="0"/>
      </w:pPr>
    </w:p>
    <w:p>
      <w:pPr>
        <w:ind w:firstLine="0" w:firstLineChars="0"/>
        <w:sectPr>
          <w:headerReference r:id="rId14" w:type="default"/>
          <w:pgSz w:w="11906" w:h="16838"/>
          <w:pgMar w:top="1440" w:right="1287" w:bottom="1440" w:left="1287" w:header="851" w:footer="992" w:gutter="0"/>
          <w:cols w:space="425" w:num="1"/>
          <w:docGrid w:type="lines" w:linePitch="326" w:charSpace="0"/>
        </w:sectPr>
      </w:pPr>
    </w:p>
    <w:p>
      <w:pPr>
        <w:pStyle w:val="3"/>
        <w:numPr>
          <w:ilvl w:val="0"/>
          <w:numId w:val="0"/>
        </w:numPr>
      </w:pPr>
      <w:bookmarkStart w:id="148" w:name="_Toc112317429"/>
      <w:r>
        <w:rPr>
          <w:rFonts w:hint="eastAsia"/>
        </w:rPr>
        <w:t>原有前端安装点位明细</w:t>
      </w:r>
      <w:bookmarkEnd w:id="148"/>
    </w:p>
    <w:tbl>
      <w:tblPr>
        <w:tblStyle w:val="35"/>
        <w:tblW w:w="13948" w:type="dxa"/>
        <w:tblInd w:w="0" w:type="dxa"/>
        <w:tblLayout w:type="autofit"/>
        <w:tblCellMar>
          <w:top w:w="0" w:type="dxa"/>
          <w:left w:w="108" w:type="dxa"/>
          <w:bottom w:w="0" w:type="dxa"/>
          <w:right w:w="108" w:type="dxa"/>
        </w:tblCellMar>
      </w:tblPr>
      <w:tblGrid>
        <w:gridCol w:w="513"/>
        <w:gridCol w:w="4036"/>
        <w:gridCol w:w="1503"/>
        <w:gridCol w:w="1140"/>
        <w:gridCol w:w="788"/>
        <w:gridCol w:w="722"/>
        <w:gridCol w:w="1051"/>
        <w:gridCol w:w="760"/>
        <w:gridCol w:w="932"/>
        <w:gridCol w:w="811"/>
        <w:gridCol w:w="998"/>
        <w:gridCol w:w="920"/>
      </w:tblGrid>
      <w:tr>
        <w:tblPrEx>
          <w:tblCellMar>
            <w:top w:w="0" w:type="dxa"/>
            <w:left w:w="108" w:type="dxa"/>
            <w:bottom w:w="0" w:type="dxa"/>
            <w:right w:w="108" w:type="dxa"/>
          </w:tblCellMar>
        </w:tblPrEx>
        <w:trPr>
          <w:trHeight w:val="864" w:hRule="atLeast"/>
          <w:tblHeader/>
        </w:trPr>
        <w:tc>
          <w:tcPr>
            <w:tcW w:w="484"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03"/>
            </w:pPr>
            <w:r>
              <w:t>序号</w:t>
            </w:r>
          </w:p>
        </w:tc>
        <w:tc>
          <w:tcPr>
            <w:tcW w:w="4266" w:type="dxa"/>
            <w:tcBorders>
              <w:top w:val="single" w:color="auto" w:sz="4" w:space="0"/>
              <w:left w:val="nil"/>
              <w:bottom w:val="single" w:color="auto" w:sz="4" w:space="0"/>
              <w:right w:val="single" w:color="auto" w:sz="4" w:space="0"/>
            </w:tcBorders>
            <w:shd w:val="clear" w:color="auto" w:fill="auto"/>
            <w:vAlign w:val="center"/>
          </w:tcPr>
          <w:p>
            <w:pPr>
              <w:pStyle w:val="103"/>
            </w:pPr>
            <w:r>
              <w:t>点位名称</w:t>
            </w:r>
          </w:p>
        </w:tc>
        <w:tc>
          <w:tcPr>
            <w:tcW w:w="1172" w:type="dxa"/>
            <w:tcBorders>
              <w:top w:val="single" w:color="auto" w:sz="4" w:space="0"/>
              <w:left w:val="nil"/>
              <w:bottom w:val="single" w:color="auto" w:sz="4" w:space="0"/>
              <w:right w:val="single" w:color="auto" w:sz="4" w:space="0"/>
            </w:tcBorders>
            <w:shd w:val="clear" w:color="auto" w:fill="auto"/>
            <w:vAlign w:val="center"/>
          </w:tcPr>
          <w:p>
            <w:pPr>
              <w:pStyle w:val="103"/>
            </w:pPr>
            <w:r>
              <w:t>治安球机（宇视）</w:t>
            </w:r>
          </w:p>
        </w:tc>
        <w:tc>
          <w:tcPr>
            <w:tcW w:w="1143" w:type="dxa"/>
            <w:tcBorders>
              <w:top w:val="single" w:color="auto" w:sz="4" w:space="0"/>
              <w:left w:val="nil"/>
              <w:bottom w:val="single" w:color="auto" w:sz="4" w:space="0"/>
              <w:right w:val="single" w:color="auto" w:sz="4" w:space="0"/>
            </w:tcBorders>
            <w:shd w:val="clear" w:color="auto" w:fill="auto"/>
            <w:vAlign w:val="center"/>
          </w:tcPr>
          <w:p>
            <w:pPr>
              <w:pStyle w:val="103"/>
            </w:pPr>
            <w:r>
              <w:t>治安枪机（宇视）</w:t>
            </w:r>
          </w:p>
        </w:tc>
        <w:tc>
          <w:tcPr>
            <w:tcW w:w="641" w:type="dxa"/>
            <w:tcBorders>
              <w:top w:val="single" w:color="auto" w:sz="4" w:space="0"/>
              <w:left w:val="nil"/>
              <w:bottom w:val="single" w:color="auto" w:sz="4" w:space="0"/>
              <w:right w:val="single" w:color="auto" w:sz="4" w:space="0"/>
            </w:tcBorders>
            <w:shd w:val="clear" w:color="auto" w:fill="auto"/>
            <w:vAlign w:val="center"/>
          </w:tcPr>
          <w:p>
            <w:pPr>
              <w:pStyle w:val="103"/>
            </w:pPr>
            <w:r>
              <w:t>电子警察（宇视）</w:t>
            </w:r>
          </w:p>
        </w:tc>
        <w:tc>
          <w:tcPr>
            <w:tcW w:w="709" w:type="dxa"/>
            <w:tcBorders>
              <w:top w:val="single" w:color="auto" w:sz="4" w:space="0"/>
              <w:left w:val="nil"/>
              <w:bottom w:val="single" w:color="auto" w:sz="4" w:space="0"/>
              <w:right w:val="single" w:color="auto" w:sz="4" w:space="0"/>
            </w:tcBorders>
            <w:shd w:val="clear" w:color="auto" w:fill="auto"/>
            <w:vAlign w:val="center"/>
          </w:tcPr>
          <w:p>
            <w:pPr>
              <w:pStyle w:val="103"/>
            </w:pPr>
            <w:r>
              <w:t>治安卡口（海康）</w:t>
            </w:r>
          </w:p>
        </w:tc>
        <w:tc>
          <w:tcPr>
            <w:tcW w:w="1101" w:type="dxa"/>
            <w:tcBorders>
              <w:top w:val="single" w:color="auto" w:sz="4" w:space="0"/>
              <w:left w:val="nil"/>
              <w:bottom w:val="single" w:color="auto" w:sz="4" w:space="0"/>
              <w:right w:val="single" w:color="auto" w:sz="4" w:space="0"/>
            </w:tcBorders>
            <w:shd w:val="clear" w:color="auto" w:fill="auto"/>
            <w:vAlign w:val="center"/>
          </w:tcPr>
          <w:p>
            <w:pPr>
              <w:pStyle w:val="103"/>
            </w:pPr>
            <w:r>
              <w:t>前端管理主机（宇视）</w:t>
            </w:r>
          </w:p>
        </w:tc>
        <w:tc>
          <w:tcPr>
            <w:tcW w:w="793" w:type="dxa"/>
            <w:tcBorders>
              <w:top w:val="single" w:color="auto" w:sz="4" w:space="0"/>
              <w:left w:val="nil"/>
              <w:bottom w:val="single" w:color="auto" w:sz="4" w:space="0"/>
              <w:right w:val="single" w:color="auto" w:sz="4" w:space="0"/>
            </w:tcBorders>
            <w:shd w:val="clear" w:color="auto" w:fill="auto"/>
            <w:vAlign w:val="center"/>
          </w:tcPr>
          <w:p>
            <w:pPr>
              <w:pStyle w:val="103"/>
            </w:pPr>
            <w:r>
              <w:t>前端管理主机（海康）</w:t>
            </w:r>
          </w:p>
        </w:tc>
        <w:tc>
          <w:tcPr>
            <w:tcW w:w="975" w:type="dxa"/>
            <w:tcBorders>
              <w:top w:val="single" w:color="auto" w:sz="4" w:space="0"/>
              <w:left w:val="nil"/>
              <w:bottom w:val="single" w:color="auto" w:sz="4" w:space="0"/>
              <w:right w:val="single" w:color="auto" w:sz="4" w:space="0"/>
            </w:tcBorders>
            <w:shd w:val="clear" w:color="auto" w:fill="auto"/>
            <w:vAlign w:val="center"/>
          </w:tcPr>
          <w:p>
            <w:pPr>
              <w:pStyle w:val="103"/>
            </w:pPr>
            <w:r>
              <w:t>交换机（高新兴）</w:t>
            </w:r>
          </w:p>
        </w:tc>
        <w:tc>
          <w:tcPr>
            <w:tcW w:w="658" w:type="dxa"/>
            <w:tcBorders>
              <w:top w:val="single" w:color="auto" w:sz="4" w:space="0"/>
              <w:left w:val="nil"/>
              <w:bottom w:val="single" w:color="auto" w:sz="4" w:space="0"/>
              <w:right w:val="single" w:color="auto" w:sz="4" w:space="0"/>
            </w:tcBorders>
            <w:shd w:val="clear" w:color="auto" w:fill="auto"/>
            <w:vAlign w:val="center"/>
          </w:tcPr>
          <w:p>
            <w:pPr>
              <w:pStyle w:val="103"/>
            </w:pPr>
            <w:r>
              <w:t>治安补光灯</w:t>
            </w:r>
          </w:p>
        </w:tc>
        <w:tc>
          <w:tcPr>
            <w:tcW w:w="1045" w:type="dxa"/>
            <w:tcBorders>
              <w:top w:val="single" w:color="auto" w:sz="4" w:space="0"/>
              <w:left w:val="nil"/>
              <w:bottom w:val="single" w:color="auto" w:sz="4" w:space="0"/>
              <w:right w:val="single" w:color="auto" w:sz="4" w:space="0"/>
            </w:tcBorders>
            <w:shd w:val="clear" w:color="auto" w:fill="auto"/>
            <w:vAlign w:val="center"/>
          </w:tcPr>
          <w:p>
            <w:pPr>
              <w:pStyle w:val="103"/>
            </w:pPr>
            <w:r>
              <w:t>电警补光灯</w:t>
            </w:r>
          </w:p>
        </w:tc>
        <w:tc>
          <w:tcPr>
            <w:tcW w:w="961" w:type="dxa"/>
            <w:tcBorders>
              <w:top w:val="single" w:color="auto" w:sz="4" w:space="0"/>
              <w:left w:val="nil"/>
              <w:bottom w:val="single" w:color="auto" w:sz="4" w:space="0"/>
              <w:right w:val="single" w:color="auto" w:sz="4" w:space="0"/>
            </w:tcBorders>
            <w:shd w:val="clear" w:color="auto" w:fill="auto"/>
            <w:vAlign w:val="center"/>
          </w:tcPr>
          <w:p>
            <w:pPr>
              <w:pStyle w:val="103"/>
            </w:pPr>
            <w:r>
              <w:t>卡口补光灯</w:t>
            </w:r>
          </w:p>
        </w:tc>
      </w:tr>
      <w:tr>
        <w:tblPrEx>
          <w:tblCellMar>
            <w:top w:w="0" w:type="dxa"/>
            <w:left w:w="108" w:type="dxa"/>
            <w:bottom w:w="0" w:type="dxa"/>
            <w:right w:w="108" w:type="dxa"/>
          </w:tblCellMar>
        </w:tblPrEx>
        <w:trPr>
          <w:trHeight w:val="864"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型号</w:t>
            </w:r>
          </w:p>
        </w:tc>
        <w:tc>
          <w:tcPr>
            <w:tcW w:w="4266" w:type="dxa"/>
            <w:tcBorders>
              <w:top w:val="nil"/>
              <w:left w:val="nil"/>
              <w:bottom w:val="single" w:color="auto" w:sz="4" w:space="0"/>
              <w:right w:val="single" w:color="auto" w:sz="4" w:space="0"/>
            </w:tcBorders>
            <w:shd w:val="clear" w:color="auto" w:fill="auto"/>
            <w:vAlign w:val="center"/>
          </w:tcPr>
          <w:p>
            <w:pPr>
              <w:pStyle w:val="103"/>
            </w:pPr>
            <w:r>
              <w:t>　</w:t>
            </w:r>
          </w:p>
        </w:tc>
        <w:tc>
          <w:tcPr>
            <w:tcW w:w="1172" w:type="dxa"/>
            <w:tcBorders>
              <w:top w:val="nil"/>
              <w:left w:val="nil"/>
              <w:bottom w:val="single" w:color="auto" w:sz="4" w:space="0"/>
              <w:right w:val="single" w:color="auto" w:sz="4" w:space="0"/>
            </w:tcBorders>
            <w:shd w:val="clear" w:color="auto" w:fill="auto"/>
            <w:vAlign w:val="center"/>
          </w:tcPr>
          <w:p>
            <w:pPr>
              <w:pStyle w:val="103"/>
            </w:pPr>
            <w:r>
              <w:t>IPC-HIC6622HX22-5CIR-UV</w:t>
            </w:r>
          </w:p>
        </w:tc>
        <w:tc>
          <w:tcPr>
            <w:tcW w:w="1143" w:type="dxa"/>
            <w:tcBorders>
              <w:top w:val="nil"/>
              <w:left w:val="nil"/>
              <w:bottom w:val="single" w:color="auto" w:sz="4" w:space="0"/>
              <w:right w:val="single" w:color="auto" w:sz="4" w:space="0"/>
            </w:tcBorders>
            <w:shd w:val="clear" w:color="auto" w:fill="auto"/>
            <w:vAlign w:val="center"/>
          </w:tcPr>
          <w:p>
            <w:pPr>
              <w:pStyle w:val="103"/>
            </w:pPr>
            <w:r>
              <w:t>IPC-HIC5621E-LUV</w:t>
            </w:r>
          </w:p>
        </w:tc>
        <w:tc>
          <w:tcPr>
            <w:tcW w:w="641" w:type="dxa"/>
            <w:tcBorders>
              <w:top w:val="nil"/>
              <w:left w:val="nil"/>
              <w:bottom w:val="single" w:color="auto" w:sz="4" w:space="0"/>
              <w:right w:val="single" w:color="auto" w:sz="4" w:space="0"/>
            </w:tcBorders>
            <w:shd w:val="clear" w:color="auto" w:fill="auto"/>
            <w:vAlign w:val="center"/>
          </w:tcPr>
          <w:p>
            <w:pPr>
              <w:pStyle w:val="103"/>
            </w:pPr>
            <w:r>
              <w:t>HTS-HC531</w:t>
            </w:r>
          </w:p>
        </w:tc>
        <w:tc>
          <w:tcPr>
            <w:tcW w:w="709" w:type="dxa"/>
            <w:tcBorders>
              <w:top w:val="nil"/>
              <w:left w:val="nil"/>
              <w:bottom w:val="single" w:color="auto" w:sz="4" w:space="0"/>
              <w:right w:val="single" w:color="auto" w:sz="4" w:space="0"/>
            </w:tcBorders>
            <w:shd w:val="clear" w:color="auto" w:fill="auto"/>
            <w:vAlign w:val="center"/>
          </w:tcPr>
          <w:p>
            <w:pPr>
              <w:pStyle w:val="103"/>
            </w:pPr>
            <w:r>
              <w:t>VCU-702N-SH</w:t>
            </w:r>
          </w:p>
        </w:tc>
        <w:tc>
          <w:tcPr>
            <w:tcW w:w="1101" w:type="dxa"/>
            <w:tcBorders>
              <w:top w:val="nil"/>
              <w:left w:val="nil"/>
              <w:bottom w:val="single" w:color="auto" w:sz="4" w:space="0"/>
              <w:right w:val="single" w:color="auto" w:sz="4" w:space="0"/>
            </w:tcBorders>
            <w:shd w:val="clear" w:color="auto" w:fill="auto"/>
            <w:vAlign w:val="center"/>
          </w:tcPr>
          <w:p>
            <w:pPr>
              <w:pStyle w:val="103"/>
            </w:pPr>
            <w:r>
              <w:t>VS-ISC2500-SCT-E-UV</w:t>
            </w:r>
          </w:p>
        </w:tc>
        <w:tc>
          <w:tcPr>
            <w:tcW w:w="793" w:type="dxa"/>
            <w:tcBorders>
              <w:top w:val="nil"/>
              <w:left w:val="nil"/>
              <w:bottom w:val="single" w:color="auto" w:sz="4" w:space="0"/>
              <w:right w:val="single" w:color="auto" w:sz="4" w:space="0"/>
            </w:tcBorders>
            <w:shd w:val="clear" w:color="auto" w:fill="auto"/>
            <w:vAlign w:val="center"/>
          </w:tcPr>
          <w:p>
            <w:pPr>
              <w:pStyle w:val="103"/>
            </w:pPr>
            <w:r>
              <w:t>TS-5012-F(2T)</w:t>
            </w:r>
          </w:p>
        </w:tc>
        <w:tc>
          <w:tcPr>
            <w:tcW w:w="975" w:type="dxa"/>
            <w:tcBorders>
              <w:top w:val="nil"/>
              <w:left w:val="nil"/>
              <w:bottom w:val="single" w:color="auto" w:sz="4" w:space="0"/>
              <w:right w:val="single" w:color="auto" w:sz="4" w:space="0"/>
            </w:tcBorders>
            <w:shd w:val="clear" w:color="auto" w:fill="auto"/>
            <w:vAlign w:val="center"/>
          </w:tcPr>
          <w:p>
            <w:pPr>
              <w:pStyle w:val="103"/>
            </w:pPr>
            <w:r>
              <w:t>GXX-3700-28TP-SI-AC</w:t>
            </w:r>
          </w:p>
        </w:tc>
        <w:tc>
          <w:tcPr>
            <w:tcW w:w="658" w:type="dxa"/>
            <w:tcBorders>
              <w:top w:val="nil"/>
              <w:left w:val="nil"/>
              <w:bottom w:val="single" w:color="auto" w:sz="4" w:space="0"/>
              <w:right w:val="single" w:color="auto" w:sz="4" w:space="0"/>
            </w:tcBorders>
            <w:shd w:val="clear" w:color="auto" w:fill="auto"/>
            <w:vAlign w:val="center"/>
          </w:tcPr>
          <w:p>
            <w:pPr>
              <w:pStyle w:val="103"/>
            </w:pPr>
            <w:r>
              <w:t>AFBG-2</w:t>
            </w:r>
          </w:p>
        </w:tc>
        <w:tc>
          <w:tcPr>
            <w:tcW w:w="1045" w:type="dxa"/>
            <w:tcBorders>
              <w:top w:val="nil"/>
              <w:left w:val="nil"/>
              <w:bottom w:val="single" w:color="auto" w:sz="4" w:space="0"/>
              <w:right w:val="single" w:color="auto" w:sz="4" w:space="0"/>
            </w:tcBorders>
            <w:shd w:val="clear" w:color="auto" w:fill="auto"/>
            <w:vAlign w:val="center"/>
          </w:tcPr>
          <w:p>
            <w:pPr>
              <w:pStyle w:val="103"/>
            </w:pPr>
            <w:r>
              <w:t>AE-LAMP-S25-A15-UV</w:t>
            </w:r>
          </w:p>
        </w:tc>
        <w:tc>
          <w:tcPr>
            <w:tcW w:w="961" w:type="dxa"/>
            <w:tcBorders>
              <w:top w:val="nil"/>
              <w:left w:val="nil"/>
              <w:bottom w:val="single" w:color="auto" w:sz="4" w:space="0"/>
              <w:right w:val="single" w:color="auto" w:sz="4" w:space="0"/>
            </w:tcBorders>
            <w:shd w:val="clear" w:color="auto" w:fill="auto"/>
            <w:vAlign w:val="center"/>
          </w:tcPr>
          <w:p>
            <w:pPr>
              <w:pStyle w:val="103"/>
            </w:pPr>
            <w:r>
              <w:t>GXX-BGD-1211</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w:t>
            </w:r>
          </w:p>
        </w:tc>
        <w:tc>
          <w:tcPr>
            <w:tcW w:w="4266" w:type="dxa"/>
            <w:tcBorders>
              <w:top w:val="nil"/>
              <w:left w:val="nil"/>
              <w:bottom w:val="single" w:color="auto" w:sz="4" w:space="0"/>
              <w:right w:val="single" w:color="auto" w:sz="4" w:space="0"/>
            </w:tcBorders>
            <w:shd w:val="clear" w:color="auto" w:fill="auto"/>
            <w:vAlign w:val="center"/>
          </w:tcPr>
          <w:p>
            <w:pPr>
              <w:pStyle w:val="103"/>
            </w:pPr>
            <w:r>
              <w:t>锡尼街达旗十二中门口对面</w:t>
            </w:r>
          </w:p>
        </w:tc>
        <w:tc>
          <w:tcPr>
            <w:tcW w:w="1172" w:type="dxa"/>
            <w:tcBorders>
              <w:top w:val="nil"/>
              <w:left w:val="nil"/>
              <w:bottom w:val="single" w:color="auto" w:sz="4" w:space="0"/>
              <w:right w:val="single" w:color="auto" w:sz="4" w:space="0"/>
            </w:tcBorders>
            <w:shd w:val="clear" w:color="auto" w:fill="auto"/>
            <w:vAlign w:val="center"/>
          </w:tcPr>
          <w:p>
            <w:pPr>
              <w:pStyle w:val="103"/>
            </w:pPr>
            <w:r>
              <w:t>1</w:t>
            </w:r>
          </w:p>
        </w:tc>
        <w:tc>
          <w:tcPr>
            <w:tcW w:w="1143" w:type="dxa"/>
            <w:tcBorders>
              <w:top w:val="nil"/>
              <w:left w:val="nil"/>
              <w:bottom w:val="single" w:color="auto" w:sz="4" w:space="0"/>
              <w:right w:val="single" w:color="auto" w:sz="4" w:space="0"/>
            </w:tcBorders>
            <w:shd w:val="clear" w:color="auto" w:fill="auto"/>
            <w:vAlign w:val="center"/>
          </w:tcPr>
          <w:p>
            <w:pPr>
              <w:pStyle w:val="103"/>
            </w:pPr>
            <w:r>
              <w:t>1</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2</w:t>
            </w:r>
          </w:p>
        </w:tc>
        <w:tc>
          <w:tcPr>
            <w:tcW w:w="4266" w:type="dxa"/>
            <w:tcBorders>
              <w:top w:val="nil"/>
              <w:left w:val="nil"/>
              <w:bottom w:val="single" w:color="auto" w:sz="4" w:space="0"/>
              <w:right w:val="single" w:color="auto" w:sz="4" w:space="0"/>
            </w:tcBorders>
            <w:shd w:val="clear" w:color="auto" w:fill="auto"/>
            <w:vAlign w:val="center"/>
          </w:tcPr>
          <w:p>
            <w:pPr>
              <w:pStyle w:val="103"/>
            </w:pPr>
            <w:r>
              <w:t>树林召大街与昭君路交叉口富贵嘉园接待中心（西南角）</w:t>
            </w:r>
          </w:p>
        </w:tc>
        <w:tc>
          <w:tcPr>
            <w:tcW w:w="1172" w:type="dxa"/>
            <w:tcBorders>
              <w:top w:val="nil"/>
              <w:left w:val="nil"/>
              <w:bottom w:val="single" w:color="auto" w:sz="4" w:space="0"/>
              <w:right w:val="single" w:color="auto" w:sz="4" w:space="0"/>
            </w:tcBorders>
            <w:shd w:val="clear" w:color="auto" w:fill="auto"/>
            <w:vAlign w:val="center"/>
          </w:tcPr>
          <w:p>
            <w:pPr>
              <w:pStyle w:val="103"/>
            </w:pPr>
            <w:r>
              <w:t>1</w:t>
            </w:r>
          </w:p>
        </w:tc>
        <w:tc>
          <w:tcPr>
            <w:tcW w:w="1143" w:type="dxa"/>
            <w:tcBorders>
              <w:top w:val="nil"/>
              <w:left w:val="nil"/>
              <w:bottom w:val="single" w:color="auto" w:sz="4" w:space="0"/>
              <w:right w:val="single" w:color="auto" w:sz="4" w:space="0"/>
            </w:tcBorders>
            <w:shd w:val="clear" w:color="auto" w:fill="auto"/>
            <w:vAlign w:val="center"/>
          </w:tcPr>
          <w:p>
            <w:pPr>
              <w:pStyle w:val="103"/>
            </w:pPr>
            <w:r>
              <w:t>　</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3</w:t>
            </w:r>
          </w:p>
        </w:tc>
        <w:tc>
          <w:tcPr>
            <w:tcW w:w="4266" w:type="dxa"/>
            <w:tcBorders>
              <w:top w:val="nil"/>
              <w:left w:val="nil"/>
              <w:bottom w:val="single" w:color="auto" w:sz="4" w:space="0"/>
              <w:right w:val="single" w:color="auto" w:sz="4" w:space="0"/>
            </w:tcBorders>
            <w:shd w:val="clear" w:color="auto" w:fill="auto"/>
            <w:vAlign w:val="center"/>
          </w:tcPr>
          <w:p>
            <w:pPr>
              <w:pStyle w:val="103"/>
            </w:pPr>
            <w:r>
              <w:t>树林召大街（达旗六中门口绿化带）</w:t>
            </w:r>
          </w:p>
        </w:tc>
        <w:tc>
          <w:tcPr>
            <w:tcW w:w="1172" w:type="dxa"/>
            <w:tcBorders>
              <w:top w:val="nil"/>
              <w:left w:val="nil"/>
              <w:bottom w:val="single" w:color="auto" w:sz="4" w:space="0"/>
              <w:right w:val="single" w:color="auto" w:sz="4" w:space="0"/>
            </w:tcBorders>
            <w:shd w:val="clear" w:color="auto" w:fill="auto"/>
            <w:vAlign w:val="center"/>
          </w:tcPr>
          <w:p>
            <w:pPr>
              <w:pStyle w:val="103"/>
            </w:pPr>
            <w:r>
              <w:t>1</w:t>
            </w:r>
          </w:p>
        </w:tc>
        <w:tc>
          <w:tcPr>
            <w:tcW w:w="1143" w:type="dxa"/>
            <w:tcBorders>
              <w:top w:val="nil"/>
              <w:left w:val="nil"/>
              <w:bottom w:val="single" w:color="auto" w:sz="4" w:space="0"/>
              <w:right w:val="single" w:color="auto" w:sz="4" w:space="0"/>
            </w:tcBorders>
            <w:shd w:val="clear" w:color="auto" w:fill="auto"/>
            <w:vAlign w:val="center"/>
          </w:tcPr>
          <w:p>
            <w:pPr>
              <w:pStyle w:val="103"/>
            </w:pPr>
            <w:r>
              <w:t>1</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4</w:t>
            </w:r>
          </w:p>
        </w:tc>
        <w:tc>
          <w:tcPr>
            <w:tcW w:w="4266" w:type="dxa"/>
            <w:tcBorders>
              <w:top w:val="nil"/>
              <w:left w:val="nil"/>
              <w:bottom w:val="single" w:color="auto" w:sz="4" w:space="0"/>
              <w:right w:val="single" w:color="auto" w:sz="4" w:space="0"/>
            </w:tcBorders>
            <w:shd w:val="clear" w:color="auto" w:fill="auto"/>
            <w:vAlign w:val="center"/>
          </w:tcPr>
          <w:p>
            <w:pPr>
              <w:pStyle w:val="103"/>
            </w:pPr>
            <w:r>
              <w:t>太兴路（达旗第三小学门口对面人行道）</w:t>
            </w:r>
          </w:p>
        </w:tc>
        <w:tc>
          <w:tcPr>
            <w:tcW w:w="1172" w:type="dxa"/>
            <w:tcBorders>
              <w:top w:val="nil"/>
              <w:left w:val="nil"/>
              <w:bottom w:val="single" w:color="auto" w:sz="4" w:space="0"/>
              <w:right w:val="single" w:color="auto" w:sz="4" w:space="0"/>
            </w:tcBorders>
            <w:shd w:val="clear" w:color="auto" w:fill="auto"/>
            <w:vAlign w:val="center"/>
          </w:tcPr>
          <w:p>
            <w:pPr>
              <w:pStyle w:val="103"/>
            </w:pPr>
            <w:r>
              <w:t>1</w:t>
            </w:r>
          </w:p>
        </w:tc>
        <w:tc>
          <w:tcPr>
            <w:tcW w:w="1143" w:type="dxa"/>
            <w:tcBorders>
              <w:top w:val="nil"/>
              <w:left w:val="nil"/>
              <w:bottom w:val="single" w:color="auto" w:sz="4" w:space="0"/>
              <w:right w:val="single" w:color="auto" w:sz="4" w:space="0"/>
            </w:tcBorders>
            <w:shd w:val="clear" w:color="auto" w:fill="auto"/>
            <w:vAlign w:val="center"/>
          </w:tcPr>
          <w:p>
            <w:pPr>
              <w:pStyle w:val="103"/>
            </w:pPr>
            <w:r>
              <w:t>1</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5</w:t>
            </w:r>
          </w:p>
        </w:tc>
        <w:tc>
          <w:tcPr>
            <w:tcW w:w="4266" w:type="dxa"/>
            <w:tcBorders>
              <w:top w:val="nil"/>
              <w:left w:val="nil"/>
              <w:bottom w:val="single" w:color="auto" w:sz="4" w:space="0"/>
              <w:right w:val="single" w:color="auto" w:sz="4" w:space="0"/>
            </w:tcBorders>
            <w:shd w:val="clear" w:color="auto" w:fill="auto"/>
            <w:vAlign w:val="center"/>
          </w:tcPr>
          <w:p>
            <w:pPr>
              <w:pStyle w:val="103"/>
            </w:pPr>
            <w:r>
              <w:t>太兴路（第四幼儿园对面人行道）</w:t>
            </w:r>
          </w:p>
        </w:tc>
        <w:tc>
          <w:tcPr>
            <w:tcW w:w="1172" w:type="dxa"/>
            <w:tcBorders>
              <w:top w:val="nil"/>
              <w:left w:val="nil"/>
              <w:bottom w:val="single" w:color="auto" w:sz="4" w:space="0"/>
              <w:right w:val="single" w:color="auto" w:sz="4" w:space="0"/>
            </w:tcBorders>
            <w:shd w:val="clear" w:color="auto" w:fill="auto"/>
            <w:vAlign w:val="center"/>
          </w:tcPr>
          <w:p>
            <w:pPr>
              <w:pStyle w:val="103"/>
            </w:pPr>
            <w:r>
              <w:t>1</w:t>
            </w:r>
          </w:p>
        </w:tc>
        <w:tc>
          <w:tcPr>
            <w:tcW w:w="1143" w:type="dxa"/>
            <w:tcBorders>
              <w:top w:val="nil"/>
              <w:left w:val="nil"/>
              <w:bottom w:val="single" w:color="auto" w:sz="4" w:space="0"/>
              <w:right w:val="single" w:color="auto" w:sz="4" w:space="0"/>
            </w:tcBorders>
            <w:shd w:val="clear" w:color="auto" w:fill="auto"/>
            <w:vAlign w:val="center"/>
          </w:tcPr>
          <w:p>
            <w:pPr>
              <w:pStyle w:val="103"/>
            </w:pPr>
            <w:r>
              <w:t>1</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6</w:t>
            </w:r>
          </w:p>
        </w:tc>
        <w:tc>
          <w:tcPr>
            <w:tcW w:w="4266" w:type="dxa"/>
            <w:tcBorders>
              <w:top w:val="nil"/>
              <w:left w:val="nil"/>
              <w:bottom w:val="single" w:color="auto" w:sz="4" w:space="0"/>
              <w:right w:val="single" w:color="auto" w:sz="4" w:space="0"/>
            </w:tcBorders>
            <w:shd w:val="clear" w:color="auto" w:fill="auto"/>
            <w:vAlign w:val="center"/>
          </w:tcPr>
          <w:p>
            <w:pPr>
              <w:pStyle w:val="103"/>
            </w:pPr>
            <w:r>
              <w:t>锡尼街（爱心医院）</w:t>
            </w:r>
          </w:p>
        </w:tc>
        <w:tc>
          <w:tcPr>
            <w:tcW w:w="1172" w:type="dxa"/>
            <w:tcBorders>
              <w:top w:val="nil"/>
              <w:left w:val="nil"/>
              <w:bottom w:val="single" w:color="auto" w:sz="4" w:space="0"/>
              <w:right w:val="single" w:color="auto" w:sz="4" w:space="0"/>
            </w:tcBorders>
            <w:shd w:val="clear" w:color="auto" w:fill="auto"/>
            <w:vAlign w:val="center"/>
          </w:tcPr>
          <w:p>
            <w:pPr>
              <w:pStyle w:val="103"/>
            </w:pPr>
            <w:r>
              <w:t>1</w:t>
            </w:r>
          </w:p>
        </w:tc>
        <w:tc>
          <w:tcPr>
            <w:tcW w:w="1143" w:type="dxa"/>
            <w:tcBorders>
              <w:top w:val="nil"/>
              <w:left w:val="nil"/>
              <w:bottom w:val="single" w:color="auto" w:sz="4" w:space="0"/>
              <w:right w:val="single" w:color="auto" w:sz="4" w:space="0"/>
            </w:tcBorders>
            <w:shd w:val="clear" w:color="auto" w:fill="auto"/>
            <w:vAlign w:val="center"/>
          </w:tcPr>
          <w:p>
            <w:pPr>
              <w:pStyle w:val="103"/>
            </w:pPr>
            <w:r>
              <w:t>1</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7</w:t>
            </w:r>
          </w:p>
        </w:tc>
        <w:tc>
          <w:tcPr>
            <w:tcW w:w="4266" w:type="dxa"/>
            <w:tcBorders>
              <w:top w:val="nil"/>
              <w:left w:val="nil"/>
              <w:bottom w:val="single" w:color="auto" w:sz="4" w:space="0"/>
              <w:right w:val="single" w:color="auto" w:sz="4" w:space="0"/>
            </w:tcBorders>
            <w:shd w:val="clear" w:color="auto" w:fill="auto"/>
            <w:vAlign w:val="center"/>
          </w:tcPr>
          <w:p>
            <w:pPr>
              <w:pStyle w:val="103"/>
            </w:pPr>
            <w:r>
              <w:t>锡尼街与昭君路交叉口（西南角）</w:t>
            </w:r>
          </w:p>
        </w:tc>
        <w:tc>
          <w:tcPr>
            <w:tcW w:w="1172" w:type="dxa"/>
            <w:tcBorders>
              <w:top w:val="nil"/>
              <w:left w:val="nil"/>
              <w:bottom w:val="single" w:color="auto" w:sz="4" w:space="0"/>
              <w:right w:val="single" w:color="auto" w:sz="4" w:space="0"/>
            </w:tcBorders>
            <w:shd w:val="clear" w:color="auto" w:fill="auto"/>
            <w:vAlign w:val="center"/>
          </w:tcPr>
          <w:p>
            <w:pPr>
              <w:pStyle w:val="103"/>
            </w:pPr>
            <w:r>
              <w:t>1</w:t>
            </w:r>
          </w:p>
        </w:tc>
        <w:tc>
          <w:tcPr>
            <w:tcW w:w="1143" w:type="dxa"/>
            <w:tcBorders>
              <w:top w:val="nil"/>
              <w:left w:val="nil"/>
              <w:bottom w:val="single" w:color="auto" w:sz="4" w:space="0"/>
              <w:right w:val="single" w:color="auto" w:sz="4" w:space="0"/>
            </w:tcBorders>
            <w:shd w:val="clear" w:color="auto" w:fill="auto"/>
            <w:vAlign w:val="center"/>
          </w:tcPr>
          <w:p>
            <w:pPr>
              <w:pStyle w:val="103"/>
            </w:pPr>
            <w:r>
              <w:t>2</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8</w:t>
            </w:r>
          </w:p>
        </w:tc>
        <w:tc>
          <w:tcPr>
            <w:tcW w:w="4266" w:type="dxa"/>
            <w:tcBorders>
              <w:top w:val="nil"/>
              <w:left w:val="nil"/>
              <w:bottom w:val="single" w:color="auto" w:sz="4" w:space="0"/>
              <w:right w:val="single" w:color="auto" w:sz="4" w:space="0"/>
            </w:tcBorders>
            <w:shd w:val="clear" w:color="auto" w:fill="auto"/>
            <w:vAlign w:val="center"/>
          </w:tcPr>
          <w:p>
            <w:pPr>
              <w:pStyle w:val="103"/>
            </w:pPr>
            <w:r>
              <w:t>太兴路与锡尼街交叉口（东南角）</w:t>
            </w:r>
          </w:p>
        </w:tc>
        <w:tc>
          <w:tcPr>
            <w:tcW w:w="1172" w:type="dxa"/>
            <w:tcBorders>
              <w:top w:val="nil"/>
              <w:left w:val="nil"/>
              <w:bottom w:val="single" w:color="auto" w:sz="4" w:space="0"/>
              <w:right w:val="single" w:color="auto" w:sz="4" w:space="0"/>
            </w:tcBorders>
            <w:shd w:val="clear" w:color="auto" w:fill="auto"/>
            <w:vAlign w:val="center"/>
          </w:tcPr>
          <w:p>
            <w:pPr>
              <w:pStyle w:val="103"/>
            </w:pPr>
            <w:r>
              <w:t>1</w:t>
            </w:r>
          </w:p>
        </w:tc>
        <w:tc>
          <w:tcPr>
            <w:tcW w:w="1143" w:type="dxa"/>
            <w:tcBorders>
              <w:top w:val="nil"/>
              <w:left w:val="nil"/>
              <w:bottom w:val="single" w:color="auto" w:sz="4" w:space="0"/>
              <w:right w:val="single" w:color="auto" w:sz="4" w:space="0"/>
            </w:tcBorders>
            <w:shd w:val="clear" w:color="auto" w:fill="auto"/>
            <w:vAlign w:val="center"/>
          </w:tcPr>
          <w:p>
            <w:pPr>
              <w:pStyle w:val="103"/>
            </w:pPr>
            <w:r>
              <w:t>2</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　</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9</w:t>
            </w:r>
          </w:p>
        </w:tc>
        <w:tc>
          <w:tcPr>
            <w:tcW w:w="4266" w:type="dxa"/>
            <w:tcBorders>
              <w:top w:val="nil"/>
              <w:left w:val="nil"/>
              <w:bottom w:val="single" w:color="auto" w:sz="4" w:space="0"/>
              <w:right w:val="single" w:color="auto" w:sz="4" w:space="0"/>
            </w:tcBorders>
            <w:shd w:val="clear" w:color="auto" w:fill="auto"/>
            <w:vAlign w:val="center"/>
          </w:tcPr>
          <w:p>
            <w:pPr>
              <w:pStyle w:val="103"/>
            </w:pPr>
            <w:r>
              <w:t>太兴路与锡尼街交叉口（西南角公厕旁）</w:t>
            </w:r>
          </w:p>
        </w:tc>
        <w:tc>
          <w:tcPr>
            <w:tcW w:w="1172" w:type="dxa"/>
            <w:tcBorders>
              <w:top w:val="nil"/>
              <w:left w:val="nil"/>
              <w:bottom w:val="single" w:color="auto" w:sz="4" w:space="0"/>
              <w:right w:val="single" w:color="auto" w:sz="4" w:space="0"/>
            </w:tcBorders>
            <w:shd w:val="clear" w:color="auto" w:fill="auto"/>
            <w:vAlign w:val="center"/>
          </w:tcPr>
          <w:p>
            <w:pPr>
              <w:pStyle w:val="103"/>
            </w:pPr>
            <w:r>
              <w:t>1</w:t>
            </w:r>
          </w:p>
        </w:tc>
        <w:tc>
          <w:tcPr>
            <w:tcW w:w="1143" w:type="dxa"/>
            <w:tcBorders>
              <w:top w:val="nil"/>
              <w:left w:val="nil"/>
              <w:bottom w:val="single" w:color="auto" w:sz="4" w:space="0"/>
              <w:right w:val="single" w:color="auto" w:sz="4" w:space="0"/>
            </w:tcBorders>
            <w:shd w:val="clear" w:color="auto" w:fill="auto"/>
            <w:vAlign w:val="center"/>
          </w:tcPr>
          <w:p>
            <w:pPr>
              <w:pStyle w:val="103"/>
            </w:pPr>
            <w:r>
              <w:t>2</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10</w:t>
            </w:r>
          </w:p>
        </w:tc>
        <w:tc>
          <w:tcPr>
            <w:tcW w:w="4266" w:type="dxa"/>
            <w:tcBorders>
              <w:top w:val="nil"/>
              <w:left w:val="nil"/>
              <w:bottom w:val="single" w:color="auto" w:sz="4" w:space="0"/>
              <w:right w:val="single" w:color="auto" w:sz="4" w:space="0"/>
            </w:tcBorders>
            <w:shd w:val="clear" w:color="auto" w:fill="auto"/>
            <w:vAlign w:val="center"/>
          </w:tcPr>
          <w:p>
            <w:pPr>
              <w:pStyle w:val="103"/>
            </w:pPr>
            <w:r>
              <w:t>锡尼街（蒙古族学校）</w:t>
            </w:r>
          </w:p>
        </w:tc>
        <w:tc>
          <w:tcPr>
            <w:tcW w:w="1172" w:type="dxa"/>
            <w:tcBorders>
              <w:top w:val="nil"/>
              <w:left w:val="nil"/>
              <w:bottom w:val="single" w:color="auto" w:sz="4" w:space="0"/>
              <w:right w:val="single" w:color="auto" w:sz="4" w:space="0"/>
            </w:tcBorders>
            <w:shd w:val="clear" w:color="auto" w:fill="auto"/>
            <w:vAlign w:val="center"/>
          </w:tcPr>
          <w:p>
            <w:pPr>
              <w:pStyle w:val="103"/>
            </w:pPr>
            <w:r>
              <w:t>1</w:t>
            </w:r>
          </w:p>
        </w:tc>
        <w:tc>
          <w:tcPr>
            <w:tcW w:w="1143" w:type="dxa"/>
            <w:tcBorders>
              <w:top w:val="nil"/>
              <w:left w:val="nil"/>
              <w:bottom w:val="single" w:color="auto" w:sz="4" w:space="0"/>
              <w:right w:val="single" w:color="auto" w:sz="4" w:space="0"/>
            </w:tcBorders>
            <w:shd w:val="clear" w:color="auto" w:fill="auto"/>
            <w:vAlign w:val="center"/>
          </w:tcPr>
          <w:p>
            <w:pPr>
              <w:pStyle w:val="103"/>
            </w:pPr>
            <w:r>
              <w:t>2</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11</w:t>
            </w:r>
          </w:p>
        </w:tc>
        <w:tc>
          <w:tcPr>
            <w:tcW w:w="4266" w:type="dxa"/>
            <w:tcBorders>
              <w:top w:val="nil"/>
              <w:left w:val="nil"/>
              <w:bottom w:val="single" w:color="auto" w:sz="4" w:space="0"/>
              <w:right w:val="single" w:color="auto" w:sz="4" w:space="0"/>
            </w:tcBorders>
            <w:shd w:val="clear" w:color="auto" w:fill="auto"/>
            <w:vAlign w:val="center"/>
          </w:tcPr>
          <w:p>
            <w:pPr>
              <w:pStyle w:val="103"/>
            </w:pPr>
            <w:r>
              <w:t>树林召大街（农电局）</w:t>
            </w:r>
          </w:p>
        </w:tc>
        <w:tc>
          <w:tcPr>
            <w:tcW w:w="1172" w:type="dxa"/>
            <w:tcBorders>
              <w:top w:val="nil"/>
              <w:left w:val="nil"/>
              <w:bottom w:val="single" w:color="auto" w:sz="4" w:space="0"/>
              <w:right w:val="single" w:color="auto" w:sz="4" w:space="0"/>
            </w:tcBorders>
            <w:shd w:val="clear" w:color="auto" w:fill="auto"/>
            <w:vAlign w:val="center"/>
          </w:tcPr>
          <w:p>
            <w:pPr>
              <w:pStyle w:val="103"/>
            </w:pPr>
            <w:r>
              <w:t>1</w:t>
            </w:r>
          </w:p>
        </w:tc>
        <w:tc>
          <w:tcPr>
            <w:tcW w:w="1143" w:type="dxa"/>
            <w:tcBorders>
              <w:top w:val="nil"/>
              <w:left w:val="nil"/>
              <w:bottom w:val="single" w:color="auto" w:sz="4" w:space="0"/>
              <w:right w:val="single" w:color="auto" w:sz="4" w:space="0"/>
            </w:tcBorders>
            <w:shd w:val="clear" w:color="auto" w:fill="auto"/>
            <w:vAlign w:val="center"/>
          </w:tcPr>
          <w:p>
            <w:pPr>
              <w:pStyle w:val="103"/>
            </w:pPr>
            <w:r>
              <w:t>1</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12</w:t>
            </w:r>
          </w:p>
        </w:tc>
        <w:tc>
          <w:tcPr>
            <w:tcW w:w="4266" w:type="dxa"/>
            <w:tcBorders>
              <w:top w:val="nil"/>
              <w:left w:val="nil"/>
              <w:bottom w:val="single" w:color="auto" w:sz="4" w:space="0"/>
              <w:right w:val="single" w:color="auto" w:sz="4" w:space="0"/>
            </w:tcBorders>
            <w:shd w:val="clear" w:color="auto" w:fill="auto"/>
            <w:vAlign w:val="center"/>
          </w:tcPr>
          <w:p>
            <w:pPr>
              <w:pStyle w:val="103"/>
            </w:pPr>
            <w:r>
              <w:t>星光幼儿园对面</w:t>
            </w:r>
          </w:p>
        </w:tc>
        <w:tc>
          <w:tcPr>
            <w:tcW w:w="1172" w:type="dxa"/>
            <w:tcBorders>
              <w:top w:val="nil"/>
              <w:left w:val="nil"/>
              <w:bottom w:val="single" w:color="auto" w:sz="4" w:space="0"/>
              <w:right w:val="single" w:color="auto" w:sz="4" w:space="0"/>
            </w:tcBorders>
            <w:shd w:val="clear" w:color="auto" w:fill="auto"/>
            <w:vAlign w:val="center"/>
          </w:tcPr>
          <w:p>
            <w:pPr>
              <w:pStyle w:val="103"/>
            </w:pPr>
            <w:r>
              <w:t>　</w:t>
            </w:r>
          </w:p>
        </w:tc>
        <w:tc>
          <w:tcPr>
            <w:tcW w:w="1143" w:type="dxa"/>
            <w:tcBorders>
              <w:top w:val="nil"/>
              <w:left w:val="nil"/>
              <w:bottom w:val="single" w:color="auto" w:sz="4" w:space="0"/>
              <w:right w:val="single" w:color="auto" w:sz="4" w:space="0"/>
            </w:tcBorders>
            <w:shd w:val="clear" w:color="auto" w:fill="auto"/>
            <w:vAlign w:val="center"/>
          </w:tcPr>
          <w:p>
            <w:pPr>
              <w:pStyle w:val="103"/>
            </w:pPr>
            <w:r>
              <w:t>　</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　</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13</w:t>
            </w:r>
          </w:p>
        </w:tc>
        <w:tc>
          <w:tcPr>
            <w:tcW w:w="4266" w:type="dxa"/>
            <w:tcBorders>
              <w:top w:val="nil"/>
              <w:left w:val="nil"/>
              <w:bottom w:val="single" w:color="auto" w:sz="4" w:space="0"/>
              <w:right w:val="single" w:color="auto" w:sz="4" w:space="0"/>
            </w:tcBorders>
            <w:shd w:val="clear" w:color="auto" w:fill="auto"/>
            <w:vAlign w:val="center"/>
          </w:tcPr>
          <w:p>
            <w:pPr>
              <w:pStyle w:val="103"/>
            </w:pPr>
            <w:r>
              <w:t>太兴路与惠民农贸市场出口路丁字路口（路北）</w:t>
            </w:r>
          </w:p>
        </w:tc>
        <w:tc>
          <w:tcPr>
            <w:tcW w:w="1172" w:type="dxa"/>
            <w:tcBorders>
              <w:top w:val="nil"/>
              <w:left w:val="nil"/>
              <w:bottom w:val="single" w:color="auto" w:sz="4" w:space="0"/>
              <w:right w:val="single" w:color="auto" w:sz="4" w:space="0"/>
            </w:tcBorders>
            <w:shd w:val="clear" w:color="auto" w:fill="auto"/>
            <w:vAlign w:val="center"/>
          </w:tcPr>
          <w:p>
            <w:pPr>
              <w:pStyle w:val="103"/>
            </w:pPr>
            <w:r>
              <w:t>1</w:t>
            </w:r>
          </w:p>
        </w:tc>
        <w:tc>
          <w:tcPr>
            <w:tcW w:w="1143" w:type="dxa"/>
            <w:tcBorders>
              <w:top w:val="nil"/>
              <w:left w:val="nil"/>
              <w:bottom w:val="single" w:color="auto" w:sz="4" w:space="0"/>
              <w:right w:val="single" w:color="auto" w:sz="4" w:space="0"/>
            </w:tcBorders>
            <w:shd w:val="clear" w:color="auto" w:fill="auto"/>
            <w:vAlign w:val="center"/>
          </w:tcPr>
          <w:p>
            <w:pPr>
              <w:pStyle w:val="103"/>
            </w:pPr>
            <w:r>
              <w:t>2</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14</w:t>
            </w:r>
          </w:p>
        </w:tc>
        <w:tc>
          <w:tcPr>
            <w:tcW w:w="4266" w:type="dxa"/>
            <w:tcBorders>
              <w:top w:val="nil"/>
              <w:left w:val="nil"/>
              <w:bottom w:val="single" w:color="auto" w:sz="4" w:space="0"/>
              <w:right w:val="single" w:color="auto" w:sz="4" w:space="0"/>
            </w:tcBorders>
            <w:shd w:val="clear" w:color="auto" w:fill="auto"/>
            <w:vAlign w:val="center"/>
          </w:tcPr>
          <w:p>
            <w:pPr>
              <w:pStyle w:val="103"/>
            </w:pPr>
            <w:r>
              <w:t>万凯家园东门南边小巷丁字路口</w:t>
            </w:r>
          </w:p>
        </w:tc>
        <w:tc>
          <w:tcPr>
            <w:tcW w:w="1172" w:type="dxa"/>
            <w:tcBorders>
              <w:top w:val="nil"/>
              <w:left w:val="nil"/>
              <w:bottom w:val="single" w:color="auto" w:sz="4" w:space="0"/>
              <w:right w:val="single" w:color="auto" w:sz="4" w:space="0"/>
            </w:tcBorders>
            <w:shd w:val="clear" w:color="auto" w:fill="auto"/>
            <w:vAlign w:val="center"/>
          </w:tcPr>
          <w:p>
            <w:pPr>
              <w:pStyle w:val="103"/>
            </w:pPr>
            <w:r>
              <w:t>　</w:t>
            </w:r>
          </w:p>
        </w:tc>
        <w:tc>
          <w:tcPr>
            <w:tcW w:w="1143" w:type="dxa"/>
            <w:tcBorders>
              <w:top w:val="nil"/>
              <w:left w:val="nil"/>
              <w:bottom w:val="single" w:color="auto" w:sz="4" w:space="0"/>
              <w:right w:val="single" w:color="auto" w:sz="4" w:space="0"/>
            </w:tcBorders>
            <w:shd w:val="clear" w:color="auto" w:fill="auto"/>
            <w:vAlign w:val="center"/>
          </w:tcPr>
          <w:p>
            <w:pPr>
              <w:pStyle w:val="103"/>
            </w:pPr>
            <w:r>
              <w:t>1</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15</w:t>
            </w:r>
          </w:p>
        </w:tc>
        <w:tc>
          <w:tcPr>
            <w:tcW w:w="4266" w:type="dxa"/>
            <w:tcBorders>
              <w:top w:val="nil"/>
              <w:left w:val="nil"/>
              <w:bottom w:val="single" w:color="auto" w:sz="4" w:space="0"/>
              <w:right w:val="single" w:color="auto" w:sz="4" w:space="0"/>
            </w:tcBorders>
            <w:shd w:val="clear" w:color="auto" w:fill="auto"/>
            <w:vAlign w:val="center"/>
          </w:tcPr>
          <w:p>
            <w:pPr>
              <w:pStyle w:val="103"/>
            </w:pPr>
            <w:r>
              <w:t>迎宾大街（市政广场南门对面）</w:t>
            </w:r>
          </w:p>
        </w:tc>
        <w:tc>
          <w:tcPr>
            <w:tcW w:w="1172" w:type="dxa"/>
            <w:tcBorders>
              <w:top w:val="nil"/>
              <w:left w:val="nil"/>
              <w:bottom w:val="single" w:color="auto" w:sz="4" w:space="0"/>
              <w:right w:val="single" w:color="auto" w:sz="4" w:space="0"/>
            </w:tcBorders>
            <w:shd w:val="clear" w:color="auto" w:fill="auto"/>
            <w:vAlign w:val="center"/>
          </w:tcPr>
          <w:p>
            <w:pPr>
              <w:pStyle w:val="103"/>
            </w:pPr>
            <w:r>
              <w:t>1</w:t>
            </w:r>
          </w:p>
        </w:tc>
        <w:tc>
          <w:tcPr>
            <w:tcW w:w="1143" w:type="dxa"/>
            <w:tcBorders>
              <w:top w:val="nil"/>
              <w:left w:val="nil"/>
              <w:bottom w:val="single" w:color="auto" w:sz="4" w:space="0"/>
              <w:right w:val="single" w:color="auto" w:sz="4" w:space="0"/>
            </w:tcBorders>
            <w:shd w:val="clear" w:color="auto" w:fill="auto"/>
            <w:vAlign w:val="center"/>
          </w:tcPr>
          <w:p>
            <w:pPr>
              <w:pStyle w:val="103"/>
            </w:pPr>
            <w:r>
              <w:t>2</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16</w:t>
            </w:r>
          </w:p>
        </w:tc>
        <w:tc>
          <w:tcPr>
            <w:tcW w:w="4266" w:type="dxa"/>
            <w:tcBorders>
              <w:top w:val="nil"/>
              <w:left w:val="nil"/>
              <w:bottom w:val="single" w:color="auto" w:sz="4" w:space="0"/>
              <w:right w:val="single" w:color="auto" w:sz="4" w:space="0"/>
            </w:tcBorders>
            <w:shd w:val="clear" w:color="auto" w:fill="auto"/>
            <w:vAlign w:val="center"/>
          </w:tcPr>
          <w:p>
            <w:pPr>
              <w:pStyle w:val="103"/>
            </w:pPr>
            <w:r>
              <w:t>旗政府门口</w:t>
            </w:r>
          </w:p>
        </w:tc>
        <w:tc>
          <w:tcPr>
            <w:tcW w:w="1172" w:type="dxa"/>
            <w:tcBorders>
              <w:top w:val="nil"/>
              <w:left w:val="nil"/>
              <w:bottom w:val="single" w:color="auto" w:sz="4" w:space="0"/>
              <w:right w:val="single" w:color="auto" w:sz="4" w:space="0"/>
            </w:tcBorders>
            <w:shd w:val="clear" w:color="auto" w:fill="auto"/>
            <w:vAlign w:val="center"/>
          </w:tcPr>
          <w:p>
            <w:pPr>
              <w:pStyle w:val="103"/>
            </w:pPr>
            <w:r>
              <w:t>1</w:t>
            </w:r>
          </w:p>
        </w:tc>
        <w:tc>
          <w:tcPr>
            <w:tcW w:w="1143" w:type="dxa"/>
            <w:tcBorders>
              <w:top w:val="nil"/>
              <w:left w:val="nil"/>
              <w:bottom w:val="single" w:color="auto" w:sz="4" w:space="0"/>
              <w:right w:val="single" w:color="auto" w:sz="4" w:space="0"/>
            </w:tcBorders>
            <w:shd w:val="clear" w:color="auto" w:fill="auto"/>
            <w:vAlign w:val="center"/>
          </w:tcPr>
          <w:p>
            <w:pPr>
              <w:pStyle w:val="103"/>
            </w:pPr>
            <w:r>
              <w:t>2</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17</w:t>
            </w:r>
          </w:p>
        </w:tc>
        <w:tc>
          <w:tcPr>
            <w:tcW w:w="4266" w:type="dxa"/>
            <w:tcBorders>
              <w:top w:val="nil"/>
              <w:left w:val="nil"/>
              <w:bottom w:val="single" w:color="auto" w:sz="4" w:space="0"/>
              <w:right w:val="single" w:color="auto" w:sz="4" w:space="0"/>
            </w:tcBorders>
            <w:shd w:val="clear" w:color="auto" w:fill="auto"/>
            <w:vAlign w:val="center"/>
          </w:tcPr>
          <w:p>
            <w:pPr>
              <w:pStyle w:val="103"/>
            </w:pPr>
            <w:r>
              <w:t>长胜路与迎宾大街交叉口（东北角）</w:t>
            </w:r>
          </w:p>
        </w:tc>
        <w:tc>
          <w:tcPr>
            <w:tcW w:w="1172" w:type="dxa"/>
            <w:tcBorders>
              <w:top w:val="nil"/>
              <w:left w:val="nil"/>
              <w:bottom w:val="single" w:color="auto" w:sz="4" w:space="0"/>
              <w:right w:val="single" w:color="auto" w:sz="4" w:space="0"/>
            </w:tcBorders>
            <w:shd w:val="clear" w:color="auto" w:fill="auto"/>
            <w:vAlign w:val="center"/>
          </w:tcPr>
          <w:p>
            <w:pPr>
              <w:pStyle w:val="103"/>
            </w:pPr>
            <w:r>
              <w:t>1</w:t>
            </w:r>
          </w:p>
        </w:tc>
        <w:tc>
          <w:tcPr>
            <w:tcW w:w="1143" w:type="dxa"/>
            <w:tcBorders>
              <w:top w:val="nil"/>
              <w:left w:val="nil"/>
              <w:bottom w:val="single" w:color="auto" w:sz="4" w:space="0"/>
              <w:right w:val="single" w:color="auto" w:sz="4" w:space="0"/>
            </w:tcBorders>
            <w:shd w:val="clear" w:color="auto" w:fill="auto"/>
            <w:vAlign w:val="center"/>
          </w:tcPr>
          <w:p>
            <w:pPr>
              <w:pStyle w:val="103"/>
            </w:pPr>
            <w:r>
              <w:t>2</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18</w:t>
            </w:r>
          </w:p>
        </w:tc>
        <w:tc>
          <w:tcPr>
            <w:tcW w:w="4266" w:type="dxa"/>
            <w:tcBorders>
              <w:top w:val="nil"/>
              <w:left w:val="nil"/>
              <w:bottom w:val="single" w:color="auto" w:sz="4" w:space="0"/>
              <w:right w:val="single" w:color="auto" w:sz="4" w:space="0"/>
            </w:tcBorders>
            <w:shd w:val="clear" w:color="auto" w:fill="auto"/>
            <w:vAlign w:val="center"/>
          </w:tcPr>
          <w:p>
            <w:pPr>
              <w:pStyle w:val="103"/>
            </w:pPr>
            <w:r>
              <w:t>长胜路与迎宾大街交叉口（西南角）</w:t>
            </w:r>
          </w:p>
        </w:tc>
        <w:tc>
          <w:tcPr>
            <w:tcW w:w="1172" w:type="dxa"/>
            <w:tcBorders>
              <w:top w:val="nil"/>
              <w:left w:val="nil"/>
              <w:bottom w:val="single" w:color="auto" w:sz="4" w:space="0"/>
              <w:right w:val="single" w:color="auto" w:sz="4" w:space="0"/>
            </w:tcBorders>
            <w:shd w:val="clear" w:color="auto" w:fill="auto"/>
            <w:vAlign w:val="center"/>
          </w:tcPr>
          <w:p>
            <w:pPr>
              <w:pStyle w:val="103"/>
            </w:pPr>
            <w:r>
              <w:t>1</w:t>
            </w:r>
          </w:p>
        </w:tc>
        <w:tc>
          <w:tcPr>
            <w:tcW w:w="1143" w:type="dxa"/>
            <w:tcBorders>
              <w:top w:val="nil"/>
              <w:left w:val="nil"/>
              <w:bottom w:val="single" w:color="auto" w:sz="4" w:space="0"/>
              <w:right w:val="single" w:color="auto" w:sz="4" w:space="0"/>
            </w:tcBorders>
            <w:shd w:val="clear" w:color="auto" w:fill="auto"/>
            <w:vAlign w:val="center"/>
          </w:tcPr>
          <w:p>
            <w:pPr>
              <w:pStyle w:val="103"/>
            </w:pPr>
            <w:r>
              <w:t>　</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19</w:t>
            </w:r>
          </w:p>
        </w:tc>
        <w:tc>
          <w:tcPr>
            <w:tcW w:w="4266" w:type="dxa"/>
            <w:tcBorders>
              <w:top w:val="nil"/>
              <w:left w:val="nil"/>
              <w:bottom w:val="single" w:color="auto" w:sz="4" w:space="0"/>
              <w:right w:val="single" w:color="auto" w:sz="4" w:space="0"/>
            </w:tcBorders>
            <w:shd w:val="clear" w:color="auto" w:fill="auto"/>
            <w:vAlign w:val="center"/>
          </w:tcPr>
          <w:p>
            <w:pPr>
              <w:pStyle w:val="103"/>
            </w:pPr>
            <w:r>
              <w:t>长胜路（新华书店三叉路口）</w:t>
            </w:r>
          </w:p>
        </w:tc>
        <w:tc>
          <w:tcPr>
            <w:tcW w:w="1172" w:type="dxa"/>
            <w:tcBorders>
              <w:top w:val="nil"/>
              <w:left w:val="nil"/>
              <w:bottom w:val="single" w:color="auto" w:sz="4" w:space="0"/>
              <w:right w:val="single" w:color="auto" w:sz="4" w:space="0"/>
            </w:tcBorders>
            <w:shd w:val="clear" w:color="auto" w:fill="auto"/>
            <w:vAlign w:val="center"/>
          </w:tcPr>
          <w:p>
            <w:pPr>
              <w:pStyle w:val="103"/>
            </w:pPr>
            <w:r>
              <w:t>1</w:t>
            </w:r>
          </w:p>
        </w:tc>
        <w:tc>
          <w:tcPr>
            <w:tcW w:w="1143" w:type="dxa"/>
            <w:tcBorders>
              <w:top w:val="nil"/>
              <w:left w:val="nil"/>
              <w:bottom w:val="single" w:color="auto" w:sz="4" w:space="0"/>
              <w:right w:val="single" w:color="auto" w:sz="4" w:space="0"/>
            </w:tcBorders>
            <w:shd w:val="clear" w:color="auto" w:fill="auto"/>
            <w:vAlign w:val="center"/>
          </w:tcPr>
          <w:p>
            <w:pPr>
              <w:pStyle w:val="103"/>
            </w:pPr>
            <w:r>
              <w:t>2</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20</w:t>
            </w:r>
          </w:p>
        </w:tc>
        <w:tc>
          <w:tcPr>
            <w:tcW w:w="4266" w:type="dxa"/>
            <w:tcBorders>
              <w:top w:val="nil"/>
              <w:left w:val="nil"/>
              <w:bottom w:val="single" w:color="auto" w:sz="4" w:space="0"/>
              <w:right w:val="single" w:color="auto" w:sz="4" w:space="0"/>
            </w:tcBorders>
            <w:shd w:val="clear" w:color="auto" w:fill="auto"/>
            <w:vAlign w:val="center"/>
          </w:tcPr>
          <w:p>
            <w:pPr>
              <w:pStyle w:val="103"/>
            </w:pPr>
            <w:r>
              <w:t>建设路与树林召大街交叉口（西北角）</w:t>
            </w:r>
          </w:p>
        </w:tc>
        <w:tc>
          <w:tcPr>
            <w:tcW w:w="1172" w:type="dxa"/>
            <w:tcBorders>
              <w:top w:val="nil"/>
              <w:left w:val="nil"/>
              <w:bottom w:val="single" w:color="auto" w:sz="4" w:space="0"/>
              <w:right w:val="single" w:color="auto" w:sz="4" w:space="0"/>
            </w:tcBorders>
            <w:shd w:val="clear" w:color="auto" w:fill="auto"/>
            <w:vAlign w:val="center"/>
          </w:tcPr>
          <w:p>
            <w:pPr>
              <w:pStyle w:val="103"/>
            </w:pPr>
            <w:r>
              <w:t>　</w:t>
            </w:r>
          </w:p>
        </w:tc>
        <w:tc>
          <w:tcPr>
            <w:tcW w:w="1143" w:type="dxa"/>
            <w:tcBorders>
              <w:top w:val="nil"/>
              <w:left w:val="nil"/>
              <w:bottom w:val="single" w:color="auto" w:sz="4" w:space="0"/>
              <w:right w:val="single" w:color="auto" w:sz="4" w:space="0"/>
            </w:tcBorders>
            <w:shd w:val="clear" w:color="auto" w:fill="auto"/>
            <w:vAlign w:val="center"/>
          </w:tcPr>
          <w:p>
            <w:pPr>
              <w:pStyle w:val="103"/>
            </w:pPr>
            <w:r>
              <w:t>2</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21</w:t>
            </w:r>
          </w:p>
        </w:tc>
        <w:tc>
          <w:tcPr>
            <w:tcW w:w="4266" w:type="dxa"/>
            <w:tcBorders>
              <w:top w:val="nil"/>
              <w:left w:val="nil"/>
              <w:bottom w:val="single" w:color="auto" w:sz="4" w:space="0"/>
              <w:right w:val="single" w:color="auto" w:sz="4" w:space="0"/>
            </w:tcBorders>
            <w:shd w:val="clear" w:color="auto" w:fill="auto"/>
            <w:vAlign w:val="center"/>
          </w:tcPr>
          <w:p>
            <w:pPr>
              <w:pStyle w:val="103"/>
            </w:pPr>
            <w:r>
              <w:t>建设路与树林召大街交叉口（东南角）</w:t>
            </w:r>
          </w:p>
        </w:tc>
        <w:tc>
          <w:tcPr>
            <w:tcW w:w="1172" w:type="dxa"/>
            <w:tcBorders>
              <w:top w:val="nil"/>
              <w:left w:val="nil"/>
              <w:bottom w:val="single" w:color="auto" w:sz="4" w:space="0"/>
              <w:right w:val="single" w:color="auto" w:sz="4" w:space="0"/>
            </w:tcBorders>
            <w:shd w:val="clear" w:color="auto" w:fill="auto"/>
            <w:vAlign w:val="center"/>
          </w:tcPr>
          <w:p>
            <w:pPr>
              <w:pStyle w:val="103"/>
            </w:pPr>
            <w:r>
              <w:t>1</w:t>
            </w:r>
          </w:p>
        </w:tc>
        <w:tc>
          <w:tcPr>
            <w:tcW w:w="1143" w:type="dxa"/>
            <w:tcBorders>
              <w:top w:val="nil"/>
              <w:left w:val="nil"/>
              <w:bottom w:val="single" w:color="auto" w:sz="4" w:space="0"/>
              <w:right w:val="single" w:color="auto" w:sz="4" w:space="0"/>
            </w:tcBorders>
            <w:shd w:val="clear" w:color="auto" w:fill="auto"/>
            <w:vAlign w:val="center"/>
          </w:tcPr>
          <w:p>
            <w:pPr>
              <w:pStyle w:val="103"/>
            </w:pPr>
            <w:r>
              <w:t>1</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22</w:t>
            </w:r>
          </w:p>
        </w:tc>
        <w:tc>
          <w:tcPr>
            <w:tcW w:w="4266" w:type="dxa"/>
            <w:tcBorders>
              <w:top w:val="nil"/>
              <w:left w:val="nil"/>
              <w:bottom w:val="single" w:color="auto" w:sz="4" w:space="0"/>
              <w:right w:val="single" w:color="auto" w:sz="4" w:space="0"/>
            </w:tcBorders>
            <w:shd w:val="clear" w:color="auto" w:fill="auto"/>
            <w:vAlign w:val="center"/>
          </w:tcPr>
          <w:p>
            <w:pPr>
              <w:pStyle w:val="103"/>
            </w:pPr>
            <w:r>
              <w:t>十完小小巷丁字路口</w:t>
            </w:r>
          </w:p>
        </w:tc>
        <w:tc>
          <w:tcPr>
            <w:tcW w:w="1172" w:type="dxa"/>
            <w:tcBorders>
              <w:top w:val="nil"/>
              <w:left w:val="nil"/>
              <w:bottom w:val="single" w:color="auto" w:sz="4" w:space="0"/>
              <w:right w:val="single" w:color="auto" w:sz="4" w:space="0"/>
            </w:tcBorders>
            <w:shd w:val="clear" w:color="auto" w:fill="auto"/>
            <w:vAlign w:val="center"/>
          </w:tcPr>
          <w:p>
            <w:pPr>
              <w:pStyle w:val="103"/>
            </w:pPr>
            <w:r>
              <w:t>1</w:t>
            </w:r>
          </w:p>
        </w:tc>
        <w:tc>
          <w:tcPr>
            <w:tcW w:w="1143" w:type="dxa"/>
            <w:tcBorders>
              <w:top w:val="nil"/>
              <w:left w:val="nil"/>
              <w:bottom w:val="single" w:color="auto" w:sz="4" w:space="0"/>
              <w:right w:val="single" w:color="auto" w:sz="4" w:space="0"/>
            </w:tcBorders>
            <w:shd w:val="clear" w:color="auto" w:fill="auto"/>
            <w:vAlign w:val="center"/>
          </w:tcPr>
          <w:p>
            <w:pPr>
              <w:pStyle w:val="103"/>
            </w:pPr>
            <w:r>
              <w:t>1</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23</w:t>
            </w:r>
          </w:p>
        </w:tc>
        <w:tc>
          <w:tcPr>
            <w:tcW w:w="4266" w:type="dxa"/>
            <w:tcBorders>
              <w:top w:val="nil"/>
              <w:left w:val="nil"/>
              <w:bottom w:val="single" w:color="auto" w:sz="4" w:space="0"/>
              <w:right w:val="single" w:color="auto" w:sz="4" w:space="0"/>
            </w:tcBorders>
            <w:shd w:val="clear" w:color="auto" w:fill="auto"/>
            <w:vAlign w:val="center"/>
          </w:tcPr>
          <w:p>
            <w:pPr>
              <w:pStyle w:val="103"/>
            </w:pPr>
            <w:r>
              <w:t>迎宾大街与昭君路交界（东达市场）</w:t>
            </w:r>
          </w:p>
        </w:tc>
        <w:tc>
          <w:tcPr>
            <w:tcW w:w="1172" w:type="dxa"/>
            <w:tcBorders>
              <w:top w:val="nil"/>
              <w:left w:val="nil"/>
              <w:bottom w:val="single" w:color="auto" w:sz="4" w:space="0"/>
              <w:right w:val="single" w:color="auto" w:sz="4" w:space="0"/>
            </w:tcBorders>
            <w:shd w:val="clear" w:color="auto" w:fill="auto"/>
            <w:vAlign w:val="center"/>
          </w:tcPr>
          <w:p>
            <w:pPr>
              <w:pStyle w:val="103"/>
            </w:pPr>
            <w:r>
              <w:t>1</w:t>
            </w:r>
          </w:p>
        </w:tc>
        <w:tc>
          <w:tcPr>
            <w:tcW w:w="1143" w:type="dxa"/>
            <w:tcBorders>
              <w:top w:val="nil"/>
              <w:left w:val="nil"/>
              <w:bottom w:val="single" w:color="auto" w:sz="4" w:space="0"/>
              <w:right w:val="single" w:color="auto" w:sz="4" w:space="0"/>
            </w:tcBorders>
            <w:shd w:val="clear" w:color="auto" w:fill="auto"/>
            <w:vAlign w:val="center"/>
          </w:tcPr>
          <w:p>
            <w:pPr>
              <w:pStyle w:val="103"/>
            </w:pPr>
            <w:r>
              <w:t>2</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24</w:t>
            </w:r>
          </w:p>
        </w:tc>
        <w:tc>
          <w:tcPr>
            <w:tcW w:w="4266" w:type="dxa"/>
            <w:tcBorders>
              <w:top w:val="nil"/>
              <w:left w:val="nil"/>
              <w:bottom w:val="single" w:color="auto" w:sz="4" w:space="0"/>
              <w:right w:val="single" w:color="auto" w:sz="4" w:space="0"/>
            </w:tcBorders>
            <w:shd w:val="clear" w:color="auto" w:fill="auto"/>
            <w:vAlign w:val="center"/>
          </w:tcPr>
          <w:p>
            <w:pPr>
              <w:pStyle w:val="103"/>
            </w:pPr>
            <w:r>
              <w:t>G210国道与迎宾大街交叉路口</w:t>
            </w:r>
          </w:p>
        </w:tc>
        <w:tc>
          <w:tcPr>
            <w:tcW w:w="1172" w:type="dxa"/>
            <w:tcBorders>
              <w:top w:val="nil"/>
              <w:left w:val="nil"/>
              <w:bottom w:val="single" w:color="auto" w:sz="4" w:space="0"/>
              <w:right w:val="single" w:color="auto" w:sz="4" w:space="0"/>
            </w:tcBorders>
            <w:shd w:val="clear" w:color="auto" w:fill="auto"/>
            <w:vAlign w:val="center"/>
          </w:tcPr>
          <w:p>
            <w:pPr>
              <w:pStyle w:val="103"/>
            </w:pPr>
            <w:r>
              <w:t>1</w:t>
            </w:r>
          </w:p>
        </w:tc>
        <w:tc>
          <w:tcPr>
            <w:tcW w:w="1143" w:type="dxa"/>
            <w:tcBorders>
              <w:top w:val="nil"/>
              <w:left w:val="nil"/>
              <w:bottom w:val="single" w:color="auto" w:sz="4" w:space="0"/>
              <w:right w:val="single" w:color="auto" w:sz="4" w:space="0"/>
            </w:tcBorders>
            <w:shd w:val="clear" w:color="auto" w:fill="auto"/>
            <w:vAlign w:val="center"/>
          </w:tcPr>
          <w:p>
            <w:pPr>
              <w:pStyle w:val="103"/>
            </w:pPr>
            <w:r>
              <w:t>2</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25</w:t>
            </w:r>
          </w:p>
        </w:tc>
        <w:tc>
          <w:tcPr>
            <w:tcW w:w="4266" w:type="dxa"/>
            <w:tcBorders>
              <w:top w:val="nil"/>
              <w:left w:val="nil"/>
              <w:bottom w:val="single" w:color="auto" w:sz="4" w:space="0"/>
              <w:right w:val="single" w:color="auto" w:sz="4" w:space="0"/>
            </w:tcBorders>
            <w:shd w:val="clear" w:color="auto" w:fill="auto"/>
            <w:vAlign w:val="center"/>
          </w:tcPr>
          <w:p>
            <w:pPr>
              <w:pStyle w:val="103"/>
            </w:pPr>
            <w:r>
              <w:t>迎宾大街政府广场西侧小巷</w:t>
            </w:r>
          </w:p>
        </w:tc>
        <w:tc>
          <w:tcPr>
            <w:tcW w:w="1172" w:type="dxa"/>
            <w:tcBorders>
              <w:top w:val="nil"/>
              <w:left w:val="nil"/>
              <w:bottom w:val="single" w:color="auto" w:sz="4" w:space="0"/>
              <w:right w:val="single" w:color="auto" w:sz="4" w:space="0"/>
            </w:tcBorders>
            <w:shd w:val="clear" w:color="auto" w:fill="auto"/>
            <w:vAlign w:val="center"/>
          </w:tcPr>
          <w:p>
            <w:pPr>
              <w:pStyle w:val="103"/>
            </w:pPr>
            <w:r>
              <w:t>　</w:t>
            </w:r>
          </w:p>
        </w:tc>
        <w:tc>
          <w:tcPr>
            <w:tcW w:w="1143" w:type="dxa"/>
            <w:tcBorders>
              <w:top w:val="nil"/>
              <w:left w:val="nil"/>
              <w:bottom w:val="single" w:color="auto" w:sz="4" w:space="0"/>
              <w:right w:val="single" w:color="auto" w:sz="4" w:space="0"/>
            </w:tcBorders>
            <w:shd w:val="clear" w:color="auto" w:fill="auto"/>
            <w:vAlign w:val="center"/>
          </w:tcPr>
          <w:p>
            <w:pPr>
              <w:pStyle w:val="103"/>
            </w:pPr>
            <w:r>
              <w:t>1</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26</w:t>
            </w:r>
          </w:p>
        </w:tc>
        <w:tc>
          <w:tcPr>
            <w:tcW w:w="4266" w:type="dxa"/>
            <w:tcBorders>
              <w:top w:val="nil"/>
              <w:left w:val="nil"/>
              <w:bottom w:val="single" w:color="auto" w:sz="4" w:space="0"/>
              <w:right w:val="single" w:color="auto" w:sz="4" w:space="0"/>
            </w:tcBorders>
            <w:shd w:val="clear" w:color="auto" w:fill="auto"/>
            <w:vAlign w:val="center"/>
          </w:tcPr>
          <w:p>
            <w:pPr>
              <w:pStyle w:val="103"/>
            </w:pPr>
            <w:r>
              <w:t>树林召大街北国购物西门小巷丁字路口（东南角）</w:t>
            </w:r>
          </w:p>
        </w:tc>
        <w:tc>
          <w:tcPr>
            <w:tcW w:w="1172" w:type="dxa"/>
            <w:tcBorders>
              <w:top w:val="nil"/>
              <w:left w:val="nil"/>
              <w:bottom w:val="single" w:color="auto" w:sz="4" w:space="0"/>
              <w:right w:val="single" w:color="auto" w:sz="4" w:space="0"/>
            </w:tcBorders>
            <w:shd w:val="clear" w:color="auto" w:fill="auto"/>
            <w:vAlign w:val="center"/>
          </w:tcPr>
          <w:p>
            <w:pPr>
              <w:pStyle w:val="103"/>
            </w:pPr>
            <w:r>
              <w:t>　</w:t>
            </w:r>
          </w:p>
        </w:tc>
        <w:tc>
          <w:tcPr>
            <w:tcW w:w="1143" w:type="dxa"/>
            <w:tcBorders>
              <w:top w:val="nil"/>
              <w:left w:val="nil"/>
              <w:bottom w:val="single" w:color="auto" w:sz="4" w:space="0"/>
              <w:right w:val="single" w:color="auto" w:sz="4" w:space="0"/>
            </w:tcBorders>
            <w:shd w:val="clear" w:color="auto" w:fill="auto"/>
            <w:vAlign w:val="center"/>
          </w:tcPr>
          <w:p>
            <w:pPr>
              <w:pStyle w:val="103"/>
            </w:pPr>
            <w:r>
              <w:t>2</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27</w:t>
            </w:r>
          </w:p>
        </w:tc>
        <w:tc>
          <w:tcPr>
            <w:tcW w:w="4266" w:type="dxa"/>
            <w:tcBorders>
              <w:top w:val="nil"/>
              <w:left w:val="nil"/>
              <w:bottom w:val="single" w:color="auto" w:sz="4" w:space="0"/>
              <w:right w:val="single" w:color="auto" w:sz="4" w:space="0"/>
            </w:tcBorders>
            <w:shd w:val="clear" w:color="auto" w:fill="auto"/>
            <w:vAlign w:val="center"/>
          </w:tcPr>
          <w:p>
            <w:pPr>
              <w:pStyle w:val="103"/>
            </w:pPr>
            <w:r>
              <w:t>北国购物西门小巷（中段）</w:t>
            </w:r>
          </w:p>
        </w:tc>
        <w:tc>
          <w:tcPr>
            <w:tcW w:w="1172" w:type="dxa"/>
            <w:tcBorders>
              <w:top w:val="nil"/>
              <w:left w:val="nil"/>
              <w:bottom w:val="single" w:color="auto" w:sz="4" w:space="0"/>
              <w:right w:val="single" w:color="auto" w:sz="4" w:space="0"/>
            </w:tcBorders>
            <w:shd w:val="clear" w:color="auto" w:fill="auto"/>
            <w:vAlign w:val="center"/>
          </w:tcPr>
          <w:p>
            <w:pPr>
              <w:pStyle w:val="103"/>
            </w:pPr>
            <w:r>
              <w:t>1</w:t>
            </w:r>
          </w:p>
        </w:tc>
        <w:tc>
          <w:tcPr>
            <w:tcW w:w="1143" w:type="dxa"/>
            <w:tcBorders>
              <w:top w:val="nil"/>
              <w:left w:val="nil"/>
              <w:bottom w:val="single" w:color="auto" w:sz="4" w:space="0"/>
              <w:right w:val="single" w:color="auto" w:sz="4" w:space="0"/>
            </w:tcBorders>
            <w:shd w:val="clear" w:color="auto" w:fill="auto"/>
            <w:vAlign w:val="center"/>
          </w:tcPr>
          <w:p>
            <w:pPr>
              <w:pStyle w:val="103"/>
            </w:pPr>
            <w:r>
              <w:t>2</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28</w:t>
            </w:r>
          </w:p>
        </w:tc>
        <w:tc>
          <w:tcPr>
            <w:tcW w:w="4266" w:type="dxa"/>
            <w:tcBorders>
              <w:top w:val="nil"/>
              <w:left w:val="nil"/>
              <w:bottom w:val="single" w:color="auto" w:sz="4" w:space="0"/>
              <w:right w:val="single" w:color="auto" w:sz="4" w:space="0"/>
            </w:tcBorders>
            <w:shd w:val="clear" w:color="auto" w:fill="auto"/>
            <w:vAlign w:val="center"/>
          </w:tcPr>
          <w:p>
            <w:pPr>
              <w:pStyle w:val="103"/>
            </w:pPr>
            <w:r>
              <w:t>达拉特路与北国购物南小巷丁字路口（西北角）</w:t>
            </w:r>
          </w:p>
        </w:tc>
        <w:tc>
          <w:tcPr>
            <w:tcW w:w="1172" w:type="dxa"/>
            <w:tcBorders>
              <w:top w:val="nil"/>
              <w:left w:val="nil"/>
              <w:bottom w:val="single" w:color="auto" w:sz="4" w:space="0"/>
              <w:right w:val="single" w:color="auto" w:sz="4" w:space="0"/>
            </w:tcBorders>
            <w:shd w:val="clear" w:color="auto" w:fill="auto"/>
            <w:vAlign w:val="center"/>
          </w:tcPr>
          <w:p>
            <w:pPr>
              <w:pStyle w:val="103"/>
            </w:pPr>
            <w:r>
              <w:t>　</w:t>
            </w:r>
          </w:p>
        </w:tc>
        <w:tc>
          <w:tcPr>
            <w:tcW w:w="1143" w:type="dxa"/>
            <w:tcBorders>
              <w:top w:val="nil"/>
              <w:left w:val="nil"/>
              <w:bottom w:val="single" w:color="auto" w:sz="4" w:space="0"/>
              <w:right w:val="single" w:color="auto" w:sz="4" w:space="0"/>
            </w:tcBorders>
            <w:shd w:val="clear" w:color="auto" w:fill="auto"/>
            <w:vAlign w:val="center"/>
          </w:tcPr>
          <w:p>
            <w:pPr>
              <w:pStyle w:val="103"/>
            </w:pPr>
            <w:r>
              <w:t>2</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29</w:t>
            </w:r>
          </w:p>
        </w:tc>
        <w:tc>
          <w:tcPr>
            <w:tcW w:w="4266" w:type="dxa"/>
            <w:tcBorders>
              <w:top w:val="nil"/>
              <w:left w:val="nil"/>
              <w:bottom w:val="single" w:color="auto" w:sz="4" w:space="0"/>
              <w:right w:val="single" w:color="auto" w:sz="4" w:space="0"/>
            </w:tcBorders>
            <w:shd w:val="clear" w:color="auto" w:fill="auto"/>
            <w:vAlign w:val="center"/>
          </w:tcPr>
          <w:p>
            <w:pPr>
              <w:pStyle w:val="103"/>
            </w:pPr>
            <w:r>
              <w:t>锡尼街与北国购物西门小巷丁字路口（誉腾酒店旁）</w:t>
            </w:r>
          </w:p>
        </w:tc>
        <w:tc>
          <w:tcPr>
            <w:tcW w:w="1172" w:type="dxa"/>
            <w:tcBorders>
              <w:top w:val="nil"/>
              <w:left w:val="nil"/>
              <w:bottom w:val="single" w:color="auto" w:sz="4" w:space="0"/>
              <w:right w:val="single" w:color="auto" w:sz="4" w:space="0"/>
            </w:tcBorders>
            <w:shd w:val="clear" w:color="auto" w:fill="auto"/>
            <w:vAlign w:val="center"/>
          </w:tcPr>
          <w:p>
            <w:pPr>
              <w:pStyle w:val="103"/>
            </w:pPr>
            <w:r>
              <w:t>1</w:t>
            </w:r>
          </w:p>
        </w:tc>
        <w:tc>
          <w:tcPr>
            <w:tcW w:w="1143" w:type="dxa"/>
            <w:tcBorders>
              <w:top w:val="nil"/>
              <w:left w:val="nil"/>
              <w:bottom w:val="single" w:color="auto" w:sz="4" w:space="0"/>
              <w:right w:val="single" w:color="auto" w:sz="4" w:space="0"/>
            </w:tcBorders>
            <w:shd w:val="clear" w:color="auto" w:fill="auto"/>
            <w:vAlign w:val="center"/>
          </w:tcPr>
          <w:p>
            <w:pPr>
              <w:pStyle w:val="103"/>
            </w:pPr>
            <w:r>
              <w:t>2</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30</w:t>
            </w:r>
          </w:p>
        </w:tc>
        <w:tc>
          <w:tcPr>
            <w:tcW w:w="4266" w:type="dxa"/>
            <w:tcBorders>
              <w:top w:val="nil"/>
              <w:left w:val="nil"/>
              <w:bottom w:val="single" w:color="auto" w:sz="4" w:space="0"/>
              <w:right w:val="single" w:color="auto" w:sz="4" w:space="0"/>
            </w:tcBorders>
            <w:shd w:val="clear" w:color="auto" w:fill="auto"/>
            <w:vAlign w:val="center"/>
          </w:tcPr>
          <w:p>
            <w:pPr>
              <w:pStyle w:val="103"/>
            </w:pPr>
            <w:r>
              <w:t>树林召大街（民幼巷口东侧）</w:t>
            </w:r>
          </w:p>
        </w:tc>
        <w:tc>
          <w:tcPr>
            <w:tcW w:w="1172" w:type="dxa"/>
            <w:tcBorders>
              <w:top w:val="nil"/>
              <w:left w:val="nil"/>
              <w:bottom w:val="single" w:color="auto" w:sz="4" w:space="0"/>
              <w:right w:val="single" w:color="auto" w:sz="4" w:space="0"/>
            </w:tcBorders>
            <w:shd w:val="clear" w:color="auto" w:fill="auto"/>
            <w:vAlign w:val="center"/>
          </w:tcPr>
          <w:p>
            <w:pPr>
              <w:pStyle w:val="103"/>
            </w:pPr>
            <w:r>
              <w:t>　</w:t>
            </w:r>
          </w:p>
        </w:tc>
        <w:tc>
          <w:tcPr>
            <w:tcW w:w="1143" w:type="dxa"/>
            <w:tcBorders>
              <w:top w:val="nil"/>
              <w:left w:val="nil"/>
              <w:bottom w:val="single" w:color="auto" w:sz="4" w:space="0"/>
              <w:right w:val="single" w:color="auto" w:sz="4" w:space="0"/>
            </w:tcBorders>
            <w:shd w:val="clear" w:color="auto" w:fill="auto"/>
            <w:vAlign w:val="center"/>
          </w:tcPr>
          <w:p>
            <w:pPr>
              <w:pStyle w:val="103"/>
            </w:pPr>
            <w:r>
              <w:t>2</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31</w:t>
            </w:r>
          </w:p>
        </w:tc>
        <w:tc>
          <w:tcPr>
            <w:tcW w:w="4266" w:type="dxa"/>
            <w:tcBorders>
              <w:top w:val="nil"/>
              <w:left w:val="nil"/>
              <w:bottom w:val="single" w:color="auto" w:sz="4" w:space="0"/>
              <w:right w:val="single" w:color="auto" w:sz="4" w:space="0"/>
            </w:tcBorders>
            <w:shd w:val="clear" w:color="auto" w:fill="auto"/>
            <w:vAlign w:val="center"/>
          </w:tcPr>
          <w:p>
            <w:pPr>
              <w:pStyle w:val="103"/>
            </w:pPr>
            <w:r>
              <w:t>树林召大街与世景园步行街丁字路口（路北）</w:t>
            </w:r>
          </w:p>
        </w:tc>
        <w:tc>
          <w:tcPr>
            <w:tcW w:w="1172" w:type="dxa"/>
            <w:tcBorders>
              <w:top w:val="nil"/>
              <w:left w:val="nil"/>
              <w:bottom w:val="single" w:color="auto" w:sz="4" w:space="0"/>
              <w:right w:val="single" w:color="auto" w:sz="4" w:space="0"/>
            </w:tcBorders>
            <w:shd w:val="clear" w:color="auto" w:fill="auto"/>
            <w:vAlign w:val="center"/>
          </w:tcPr>
          <w:p>
            <w:pPr>
              <w:pStyle w:val="103"/>
            </w:pPr>
            <w:r>
              <w:t>　</w:t>
            </w:r>
          </w:p>
        </w:tc>
        <w:tc>
          <w:tcPr>
            <w:tcW w:w="1143" w:type="dxa"/>
            <w:tcBorders>
              <w:top w:val="nil"/>
              <w:left w:val="nil"/>
              <w:bottom w:val="single" w:color="auto" w:sz="4" w:space="0"/>
              <w:right w:val="single" w:color="auto" w:sz="4" w:space="0"/>
            </w:tcBorders>
            <w:shd w:val="clear" w:color="auto" w:fill="auto"/>
            <w:vAlign w:val="center"/>
          </w:tcPr>
          <w:p>
            <w:pPr>
              <w:pStyle w:val="103"/>
            </w:pPr>
            <w:r>
              <w:t>2</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32</w:t>
            </w:r>
          </w:p>
        </w:tc>
        <w:tc>
          <w:tcPr>
            <w:tcW w:w="4266" w:type="dxa"/>
            <w:tcBorders>
              <w:top w:val="nil"/>
              <w:left w:val="nil"/>
              <w:bottom w:val="single" w:color="auto" w:sz="4" w:space="0"/>
              <w:right w:val="single" w:color="auto" w:sz="4" w:space="0"/>
            </w:tcBorders>
            <w:shd w:val="clear" w:color="auto" w:fill="auto"/>
            <w:vAlign w:val="center"/>
          </w:tcPr>
          <w:p>
            <w:pPr>
              <w:pStyle w:val="103"/>
            </w:pPr>
            <w:r>
              <w:t>锡尼街与商城路丁字路口（路北）</w:t>
            </w:r>
          </w:p>
        </w:tc>
        <w:tc>
          <w:tcPr>
            <w:tcW w:w="1172" w:type="dxa"/>
            <w:tcBorders>
              <w:top w:val="nil"/>
              <w:left w:val="nil"/>
              <w:bottom w:val="single" w:color="auto" w:sz="4" w:space="0"/>
              <w:right w:val="single" w:color="auto" w:sz="4" w:space="0"/>
            </w:tcBorders>
            <w:shd w:val="clear" w:color="auto" w:fill="auto"/>
            <w:vAlign w:val="center"/>
          </w:tcPr>
          <w:p>
            <w:pPr>
              <w:pStyle w:val="103"/>
            </w:pPr>
            <w:r>
              <w:t>　</w:t>
            </w:r>
          </w:p>
        </w:tc>
        <w:tc>
          <w:tcPr>
            <w:tcW w:w="1143" w:type="dxa"/>
            <w:tcBorders>
              <w:top w:val="nil"/>
              <w:left w:val="nil"/>
              <w:bottom w:val="single" w:color="auto" w:sz="4" w:space="0"/>
              <w:right w:val="single" w:color="auto" w:sz="4" w:space="0"/>
            </w:tcBorders>
            <w:shd w:val="clear" w:color="auto" w:fill="auto"/>
            <w:vAlign w:val="center"/>
          </w:tcPr>
          <w:p>
            <w:pPr>
              <w:pStyle w:val="103"/>
            </w:pPr>
            <w:r>
              <w:t>2</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33</w:t>
            </w:r>
          </w:p>
        </w:tc>
        <w:tc>
          <w:tcPr>
            <w:tcW w:w="4266" w:type="dxa"/>
            <w:tcBorders>
              <w:top w:val="nil"/>
              <w:left w:val="nil"/>
              <w:bottom w:val="single" w:color="auto" w:sz="4" w:space="0"/>
              <w:right w:val="single" w:color="auto" w:sz="4" w:space="0"/>
            </w:tcBorders>
            <w:shd w:val="clear" w:color="auto" w:fill="auto"/>
            <w:vAlign w:val="center"/>
          </w:tcPr>
          <w:p>
            <w:pPr>
              <w:pStyle w:val="103"/>
            </w:pPr>
            <w:r>
              <w:t>锡尼街与新时代商业街丁字路口（路北东北角）</w:t>
            </w:r>
          </w:p>
        </w:tc>
        <w:tc>
          <w:tcPr>
            <w:tcW w:w="1172" w:type="dxa"/>
            <w:tcBorders>
              <w:top w:val="nil"/>
              <w:left w:val="nil"/>
              <w:bottom w:val="single" w:color="auto" w:sz="4" w:space="0"/>
              <w:right w:val="single" w:color="auto" w:sz="4" w:space="0"/>
            </w:tcBorders>
            <w:shd w:val="clear" w:color="auto" w:fill="auto"/>
            <w:vAlign w:val="center"/>
          </w:tcPr>
          <w:p>
            <w:pPr>
              <w:pStyle w:val="103"/>
            </w:pPr>
            <w:r>
              <w:t>1</w:t>
            </w:r>
          </w:p>
        </w:tc>
        <w:tc>
          <w:tcPr>
            <w:tcW w:w="1143" w:type="dxa"/>
            <w:tcBorders>
              <w:top w:val="nil"/>
              <w:left w:val="nil"/>
              <w:bottom w:val="single" w:color="auto" w:sz="4" w:space="0"/>
              <w:right w:val="single" w:color="auto" w:sz="4" w:space="0"/>
            </w:tcBorders>
            <w:shd w:val="clear" w:color="auto" w:fill="auto"/>
            <w:vAlign w:val="center"/>
          </w:tcPr>
          <w:p>
            <w:pPr>
              <w:pStyle w:val="103"/>
            </w:pPr>
            <w:r>
              <w:t>1</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34</w:t>
            </w:r>
          </w:p>
        </w:tc>
        <w:tc>
          <w:tcPr>
            <w:tcW w:w="4266" w:type="dxa"/>
            <w:tcBorders>
              <w:top w:val="nil"/>
              <w:left w:val="nil"/>
              <w:bottom w:val="single" w:color="auto" w:sz="4" w:space="0"/>
              <w:right w:val="single" w:color="auto" w:sz="4" w:space="0"/>
            </w:tcBorders>
            <w:shd w:val="clear" w:color="auto" w:fill="auto"/>
            <w:vAlign w:val="center"/>
          </w:tcPr>
          <w:p>
            <w:pPr>
              <w:pStyle w:val="103"/>
            </w:pPr>
            <w:r>
              <w:t>锡尼街与世景园步行街丁字路口（路南西南角）</w:t>
            </w:r>
          </w:p>
        </w:tc>
        <w:tc>
          <w:tcPr>
            <w:tcW w:w="1172" w:type="dxa"/>
            <w:tcBorders>
              <w:top w:val="nil"/>
              <w:left w:val="nil"/>
              <w:bottom w:val="single" w:color="auto" w:sz="4" w:space="0"/>
              <w:right w:val="single" w:color="auto" w:sz="4" w:space="0"/>
            </w:tcBorders>
            <w:shd w:val="clear" w:color="auto" w:fill="auto"/>
            <w:vAlign w:val="center"/>
          </w:tcPr>
          <w:p>
            <w:pPr>
              <w:pStyle w:val="103"/>
            </w:pPr>
            <w:r>
              <w:t>1</w:t>
            </w:r>
          </w:p>
        </w:tc>
        <w:tc>
          <w:tcPr>
            <w:tcW w:w="1143" w:type="dxa"/>
            <w:tcBorders>
              <w:top w:val="nil"/>
              <w:left w:val="nil"/>
              <w:bottom w:val="single" w:color="auto" w:sz="4" w:space="0"/>
              <w:right w:val="single" w:color="auto" w:sz="4" w:space="0"/>
            </w:tcBorders>
            <w:shd w:val="clear" w:color="auto" w:fill="auto"/>
            <w:vAlign w:val="center"/>
          </w:tcPr>
          <w:p>
            <w:pPr>
              <w:pStyle w:val="103"/>
            </w:pPr>
            <w:r>
              <w:t>2</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35</w:t>
            </w:r>
          </w:p>
        </w:tc>
        <w:tc>
          <w:tcPr>
            <w:tcW w:w="4266" w:type="dxa"/>
            <w:tcBorders>
              <w:top w:val="nil"/>
              <w:left w:val="nil"/>
              <w:bottom w:val="single" w:color="auto" w:sz="4" w:space="0"/>
              <w:right w:val="single" w:color="auto" w:sz="4" w:space="0"/>
            </w:tcBorders>
            <w:shd w:val="clear" w:color="auto" w:fill="auto"/>
            <w:vAlign w:val="center"/>
          </w:tcPr>
          <w:p>
            <w:pPr>
              <w:pStyle w:val="103"/>
            </w:pPr>
            <w:r>
              <w:t>市府街新城幼儿园</w:t>
            </w:r>
          </w:p>
        </w:tc>
        <w:tc>
          <w:tcPr>
            <w:tcW w:w="1172" w:type="dxa"/>
            <w:tcBorders>
              <w:top w:val="nil"/>
              <w:left w:val="nil"/>
              <w:bottom w:val="single" w:color="auto" w:sz="4" w:space="0"/>
              <w:right w:val="single" w:color="auto" w:sz="4" w:space="0"/>
            </w:tcBorders>
            <w:shd w:val="clear" w:color="auto" w:fill="auto"/>
            <w:vAlign w:val="center"/>
          </w:tcPr>
          <w:p>
            <w:pPr>
              <w:pStyle w:val="103"/>
            </w:pPr>
            <w:r>
              <w:t>　</w:t>
            </w:r>
          </w:p>
        </w:tc>
        <w:tc>
          <w:tcPr>
            <w:tcW w:w="1143" w:type="dxa"/>
            <w:tcBorders>
              <w:top w:val="nil"/>
              <w:left w:val="nil"/>
              <w:bottom w:val="single" w:color="auto" w:sz="4" w:space="0"/>
              <w:right w:val="single" w:color="auto" w:sz="4" w:space="0"/>
            </w:tcBorders>
            <w:shd w:val="clear" w:color="auto" w:fill="auto"/>
            <w:vAlign w:val="center"/>
          </w:tcPr>
          <w:p>
            <w:pPr>
              <w:pStyle w:val="103"/>
            </w:pPr>
            <w:r>
              <w:t>2</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36</w:t>
            </w:r>
          </w:p>
        </w:tc>
        <w:tc>
          <w:tcPr>
            <w:tcW w:w="4266" w:type="dxa"/>
            <w:tcBorders>
              <w:top w:val="nil"/>
              <w:left w:val="nil"/>
              <w:bottom w:val="single" w:color="auto" w:sz="4" w:space="0"/>
              <w:right w:val="single" w:color="auto" w:sz="4" w:space="0"/>
            </w:tcBorders>
            <w:shd w:val="clear" w:color="auto" w:fill="auto"/>
            <w:vAlign w:val="center"/>
          </w:tcPr>
          <w:p>
            <w:pPr>
              <w:pStyle w:val="103"/>
            </w:pPr>
            <w:r>
              <w:t>树林召大街公路住宅小区旁小巷</w:t>
            </w:r>
          </w:p>
        </w:tc>
        <w:tc>
          <w:tcPr>
            <w:tcW w:w="1172" w:type="dxa"/>
            <w:tcBorders>
              <w:top w:val="nil"/>
              <w:left w:val="nil"/>
              <w:bottom w:val="single" w:color="auto" w:sz="4" w:space="0"/>
              <w:right w:val="single" w:color="auto" w:sz="4" w:space="0"/>
            </w:tcBorders>
            <w:shd w:val="clear" w:color="auto" w:fill="auto"/>
            <w:vAlign w:val="center"/>
          </w:tcPr>
          <w:p>
            <w:pPr>
              <w:pStyle w:val="103"/>
            </w:pPr>
            <w:r>
              <w:t>　</w:t>
            </w:r>
          </w:p>
        </w:tc>
        <w:tc>
          <w:tcPr>
            <w:tcW w:w="1143" w:type="dxa"/>
            <w:tcBorders>
              <w:top w:val="nil"/>
              <w:left w:val="nil"/>
              <w:bottom w:val="single" w:color="auto" w:sz="4" w:space="0"/>
              <w:right w:val="single" w:color="auto" w:sz="4" w:space="0"/>
            </w:tcBorders>
            <w:shd w:val="clear" w:color="auto" w:fill="auto"/>
            <w:vAlign w:val="center"/>
          </w:tcPr>
          <w:p>
            <w:pPr>
              <w:pStyle w:val="103"/>
            </w:pPr>
            <w:r>
              <w:t>1</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37</w:t>
            </w:r>
          </w:p>
        </w:tc>
        <w:tc>
          <w:tcPr>
            <w:tcW w:w="4266" w:type="dxa"/>
            <w:tcBorders>
              <w:top w:val="nil"/>
              <w:left w:val="nil"/>
              <w:bottom w:val="single" w:color="auto" w:sz="4" w:space="0"/>
              <w:right w:val="single" w:color="auto" w:sz="4" w:space="0"/>
            </w:tcBorders>
            <w:shd w:val="clear" w:color="auto" w:fill="auto"/>
            <w:vAlign w:val="center"/>
          </w:tcPr>
          <w:p>
            <w:pPr>
              <w:pStyle w:val="103"/>
            </w:pPr>
            <w:r>
              <w:t>明珠园南巷至达拉特路路口</w:t>
            </w:r>
          </w:p>
        </w:tc>
        <w:tc>
          <w:tcPr>
            <w:tcW w:w="1172" w:type="dxa"/>
            <w:tcBorders>
              <w:top w:val="nil"/>
              <w:left w:val="nil"/>
              <w:bottom w:val="single" w:color="auto" w:sz="4" w:space="0"/>
              <w:right w:val="single" w:color="auto" w:sz="4" w:space="0"/>
            </w:tcBorders>
            <w:shd w:val="clear" w:color="auto" w:fill="auto"/>
            <w:vAlign w:val="center"/>
          </w:tcPr>
          <w:p>
            <w:pPr>
              <w:pStyle w:val="103"/>
            </w:pPr>
            <w:r>
              <w:t>　</w:t>
            </w:r>
          </w:p>
        </w:tc>
        <w:tc>
          <w:tcPr>
            <w:tcW w:w="1143" w:type="dxa"/>
            <w:tcBorders>
              <w:top w:val="nil"/>
              <w:left w:val="nil"/>
              <w:bottom w:val="single" w:color="auto" w:sz="4" w:space="0"/>
              <w:right w:val="single" w:color="auto" w:sz="4" w:space="0"/>
            </w:tcBorders>
            <w:shd w:val="clear" w:color="auto" w:fill="auto"/>
            <w:vAlign w:val="center"/>
          </w:tcPr>
          <w:p>
            <w:pPr>
              <w:pStyle w:val="103"/>
            </w:pPr>
            <w:r>
              <w:t>1</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38</w:t>
            </w:r>
          </w:p>
        </w:tc>
        <w:tc>
          <w:tcPr>
            <w:tcW w:w="4266" w:type="dxa"/>
            <w:tcBorders>
              <w:top w:val="nil"/>
              <w:left w:val="nil"/>
              <w:bottom w:val="single" w:color="auto" w:sz="4" w:space="0"/>
              <w:right w:val="single" w:color="auto" w:sz="4" w:space="0"/>
            </w:tcBorders>
            <w:shd w:val="clear" w:color="auto" w:fill="auto"/>
            <w:vAlign w:val="center"/>
          </w:tcPr>
          <w:p>
            <w:pPr>
              <w:pStyle w:val="103"/>
            </w:pPr>
            <w:r>
              <w:t>达拉特路与双俊公园南侧小巷西侧路口</w:t>
            </w:r>
          </w:p>
        </w:tc>
        <w:tc>
          <w:tcPr>
            <w:tcW w:w="1172" w:type="dxa"/>
            <w:tcBorders>
              <w:top w:val="nil"/>
              <w:left w:val="nil"/>
              <w:bottom w:val="single" w:color="auto" w:sz="4" w:space="0"/>
              <w:right w:val="single" w:color="auto" w:sz="4" w:space="0"/>
            </w:tcBorders>
            <w:shd w:val="clear" w:color="auto" w:fill="auto"/>
            <w:vAlign w:val="center"/>
          </w:tcPr>
          <w:p>
            <w:pPr>
              <w:pStyle w:val="103"/>
            </w:pPr>
            <w:r>
              <w:t>　</w:t>
            </w:r>
          </w:p>
        </w:tc>
        <w:tc>
          <w:tcPr>
            <w:tcW w:w="1143" w:type="dxa"/>
            <w:tcBorders>
              <w:top w:val="nil"/>
              <w:left w:val="nil"/>
              <w:bottom w:val="single" w:color="auto" w:sz="4" w:space="0"/>
              <w:right w:val="single" w:color="auto" w:sz="4" w:space="0"/>
            </w:tcBorders>
            <w:shd w:val="clear" w:color="auto" w:fill="auto"/>
            <w:vAlign w:val="center"/>
          </w:tcPr>
          <w:p>
            <w:pPr>
              <w:pStyle w:val="103"/>
            </w:pPr>
            <w:r>
              <w:t>2</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39</w:t>
            </w:r>
          </w:p>
        </w:tc>
        <w:tc>
          <w:tcPr>
            <w:tcW w:w="4266" w:type="dxa"/>
            <w:tcBorders>
              <w:top w:val="nil"/>
              <w:left w:val="nil"/>
              <w:bottom w:val="single" w:color="auto" w:sz="4" w:space="0"/>
              <w:right w:val="single" w:color="auto" w:sz="4" w:space="0"/>
            </w:tcBorders>
            <w:shd w:val="clear" w:color="auto" w:fill="auto"/>
            <w:vAlign w:val="center"/>
          </w:tcPr>
          <w:p>
            <w:pPr>
              <w:pStyle w:val="103"/>
            </w:pPr>
            <w:r>
              <w:t>迎宾大街（双骏公园北门口路对面）</w:t>
            </w:r>
          </w:p>
        </w:tc>
        <w:tc>
          <w:tcPr>
            <w:tcW w:w="1172" w:type="dxa"/>
            <w:tcBorders>
              <w:top w:val="nil"/>
              <w:left w:val="nil"/>
              <w:bottom w:val="single" w:color="auto" w:sz="4" w:space="0"/>
              <w:right w:val="single" w:color="auto" w:sz="4" w:space="0"/>
            </w:tcBorders>
            <w:shd w:val="clear" w:color="auto" w:fill="auto"/>
            <w:vAlign w:val="center"/>
          </w:tcPr>
          <w:p>
            <w:pPr>
              <w:pStyle w:val="103"/>
            </w:pPr>
            <w:r>
              <w:t>1</w:t>
            </w:r>
          </w:p>
        </w:tc>
        <w:tc>
          <w:tcPr>
            <w:tcW w:w="1143" w:type="dxa"/>
            <w:tcBorders>
              <w:top w:val="nil"/>
              <w:left w:val="nil"/>
              <w:bottom w:val="single" w:color="auto" w:sz="4" w:space="0"/>
              <w:right w:val="single" w:color="auto" w:sz="4" w:space="0"/>
            </w:tcBorders>
            <w:shd w:val="clear" w:color="auto" w:fill="auto"/>
            <w:vAlign w:val="center"/>
          </w:tcPr>
          <w:p>
            <w:pPr>
              <w:pStyle w:val="103"/>
            </w:pPr>
            <w:r>
              <w:t>2</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40</w:t>
            </w:r>
          </w:p>
        </w:tc>
        <w:tc>
          <w:tcPr>
            <w:tcW w:w="4266" w:type="dxa"/>
            <w:tcBorders>
              <w:top w:val="nil"/>
              <w:left w:val="nil"/>
              <w:bottom w:val="single" w:color="auto" w:sz="4" w:space="0"/>
              <w:right w:val="single" w:color="auto" w:sz="4" w:space="0"/>
            </w:tcBorders>
            <w:shd w:val="clear" w:color="auto" w:fill="auto"/>
            <w:vAlign w:val="center"/>
          </w:tcPr>
          <w:p>
            <w:pPr>
              <w:pStyle w:val="103"/>
            </w:pPr>
            <w:r>
              <w:t>双骏公园内西南角</w:t>
            </w:r>
          </w:p>
        </w:tc>
        <w:tc>
          <w:tcPr>
            <w:tcW w:w="1172" w:type="dxa"/>
            <w:tcBorders>
              <w:top w:val="nil"/>
              <w:left w:val="nil"/>
              <w:bottom w:val="single" w:color="auto" w:sz="4" w:space="0"/>
              <w:right w:val="single" w:color="auto" w:sz="4" w:space="0"/>
            </w:tcBorders>
            <w:shd w:val="clear" w:color="auto" w:fill="auto"/>
            <w:vAlign w:val="center"/>
          </w:tcPr>
          <w:p>
            <w:pPr>
              <w:pStyle w:val="103"/>
            </w:pPr>
            <w:r>
              <w:t>1</w:t>
            </w:r>
          </w:p>
        </w:tc>
        <w:tc>
          <w:tcPr>
            <w:tcW w:w="1143" w:type="dxa"/>
            <w:tcBorders>
              <w:top w:val="nil"/>
              <w:left w:val="nil"/>
              <w:bottom w:val="single" w:color="auto" w:sz="4" w:space="0"/>
              <w:right w:val="single" w:color="auto" w:sz="4" w:space="0"/>
            </w:tcBorders>
            <w:shd w:val="clear" w:color="auto" w:fill="auto"/>
            <w:vAlign w:val="center"/>
          </w:tcPr>
          <w:p>
            <w:pPr>
              <w:pStyle w:val="103"/>
            </w:pPr>
            <w:r>
              <w:t>1</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41</w:t>
            </w:r>
          </w:p>
        </w:tc>
        <w:tc>
          <w:tcPr>
            <w:tcW w:w="4266" w:type="dxa"/>
            <w:tcBorders>
              <w:top w:val="nil"/>
              <w:left w:val="nil"/>
              <w:bottom w:val="single" w:color="auto" w:sz="4" w:space="0"/>
              <w:right w:val="single" w:color="auto" w:sz="4" w:space="0"/>
            </w:tcBorders>
            <w:shd w:val="clear" w:color="auto" w:fill="auto"/>
            <w:vAlign w:val="center"/>
          </w:tcPr>
          <w:p>
            <w:pPr>
              <w:pStyle w:val="103"/>
            </w:pPr>
            <w:r>
              <w:t>双骏公园内东南角</w:t>
            </w:r>
          </w:p>
        </w:tc>
        <w:tc>
          <w:tcPr>
            <w:tcW w:w="1172" w:type="dxa"/>
            <w:tcBorders>
              <w:top w:val="nil"/>
              <w:left w:val="nil"/>
              <w:bottom w:val="single" w:color="auto" w:sz="4" w:space="0"/>
              <w:right w:val="single" w:color="auto" w:sz="4" w:space="0"/>
            </w:tcBorders>
            <w:shd w:val="clear" w:color="auto" w:fill="auto"/>
            <w:vAlign w:val="center"/>
          </w:tcPr>
          <w:p>
            <w:pPr>
              <w:pStyle w:val="103"/>
            </w:pPr>
            <w:r>
              <w:t>1</w:t>
            </w:r>
          </w:p>
        </w:tc>
        <w:tc>
          <w:tcPr>
            <w:tcW w:w="1143" w:type="dxa"/>
            <w:tcBorders>
              <w:top w:val="nil"/>
              <w:left w:val="nil"/>
              <w:bottom w:val="single" w:color="auto" w:sz="4" w:space="0"/>
              <w:right w:val="single" w:color="auto" w:sz="4" w:space="0"/>
            </w:tcBorders>
            <w:shd w:val="clear" w:color="auto" w:fill="auto"/>
            <w:vAlign w:val="center"/>
          </w:tcPr>
          <w:p>
            <w:pPr>
              <w:pStyle w:val="103"/>
            </w:pPr>
            <w:r>
              <w:t>1</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42</w:t>
            </w:r>
          </w:p>
        </w:tc>
        <w:tc>
          <w:tcPr>
            <w:tcW w:w="4266" w:type="dxa"/>
            <w:tcBorders>
              <w:top w:val="nil"/>
              <w:left w:val="nil"/>
              <w:bottom w:val="single" w:color="auto" w:sz="4" w:space="0"/>
              <w:right w:val="single" w:color="auto" w:sz="4" w:space="0"/>
            </w:tcBorders>
            <w:shd w:val="clear" w:color="auto" w:fill="auto"/>
            <w:vAlign w:val="center"/>
          </w:tcPr>
          <w:p>
            <w:pPr>
              <w:pStyle w:val="103"/>
            </w:pPr>
            <w:r>
              <w:t>新华路（二完小门口）</w:t>
            </w:r>
          </w:p>
        </w:tc>
        <w:tc>
          <w:tcPr>
            <w:tcW w:w="1172" w:type="dxa"/>
            <w:tcBorders>
              <w:top w:val="nil"/>
              <w:left w:val="nil"/>
              <w:bottom w:val="single" w:color="auto" w:sz="4" w:space="0"/>
              <w:right w:val="single" w:color="auto" w:sz="4" w:space="0"/>
            </w:tcBorders>
            <w:shd w:val="clear" w:color="auto" w:fill="auto"/>
            <w:vAlign w:val="center"/>
          </w:tcPr>
          <w:p>
            <w:pPr>
              <w:pStyle w:val="103"/>
            </w:pPr>
            <w:r>
              <w:t>1</w:t>
            </w:r>
          </w:p>
        </w:tc>
        <w:tc>
          <w:tcPr>
            <w:tcW w:w="1143" w:type="dxa"/>
            <w:tcBorders>
              <w:top w:val="nil"/>
              <w:left w:val="nil"/>
              <w:bottom w:val="single" w:color="auto" w:sz="4" w:space="0"/>
              <w:right w:val="single" w:color="auto" w:sz="4" w:space="0"/>
            </w:tcBorders>
            <w:shd w:val="clear" w:color="auto" w:fill="auto"/>
            <w:vAlign w:val="center"/>
          </w:tcPr>
          <w:p>
            <w:pPr>
              <w:pStyle w:val="103"/>
            </w:pPr>
            <w:r>
              <w:t>2</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43</w:t>
            </w:r>
          </w:p>
        </w:tc>
        <w:tc>
          <w:tcPr>
            <w:tcW w:w="4266" w:type="dxa"/>
            <w:tcBorders>
              <w:top w:val="nil"/>
              <w:left w:val="nil"/>
              <w:bottom w:val="single" w:color="auto" w:sz="4" w:space="0"/>
              <w:right w:val="single" w:color="auto" w:sz="4" w:space="0"/>
            </w:tcBorders>
            <w:shd w:val="clear" w:color="auto" w:fill="auto"/>
            <w:vAlign w:val="center"/>
          </w:tcPr>
          <w:p>
            <w:pPr>
              <w:pStyle w:val="103"/>
            </w:pPr>
            <w:r>
              <w:t>新华路与旧市场路丁字路口（东南角）</w:t>
            </w:r>
          </w:p>
        </w:tc>
        <w:tc>
          <w:tcPr>
            <w:tcW w:w="1172" w:type="dxa"/>
            <w:tcBorders>
              <w:top w:val="nil"/>
              <w:left w:val="nil"/>
              <w:bottom w:val="single" w:color="auto" w:sz="4" w:space="0"/>
              <w:right w:val="single" w:color="auto" w:sz="4" w:space="0"/>
            </w:tcBorders>
            <w:shd w:val="clear" w:color="auto" w:fill="auto"/>
            <w:vAlign w:val="center"/>
          </w:tcPr>
          <w:p>
            <w:pPr>
              <w:pStyle w:val="103"/>
            </w:pPr>
            <w:r>
              <w:t>1</w:t>
            </w:r>
          </w:p>
        </w:tc>
        <w:tc>
          <w:tcPr>
            <w:tcW w:w="1143" w:type="dxa"/>
            <w:tcBorders>
              <w:top w:val="nil"/>
              <w:left w:val="nil"/>
              <w:bottom w:val="single" w:color="auto" w:sz="4" w:space="0"/>
              <w:right w:val="single" w:color="auto" w:sz="4" w:space="0"/>
            </w:tcBorders>
            <w:shd w:val="clear" w:color="auto" w:fill="auto"/>
            <w:vAlign w:val="center"/>
          </w:tcPr>
          <w:p>
            <w:pPr>
              <w:pStyle w:val="103"/>
            </w:pPr>
            <w:r>
              <w:t>1</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44</w:t>
            </w:r>
          </w:p>
        </w:tc>
        <w:tc>
          <w:tcPr>
            <w:tcW w:w="4266" w:type="dxa"/>
            <w:tcBorders>
              <w:top w:val="nil"/>
              <w:left w:val="nil"/>
              <w:bottom w:val="single" w:color="auto" w:sz="4" w:space="0"/>
              <w:right w:val="single" w:color="auto" w:sz="4" w:space="0"/>
            </w:tcBorders>
            <w:shd w:val="clear" w:color="auto" w:fill="auto"/>
            <w:vAlign w:val="center"/>
          </w:tcPr>
          <w:p>
            <w:pPr>
              <w:pStyle w:val="103"/>
            </w:pPr>
            <w:r>
              <w:t>耿盛大厦东侧路口</w:t>
            </w:r>
          </w:p>
        </w:tc>
        <w:tc>
          <w:tcPr>
            <w:tcW w:w="1172" w:type="dxa"/>
            <w:tcBorders>
              <w:top w:val="nil"/>
              <w:left w:val="nil"/>
              <w:bottom w:val="single" w:color="auto" w:sz="4" w:space="0"/>
              <w:right w:val="single" w:color="auto" w:sz="4" w:space="0"/>
            </w:tcBorders>
            <w:shd w:val="clear" w:color="auto" w:fill="auto"/>
            <w:vAlign w:val="center"/>
          </w:tcPr>
          <w:p>
            <w:pPr>
              <w:pStyle w:val="103"/>
            </w:pPr>
            <w:r>
              <w:t>1</w:t>
            </w:r>
          </w:p>
        </w:tc>
        <w:tc>
          <w:tcPr>
            <w:tcW w:w="1143" w:type="dxa"/>
            <w:tcBorders>
              <w:top w:val="nil"/>
              <w:left w:val="nil"/>
              <w:bottom w:val="single" w:color="auto" w:sz="4" w:space="0"/>
              <w:right w:val="single" w:color="auto" w:sz="4" w:space="0"/>
            </w:tcBorders>
            <w:shd w:val="clear" w:color="auto" w:fill="auto"/>
            <w:vAlign w:val="center"/>
          </w:tcPr>
          <w:p>
            <w:pPr>
              <w:pStyle w:val="103"/>
            </w:pPr>
            <w:r>
              <w:t>　</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45</w:t>
            </w:r>
          </w:p>
        </w:tc>
        <w:tc>
          <w:tcPr>
            <w:tcW w:w="4266" w:type="dxa"/>
            <w:tcBorders>
              <w:top w:val="nil"/>
              <w:left w:val="nil"/>
              <w:bottom w:val="single" w:color="auto" w:sz="4" w:space="0"/>
              <w:right w:val="single" w:color="auto" w:sz="4" w:space="0"/>
            </w:tcBorders>
            <w:shd w:val="clear" w:color="auto" w:fill="auto"/>
            <w:vAlign w:val="center"/>
          </w:tcPr>
          <w:p>
            <w:pPr>
              <w:pStyle w:val="103"/>
            </w:pPr>
            <w:r>
              <w:t>长胜路与树林召大街交叉口（东南角）</w:t>
            </w:r>
          </w:p>
        </w:tc>
        <w:tc>
          <w:tcPr>
            <w:tcW w:w="1172" w:type="dxa"/>
            <w:tcBorders>
              <w:top w:val="nil"/>
              <w:left w:val="nil"/>
              <w:bottom w:val="single" w:color="auto" w:sz="4" w:space="0"/>
              <w:right w:val="single" w:color="auto" w:sz="4" w:space="0"/>
            </w:tcBorders>
            <w:shd w:val="clear" w:color="auto" w:fill="auto"/>
            <w:vAlign w:val="center"/>
          </w:tcPr>
          <w:p>
            <w:pPr>
              <w:pStyle w:val="103"/>
            </w:pPr>
            <w:r>
              <w:t>1</w:t>
            </w:r>
          </w:p>
        </w:tc>
        <w:tc>
          <w:tcPr>
            <w:tcW w:w="1143" w:type="dxa"/>
            <w:tcBorders>
              <w:top w:val="nil"/>
              <w:left w:val="nil"/>
              <w:bottom w:val="single" w:color="auto" w:sz="4" w:space="0"/>
              <w:right w:val="single" w:color="auto" w:sz="4" w:space="0"/>
            </w:tcBorders>
            <w:shd w:val="clear" w:color="auto" w:fill="auto"/>
            <w:vAlign w:val="center"/>
          </w:tcPr>
          <w:p>
            <w:pPr>
              <w:pStyle w:val="103"/>
            </w:pPr>
            <w:r>
              <w:t>2</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46</w:t>
            </w:r>
          </w:p>
        </w:tc>
        <w:tc>
          <w:tcPr>
            <w:tcW w:w="4266" w:type="dxa"/>
            <w:tcBorders>
              <w:top w:val="nil"/>
              <w:left w:val="nil"/>
              <w:bottom w:val="single" w:color="auto" w:sz="4" w:space="0"/>
              <w:right w:val="single" w:color="auto" w:sz="4" w:space="0"/>
            </w:tcBorders>
            <w:shd w:val="clear" w:color="auto" w:fill="auto"/>
            <w:vAlign w:val="center"/>
          </w:tcPr>
          <w:p>
            <w:pPr>
              <w:pStyle w:val="103"/>
            </w:pPr>
            <w:r>
              <w:t>树林召大街（一完小门口对面）</w:t>
            </w:r>
          </w:p>
        </w:tc>
        <w:tc>
          <w:tcPr>
            <w:tcW w:w="1172" w:type="dxa"/>
            <w:tcBorders>
              <w:top w:val="nil"/>
              <w:left w:val="nil"/>
              <w:bottom w:val="single" w:color="auto" w:sz="4" w:space="0"/>
              <w:right w:val="single" w:color="auto" w:sz="4" w:space="0"/>
            </w:tcBorders>
            <w:shd w:val="clear" w:color="auto" w:fill="auto"/>
            <w:vAlign w:val="center"/>
          </w:tcPr>
          <w:p>
            <w:pPr>
              <w:pStyle w:val="103"/>
            </w:pPr>
            <w:r>
              <w:t>1</w:t>
            </w:r>
          </w:p>
        </w:tc>
        <w:tc>
          <w:tcPr>
            <w:tcW w:w="1143" w:type="dxa"/>
            <w:tcBorders>
              <w:top w:val="nil"/>
              <w:left w:val="nil"/>
              <w:bottom w:val="single" w:color="auto" w:sz="4" w:space="0"/>
              <w:right w:val="single" w:color="auto" w:sz="4" w:space="0"/>
            </w:tcBorders>
            <w:shd w:val="clear" w:color="auto" w:fill="auto"/>
            <w:vAlign w:val="center"/>
          </w:tcPr>
          <w:p>
            <w:pPr>
              <w:pStyle w:val="103"/>
            </w:pPr>
            <w:r>
              <w:t>2</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47</w:t>
            </w:r>
          </w:p>
        </w:tc>
        <w:tc>
          <w:tcPr>
            <w:tcW w:w="4266" w:type="dxa"/>
            <w:tcBorders>
              <w:top w:val="nil"/>
              <w:left w:val="nil"/>
              <w:bottom w:val="single" w:color="auto" w:sz="4" w:space="0"/>
              <w:right w:val="single" w:color="auto" w:sz="4" w:space="0"/>
            </w:tcBorders>
            <w:shd w:val="clear" w:color="auto" w:fill="auto"/>
            <w:vAlign w:val="center"/>
          </w:tcPr>
          <w:p>
            <w:pPr>
              <w:pStyle w:val="103"/>
            </w:pPr>
            <w:r>
              <w:t>和平路与树林召大街交叉口（东南角）</w:t>
            </w:r>
          </w:p>
        </w:tc>
        <w:tc>
          <w:tcPr>
            <w:tcW w:w="1172" w:type="dxa"/>
            <w:tcBorders>
              <w:top w:val="nil"/>
              <w:left w:val="nil"/>
              <w:bottom w:val="single" w:color="auto" w:sz="4" w:space="0"/>
              <w:right w:val="single" w:color="auto" w:sz="4" w:space="0"/>
            </w:tcBorders>
            <w:shd w:val="clear" w:color="auto" w:fill="auto"/>
            <w:vAlign w:val="center"/>
          </w:tcPr>
          <w:p>
            <w:pPr>
              <w:pStyle w:val="103"/>
            </w:pPr>
            <w:r>
              <w:t>1</w:t>
            </w:r>
          </w:p>
        </w:tc>
        <w:tc>
          <w:tcPr>
            <w:tcW w:w="1143" w:type="dxa"/>
            <w:tcBorders>
              <w:top w:val="nil"/>
              <w:left w:val="nil"/>
              <w:bottom w:val="single" w:color="auto" w:sz="4" w:space="0"/>
              <w:right w:val="single" w:color="auto" w:sz="4" w:space="0"/>
            </w:tcBorders>
            <w:shd w:val="clear" w:color="auto" w:fill="auto"/>
            <w:vAlign w:val="center"/>
          </w:tcPr>
          <w:p>
            <w:pPr>
              <w:pStyle w:val="103"/>
            </w:pPr>
            <w:r>
              <w:t>　</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48</w:t>
            </w:r>
          </w:p>
        </w:tc>
        <w:tc>
          <w:tcPr>
            <w:tcW w:w="4266" w:type="dxa"/>
            <w:tcBorders>
              <w:top w:val="nil"/>
              <w:left w:val="nil"/>
              <w:bottom w:val="single" w:color="auto" w:sz="4" w:space="0"/>
              <w:right w:val="single" w:color="auto" w:sz="4" w:space="0"/>
            </w:tcBorders>
            <w:shd w:val="clear" w:color="auto" w:fill="auto"/>
            <w:vAlign w:val="center"/>
          </w:tcPr>
          <w:p>
            <w:pPr>
              <w:pStyle w:val="103"/>
            </w:pPr>
            <w:r>
              <w:t>达拉特路与嘉阳小区小巷交叉口（绿化带）</w:t>
            </w:r>
          </w:p>
        </w:tc>
        <w:tc>
          <w:tcPr>
            <w:tcW w:w="1172" w:type="dxa"/>
            <w:tcBorders>
              <w:top w:val="nil"/>
              <w:left w:val="nil"/>
              <w:bottom w:val="single" w:color="auto" w:sz="4" w:space="0"/>
              <w:right w:val="single" w:color="auto" w:sz="4" w:space="0"/>
            </w:tcBorders>
            <w:shd w:val="clear" w:color="auto" w:fill="auto"/>
            <w:vAlign w:val="center"/>
          </w:tcPr>
          <w:p>
            <w:pPr>
              <w:pStyle w:val="103"/>
            </w:pPr>
            <w:r>
              <w:t>　</w:t>
            </w:r>
          </w:p>
        </w:tc>
        <w:tc>
          <w:tcPr>
            <w:tcW w:w="1143" w:type="dxa"/>
            <w:tcBorders>
              <w:top w:val="nil"/>
              <w:left w:val="nil"/>
              <w:bottom w:val="single" w:color="auto" w:sz="4" w:space="0"/>
              <w:right w:val="single" w:color="auto" w:sz="4" w:space="0"/>
            </w:tcBorders>
            <w:shd w:val="clear" w:color="auto" w:fill="auto"/>
            <w:vAlign w:val="center"/>
          </w:tcPr>
          <w:p>
            <w:pPr>
              <w:pStyle w:val="103"/>
            </w:pPr>
            <w:r>
              <w:t>2</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49</w:t>
            </w:r>
          </w:p>
        </w:tc>
        <w:tc>
          <w:tcPr>
            <w:tcW w:w="4266" w:type="dxa"/>
            <w:tcBorders>
              <w:top w:val="nil"/>
              <w:left w:val="nil"/>
              <w:bottom w:val="single" w:color="auto" w:sz="4" w:space="0"/>
              <w:right w:val="single" w:color="auto" w:sz="4" w:space="0"/>
            </w:tcBorders>
            <w:shd w:val="clear" w:color="auto" w:fill="auto"/>
            <w:vAlign w:val="center"/>
          </w:tcPr>
          <w:p>
            <w:pPr>
              <w:pStyle w:val="103"/>
            </w:pPr>
            <w:r>
              <w:t>达拉特路与天力小区小巷交叉口（绿化带）</w:t>
            </w:r>
          </w:p>
        </w:tc>
        <w:tc>
          <w:tcPr>
            <w:tcW w:w="1172" w:type="dxa"/>
            <w:tcBorders>
              <w:top w:val="nil"/>
              <w:left w:val="nil"/>
              <w:bottom w:val="single" w:color="auto" w:sz="4" w:space="0"/>
              <w:right w:val="single" w:color="auto" w:sz="4" w:space="0"/>
            </w:tcBorders>
            <w:shd w:val="clear" w:color="auto" w:fill="auto"/>
            <w:vAlign w:val="center"/>
          </w:tcPr>
          <w:p>
            <w:pPr>
              <w:pStyle w:val="103"/>
            </w:pPr>
            <w:r>
              <w:t>　</w:t>
            </w:r>
          </w:p>
        </w:tc>
        <w:tc>
          <w:tcPr>
            <w:tcW w:w="1143" w:type="dxa"/>
            <w:tcBorders>
              <w:top w:val="nil"/>
              <w:left w:val="nil"/>
              <w:bottom w:val="single" w:color="auto" w:sz="4" w:space="0"/>
              <w:right w:val="single" w:color="auto" w:sz="4" w:space="0"/>
            </w:tcBorders>
            <w:shd w:val="clear" w:color="auto" w:fill="auto"/>
            <w:vAlign w:val="center"/>
          </w:tcPr>
          <w:p>
            <w:pPr>
              <w:pStyle w:val="103"/>
            </w:pPr>
            <w:r>
              <w:t>2</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50</w:t>
            </w:r>
          </w:p>
        </w:tc>
        <w:tc>
          <w:tcPr>
            <w:tcW w:w="4266" w:type="dxa"/>
            <w:tcBorders>
              <w:top w:val="nil"/>
              <w:left w:val="nil"/>
              <w:bottom w:val="single" w:color="auto" w:sz="4" w:space="0"/>
              <w:right w:val="single" w:color="auto" w:sz="4" w:space="0"/>
            </w:tcBorders>
            <w:shd w:val="clear" w:color="auto" w:fill="auto"/>
            <w:vAlign w:val="center"/>
          </w:tcPr>
          <w:p>
            <w:pPr>
              <w:pStyle w:val="103"/>
            </w:pPr>
            <w:r>
              <w:t>迎宾大街（达旗十一中门口东侧）</w:t>
            </w:r>
          </w:p>
        </w:tc>
        <w:tc>
          <w:tcPr>
            <w:tcW w:w="1172" w:type="dxa"/>
            <w:tcBorders>
              <w:top w:val="nil"/>
              <w:left w:val="nil"/>
              <w:bottom w:val="single" w:color="auto" w:sz="4" w:space="0"/>
              <w:right w:val="single" w:color="auto" w:sz="4" w:space="0"/>
            </w:tcBorders>
            <w:shd w:val="clear" w:color="auto" w:fill="auto"/>
            <w:vAlign w:val="center"/>
          </w:tcPr>
          <w:p>
            <w:pPr>
              <w:pStyle w:val="103"/>
            </w:pPr>
            <w:r>
              <w:t>1</w:t>
            </w:r>
          </w:p>
        </w:tc>
        <w:tc>
          <w:tcPr>
            <w:tcW w:w="1143" w:type="dxa"/>
            <w:tcBorders>
              <w:top w:val="nil"/>
              <w:left w:val="nil"/>
              <w:bottom w:val="single" w:color="auto" w:sz="4" w:space="0"/>
              <w:right w:val="single" w:color="auto" w:sz="4" w:space="0"/>
            </w:tcBorders>
            <w:shd w:val="clear" w:color="auto" w:fill="auto"/>
            <w:vAlign w:val="center"/>
          </w:tcPr>
          <w:p>
            <w:pPr>
              <w:pStyle w:val="103"/>
            </w:pPr>
            <w:r>
              <w:t>2</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51</w:t>
            </w:r>
          </w:p>
        </w:tc>
        <w:tc>
          <w:tcPr>
            <w:tcW w:w="4266" w:type="dxa"/>
            <w:tcBorders>
              <w:top w:val="nil"/>
              <w:left w:val="nil"/>
              <w:bottom w:val="single" w:color="auto" w:sz="4" w:space="0"/>
              <w:right w:val="single" w:color="auto" w:sz="4" w:space="0"/>
            </w:tcBorders>
            <w:shd w:val="clear" w:color="auto" w:fill="auto"/>
            <w:vAlign w:val="center"/>
          </w:tcPr>
          <w:p>
            <w:pPr>
              <w:pStyle w:val="103"/>
            </w:pPr>
            <w:r>
              <w:t>达拉特路与市府街丁字路口</w:t>
            </w:r>
          </w:p>
        </w:tc>
        <w:tc>
          <w:tcPr>
            <w:tcW w:w="1172" w:type="dxa"/>
            <w:tcBorders>
              <w:top w:val="nil"/>
              <w:left w:val="nil"/>
              <w:bottom w:val="single" w:color="auto" w:sz="4" w:space="0"/>
              <w:right w:val="single" w:color="auto" w:sz="4" w:space="0"/>
            </w:tcBorders>
            <w:shd w:val="clear" w:color="auto" w:fill="auto"/>
            <w:vAlign w:val="center"/>
          </w:tcPr>
          <w:p>
            <w:pPr>
              <w:pStyle w:val="103"/>
            </w:pPr>
            <w:r>
              <w:t>1</w:t>
            </w:r>
          </w:p>
        </w:tc>
        <w:tc>
          <w:tcPr>
            <w:tcW w:w="1143" w:type="dxa"/>
            <w:tcBorders>
              <w:top w:val="nil"/>
              <w:left w:val="nil"/>
              <w:bottom w:val="single" w:color="auto" w:sz="4" w:space="0"/>
              <w:right w:val="single" w:color="auto" w:sz="4" w:space="0"/>
            </w:tcBorders>
            <w:shd w:val="clear" w:color="auto" w:fill="auto"/>
            <w:vAlign w:val="center"/>
          </w:tcPr>
          <w:p>
            <w:pPr>
              <w:pStyle w:val="103"/>
            </w:pPr>
            <w:r>
              <w:t>1</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52</w:t>
            </w:r>
          </w:p>
        </w:tc>
        <w:tc>
          <w:tcPr>
            <w:tcW w:w="4266" w:type="dxa"/>
            <w:tcBorders>
              <w:top w:val="nil"/>
              <w:left w:val="nil"/>
              <w:bottom w:val="single" w:color="auto" w:sz="4" w:space="0"/>
              <w:right w:val="single" w:color="auto" w:sz="4" w:space="0"/>
            </w:tcBorders>
            <w:shd w:val="clear" w:color="auto" w:fill="auto"/>
            <w:vAlign w:val="center"/>
          </w:tcPr>
          <w:p>
            <w:pPr>
              <w:pStyle w:val="103"/>
            </w:pPr>
            <w:r>
              <w:t>新华路与迎宾大街丁字路口（路北）</w:t>
            </w:r>
          </w:p>
        </w:tc>
        <w:tc>
          <w:tcPr>
            <w:tcW w:w="1172" w:type="dxa"/>
            <w:tcBorders>
              <w:top w:val="nil"/>
              <w:left w:val="nil"/>
              <w:bottom w:val="single" w:color="auto" w:sz="4" w:space="0"/>
              <w:right w:val="single" w:color="auto" w:sz="4" w:space="0"/>
            </w:tcBorders>
            <w:shd w:val="clear" w:color="auto" w:fill="auto"/>
            <w:vAlign w:val="center"/>
          </w:tcPr>
          <w:p>
            <w:pPr>
              <w:pStyle w:val="103"/>
            </w:pPr>
            <w:r>
              <w:t>1</w:t>
            </w:r>
          </w:p>
        </w:tc>
        <w:tc>
          <w:tcPr>
            <w:tcW w:w="1143" w:type="dxa"/>
            <w:tcBorders>
              <w:top w:val="nil"/>
              <w:left w:val="nil"/>
              <w:bottom w:val="single" w:color="auto" w:sz="4" w:space="0"/>
              <w:right w:val="single" w:color="auto" w:sz="4" w:space="0"/>
            </w:tcBorders>
            <w:shd w:val="clear" w:color="auto" w:fill="auto"/>
            <w:vAlign w:val="center"/>
          </w:tcPr>
          <w:p>
            <w:pPr>
              <w:pStyle w:val="103"/>
            </w:pPr>
            <w:r>
              <w:t>2</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53</w:t>
            </w:r>
          </w:p>
        </w:tc>
        <w:tc>
          <w:tcPr>
            <w:tcW w:w="4266" w:type="dxa"/>
            <w:tcBorders>
              <w:top w:val="nil"/>
              <w:left w:val="nil"/>
              <w:bottom w:val="single" w:color="auto" w:sz="4" w:space="0"/>
              <w:right w:val="single" w:color="auto" w:sz="4" w:space="0"/>
            </w:tcBorders>
            <w:shd w:val="clear" w:color="auto" w:fill="auto"/>
            <w:vAlign w:val="center"/>
          </w:tcPr>
          <w:p>
            <w:pPr>
              <w:pStyle w:val="103"/>
            </w:pPr>
            <w:r>
              <w:t>迎宾大街（市政广场西北角）</w:t>
            </w:r>
          </w:p>
        </w:tc>
        <w:tc>
          <w:tcPr>
            <w:tcW w:w="1172" w:type="dxa"/>
            <w:tcBorders>
              <w:top w:val="nil"/>
              <w:left w:val="nil"/>
              <w:bottom w:val="single" w:color="auto" w:sz="4" w:space="0"/>
              <w:right w:val="single" w:color="auto" w:sz="4" w:space="0"/>
            </w:tcBorders>
            <w:shd w:val="clear" w:color="auto" w:fill="auto"/>
            <w:vAlign w:val="center"/>
          </w:tcPr>
          <w:p>
            <w:pPr>
              <w:pStyle w:val="103"/>
            </w:pPr>
            <w:r>
              <w:t>1</w:t>
            </w:r>
          </w:p>
        </w:tc>
        <w:tc>
          <w:tcPr>
            <w:tcW w:w="1143" w:type="dxa"/>
            <w:tcBorders>
              <w:top w:val="nil"/>
              <w:left w:val="nil"/>
              <w:bottom w:val="single" w:color="auto" w:sz="4" w:space="0"/>
              <w:right w:val="single" w:color="auto" w:sz="4" w:space="0"/>
            </w:tcBorders>
            <w:shd w:val="clear" w:color="auto" w:fill="auto"/>
            <w:vAlign w:val="center"/>
          </w:tcPr>
          <w:p>
            <w:pPr>
              <w:pStyle w:val="103"/>
            </w:pPr>
            <w:r>
              <w:t>1</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54</w:t>
            </w:r>
          </w:p>
        </w:tc>
        <w:tc>
          <w:tcPr>
            <w:tcW w:w="4266" w:type="dxa"/>
            <w:tcBorders>
              <w:top w:val="nil"/>
              <w:left w:val="nil"/>
              <w:bottom w:val="single" w:color="auto" w:sz="4" w:space="0"/>
              <w:right w:val="single" w:color="auto" w:sz="4" w:space="0"/>
            </w:tcBorders>
            <w:shd w:val="clear" w:color="auto" w:fill="auto"/>
            <w:vAlign w:val="center"/>
          </w:tcPr>
          <w:p>
            <w:pPr>
              <w:pStyle w:val="103"/>
            </w:pPr>
            <w:r>
              <w:t>迎宾大街十一中旁小巷丁字路口</w:t>
            </w:r>
          </w:p>
        </w:tc>
        <w:tc>
          <w:tcPr>
            <w:tcW w:w="1172" w:type="dxa"/>
            <w:tcBorders>
              <w:top w:val="nil"/>
              <w:left w:val="nil"/>
              <w:bottom w:val="single" w:color="auto" w:sz="4" w:space="0"/>
              <w:right w:val="single" w:color="auto" w:sz="4" w:space="0"/>
            </w:tcBorders>
            <w:shd w:val="clear" w:color="auto" w:fill="auto"/>
            <w:vAlign w:val="center"/>
          </w:tcPr>
          <w:p>
            <w:pPr>
              <w:pStyle w:val="103"/>
            </w:pPr>
            <w:r>
              <w:t>　</w:t>
            </w:r>
          </w:p>
        </w:tc>
        <w:tc>
          <w:tcPr>
            <w:tcW w:w="1143" w:type="dxa"/>
            <w:tcBorders>
              <w:top w:val="nil"/>
              <w:left w:val="nil"/>
              <w:bottom w:val="single" w:color="auto" w:sz="4" w:space="0"/>
              <w:right w:val="single" w:color="auto" w:sz="4" w:space="0"/>
            </w:tcBorders>
            <w:shd w:val="clear" w:color="auto" w:fill="auto"/>
            <w:vAlign w:val="center"/>
          </w:tcPr>
          <w:p>
            <w:pPr>
              <w:pStyle w:val="103"/>
            </w:pPr>
            <w:r>
              <w:t>2</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55</w:t>
            </w:r>
          </w:p>
        </w:tc>
        <w:tc>
          <w:tcPr>
            <w:tcW w:w="4266" w:type="dxa"/>
            <w:tcBorders>
              <w:top w:val="nil"/>
              <w:left w:val="nil"/>
              <w:bottom w:val="single" w:color="auto" w:sz="4" w:space="0"/>
              <w:right w:val="single" w:color="auto" w:sz="4" w:space="0"/>
            </w:tcBorders>
            <w:shd w:val="clear" w:color="auto" w:fill="auto"/>
            <w:vAlign w:val="center"/>
          </w:tcPr>
          <w:p>
            <w:pPr>
              <w:pStyle w:val="103"/>
            </w:pPr>
            <w:r>
              <w:t>法院门口</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56</w:t>
            </w:r>
          </w:p>
        </w:tc>
        <w:tc>
          <w:tcPr>
            <w:tcW w:w="4266" w:type="dxa"/>
            <w:tcBorders>
              <w:top w:val="nil"/>
              <w:left w:val="nil"/>
              <w:bottom w:val="single" w:color="auto" w:sz="4" w:space="0"/>
              <w:right w:val="single" w:color="auto" w:sz="4" w:space="0"/>
            </w:tcBorders>
            <w:shd w:val="clear" w:color="auto" w:fill="auto"/>
            <w:vAlign w:val="center"/>
          </w:tcPr>
          <w:p>
            <w:pPr>
              <w:pStyle w:val="103"/>
            </w:pPr>
            <w:r>
              <w:t>市府街西头铁路桥洞口</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57</w:t>
            </w:r>
          </w:p>
        </w:tc>
        <w:tc>
          <w:tcPr>
            <w:tcW w:w="4266" w:type="dxa"/>
            <w:tcBorders>
              <w:top w:val="nil"/>
              <w:left w:val="nil"/>
              <w:bottom w:val="single" w:color="auto" w:sz="4" w:space="0"/>
              <w:right w:val="single" w:color="auto" w:sz="4" w:space="0"/>
            </w:tcBorders>
            <w:shd w:val="clear" w:color="auto" w:fill="auto"/>
            <w:vAlign w:val="center"/>
          </w:tcPr>
          <w:p>
            <w:pPr>
              <w:pStyle w:val="103"/>
            </w:pPr>
            <w:r>
              <w:t>林荫路与市府街交叉口</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58</w:t>
            </w:r>
          </w:p>
        </w:tc>
        <w:tc>
          <w:tcPr>
            <w:tcW w:w="4266" w:type="dxa"/>
            <w:tcBorders>
              <w:top w:val="nil"/>
              <w:left w:val="nil"/>
              <w:bottom w:val="single" w:color="auto" w:sz="4" w:space="0"/>
              <w:right w:val="single" w:color="auto" w:sz="4" w:space="0"/>
            </w:tcBorders>
            <w:shd w:val="clear" w:color="auto" w:fill="auto"/>
            <w:vAlign w:val="center"/>
          </w:tcPr>
          <w:p>
            <w:pPr>
              <w:pStyle w:val="103"/>
            </w:pPr>
            <w:r>
              <w:t>林荫路（欣康医院）</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59</w:t>
            </w:r>
          </w:p>
        </w:tc>
        <w:tc>
          <w:tcPr>
            <w:tcW w:w="4266" w:type="dxa"/>
            <w:tcBorders>
              <w:top w:val="nil"/>
              <w:left w:val="nil"/>
              <w:bottom w:val="single" w:color="auto" w:sz="4" w:space="0"/>
              <w:right w:val="single" w:color="auto" w:sz="4" w:space="0"/>
            </w:tcBorders>
            <w:shd w:val="clear" w:color="auto" w:fill="auto"/>
            <w:vAlign w:val="center"/>
          </w:tcPr>
          <w:p>
            <w:pPr>
              <w:pStyle w:val="103"/>
            </w:pPr>
            <w:r>
              <w:t>西园路与广场北路丁字路口</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60</w:t>
            </w:r>
          </w:p>
        </w:tc>
        <w:tc>
          <w:tcPr>
            <w:tcW w:w="4266" w:type="dxa"/>
            <w:tcBorders>
              <w:top w:val="nil"/>
              <w:left w:val="nil"/>
              <w:bottom w:val="single" w:color="auto" w:sz="4" w:space="0"/>
              <w:right w:val="single" w:color="auto" w:sz="4" w:space="0"/>
            </w:tcBorders>
            <w:shd w:val="clear" w:color="auto" w:fill="auto"/>
            <w:vAlign w:val="center"/>
          </w:tcPr>
          <w:p>
            <w:pPr>
              <w:pStyle w:val="103"/>
            </w:pPr>
            <w:r>
              <w:t>西园路（邮政门口人行道）</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61</w:t>
            </w:r>
          </w:p>
        </w:tc>
        <w:tc>
          <w:tcPr>
            <w:tcW w:w="4266" w:type="dxa"/>
            <w:tcBorders>
              <w:top w:val="nil"/>
              <w:left w:val="nil"/>
              <w:bottom w:val="single" w:color="auto" w:sz="4" w:space="0"/>
              <w:right w:val="single" w:color="auto" w:sz="4" w:space="0"/>
            </w:tcBorders>
            <w:shd w:val="clear" w:color="auto" w:fill="auto"/>
            <w:vAlign w:val="center"/>
          </w:tcPr>
          <w:p>
            <w:pPr>
              <w:pStyle w:val="103"/>
            </w:pPr>
            <w:r>
              <w:t>西园路（达旗七中西门对面）</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62</w:t>
            </w:r>
          </w:p>
        </w:tc>
        <w:tc>
          <w:tcPr>
            <w:tcW w:w="4266" w:type="dxa"/>
            <w:tcBorders>
              <w:top w:val="nil"/>
              <w:left w:val="nil"/>
              <w:bottom w:val="single" w:color="auto" w:sz="4" w:space="0"/>
              <w:right w:val="single" w:color="auto" w:sz="4" w:space="0"/>
            </w:tcBorders>
            <w:shd w:val="clear" w:color="auto" w:fill="auto"/>
            <w:vAlign w:val="center"/>
          </w:tcPr>
          <w:p>
            <w:pPr>
              <w:pStyle w:val="103"/>
            </w:pPr>
            <w:r>
              <w:t>金鹏路与体育场南路交叉口（东南角）</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63</w:t>
            </w:r>
          </w:p>
        </w:tc>
        <w:tc>
          <w:tcPr>
            <w:tcW w:w="4266" w:type="dxa"/>
            <w:tcBorders>
              <w:top w:val="nil"/>
              <w:left w:val="nil"/>
              <w:bottom w:val="single" w:color="auto" w:sz="4" w:space="0"/>
              <w:right w:val="single" w:color="auto" w:sz="4" w:space="0"/>
            </w:tcBorders>
            <w:shd w:val="clear" w:color="auto" w:fill="auto"/>
            <w:vAlign w:val="center"/>
          </w:tcPr>
          <w:p>
            <w:pPr>
              <w:pStyle w:val="103"/>
            </w:pPr>
            <w:r>
              <w:t>市府街（达旗七中南门）</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64</w:t>
            </w:r>
          </w:p>
        </w:tc>
        <w:tc>
          <w:tcPr>
            <w:tcW w:w="4266" w:type="dxa"/>
            <w:tcBorders>
              <w:top w:val="nil"/>
              <w:left w:val="nil"/>
              <w:bottom w:val="single" w:color="auto" w:sz="4" w:space="0"/>
              <w:right w:val="single" w:color="auto" w:sz="4" w:space="0"/>
            </w:tcBorders>
            <w:shd w:val="clear" w:color="auto" w:fill="auto"/>
            <w:vAlign w:val="center"/>
          </w:tcPr>
          <w:p>
            <w:pPr>
              <w:pStyle w:val="103"/>
            </w:pPr>
            <w:r>
              <w:t>市府街（达旗十中）</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65</w:t>
            </w:r>
          </w:p>
        </w:tc>
        <w:tc>
          <w:tcPr>
            <w:tcW w:w="4266" w:type="dxa"/>
            <w:tcBorders>
              <w:top w:val="nil"/>
              <w:left w:val="nil"/>
              <w:bottom w:val="single" w:color="auto" w:sz="4" w:space="0"/>
              <w:right w:val="single" w:color="auto" w:sz="4" w:space="0"/>
            </w:tcBorders>
            <w:shd w:val="clear" w:color="auto" w:fill="auto"/>
            <w:vAlign w:val="center"/>
          </w:tcPr>
          <w:p>
            <w:pPr>
              <w:pStyle w:val="103"/>
            </w:pPr>
            <w:r>
              <w:t>市府街（金色地中海对面）</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66</w:t>
            </w:r>
          </w:p>
        </w:tc>
        <w:tc>
          <w:tcPr>
            <w:tcW w:w="4266" w:type="dxa"/>
            <w:tcBorders>
              <w:top w:val="nil"/>
              <w:left w:val="nil"/>
              <w:bottom w:val="single" w:color="auto" w:sz="4" w:space="0"/>
              <w:right w:val="single" w:color="auto" w:sz="4" w:space="0"/>
            </w:tcBorders>
            <w:shd w:val="clear" w:color="auto" w:fill="auto"/>
            <w:vAlign w:val="center"/>
          </w:tcPr>
          <w:p>
            <w:pPr>
              <w:pStyle w:val="103"/>
            </w:pPr>
            <w:r>
              <w:t>金鹏路商业街（步行街）</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67</w:t>
            </w:r>
          </w:p>
        </w:tc>
        <w:tc>
          <w:tcPr>
            <w:tcW w:w="4266" w:type="dxa"/>
            <w:tcBorders>
              <w:top w:val="nil"/>
              <w:left w:val="nil"/>
              <w:bottom w:val="single" w:color="auto" w:sz="4" w:space="0"/>
              <w:right w:val="single" w:color="auto" w:sz="4" w:space="0"/>
            </w:tcBorders>
            <w:shd w:val="clear" w:color="auto" w:fill="auto"/>
            <w:vAlign w:val="center"/>
          </w:tcPr>
          <w:p>
            <w:pPr>
              <w:pStyle w:val="103"/>
            </w:pPr>
            <w:r>
              <w:t>市府街鸿德新苑与文苑新村门口</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68</w:t>
            </w:r>
          </w:p>
        </w:tc>
        <w:tc>
          <w:tcPr>
            <w:tcW w:w="4266" w:type="dxa"/>
            <w:tcBorders>
              <w:top w:val="nil"/>
              <w:left w:val="nil"/>
              <w:bottom w:val="single" w:color="auto" w:sz="4" w:space="0"/>
              <w:right w:val="single" w:color="auto" w:sz="4" w:space="0"/>
            </w:tcBorders>
            <w:shd w:val="clear" w:color="auto" w:fill="auto"/>
            <w:vAlign w:val="center"/>
          </w:tcPr>
          <w:p>
            <w:pPr>
              <w:pStyle w:val="103"/>
            </w:pPr>
            <w:r>
              <w:t>马兰滩服务区北出口（加油站对面）</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69</w:t>
            </w:r>
          </w:p>
        </w:tc>
        <w:tc>
          <w:tcPr>
            <w:tcW w:w="4266" w:type="dxa"/>
            <w:tcBorders>
              <w:top w:val="nil"/>
              <w:left w:val="nil"/>
              <w:bottom w:val="single" w:color="auto" w:sz="4" w:space="0"/>
              <w:right w:val="single" w:color="auto" w:sz="4" w:space="0"/>
            </w:tcBorders>
            <w:shd w:val="clear" w:color="auto" w:fill="auto"/>
            <w:vAlign w:val="center"/>
          </w:tcPr>
          <w:p>
            <w:pPr>
              <w:pStyle w:val="103"/>
            </w:pPr>
            <w:r>
              <w:t>G210国道（马兰滩服务区停车场西南角）</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　</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　</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70</w:t>
            </w:r>
          </w:p>
        </w:tc>
        <w:tc>
          <w:tcPr>
            <w:tcW w:w="4266" w:type="dxa"/>
            <w:tcBorders>
              <w:top w:val="nil"/>
              <w:left w:val="nil"/>
              <w:bottom w:val="single" w:color="auto" w:sz="4" w:space="0"/>
              <w:right w:val="single" w:color="auto" w:sz="4" w:space="0"/>
            </w:tcBorders>
            <w:shd w:val="clear" w:color="auto" w:fill="auto"/>
            <w:vAlign w:val="center"/>
          </w:tcPr>
          <w:p>
            <w:pPr>
              <w:pStyle w:val="103"/>
            </w:pPr>
            <w:r>
              <w:t>G210国道（马兰滩服务区路口）</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71</w:t>
            </w:r>
          </w:p>
        </w:tc>
        <w:tc>
          <w:tcPr>
            <w:tcW w:w="4266" w:type="dxa"/>
            <w:tcBorders>
              <w:top w:val="nil"/>
              <w:left w:val="nil"/>
              <w:bottom w:val="single" w:color="auto" w:sz="4" w:space="0"/>
              <w:right w:val="single" w:color="auto" w:sz="4" w:space="0"/>
            </w:tcBorders>
            <w:shd w:val="clear" w:color="auto" w:fill="auto"/>
            <w:vAlign w:val="center"/>
          </w:tcPr>
          <w:p>
            <w:pPr>
              <w:pStyle w:val="103"/>
            </w:pPr>
            <w:r>
              <w:t>达拉特路与新园街交叉口（东北角）</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72</w:t>
            </w:r>
          </w:p>
        </w:tc>
        <w:tc>
          <w:tcPr>
            <w:tcW w:w="4266" w:type="dxa"/>
            <w:tcBorders>
              <w:top w:val="nil"/>
              <w:left w:val="nil"/>
              <w:bottom w:val="single" w:color="auto" w:sz="4" w:space="0"/>
              <w:right w:val="single" w:color="auto" w:sz="4" w:space="0"/>
            </w:tcBorders>
            <w:shd w:val="clear" w:color="auto" w:fill="auto"/>
            <w:vAlign w:val="center"/>
          </w:tcPr>
          <w:p>
            <w:pPr>
              <w:pStyle w:val="103"/>
            </w:pPr>
            <w:r>
              <w:t>达拉特路与新园街交叉口（西南角）</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73</w:t>
            </w:r>
          </w:p>
        </w:tc>
        <w:tc>
          <w:tcPr>
            <w:tcW w:w="4266" w:type="dxa"/>
            <w:tcBorders>
              <w:top w:val="nil"/>
              <w:left w:val="nil"/>
              <w:bottom w:val="single" w:color="auto" w:sz="4" w:space="0"/>
              <w:right w:val="single" w:color="auto" w:sz="4" w:space="0"/>
            </w:tcBorders>
            <w:shd w:val="clear" w:color="auto" w:fill="auto"/>
            <w:vAlign w:val="center"/>
          </w:tcPr>
          <w:p>
            <w:pPr>
              <w:pStyle w:val="103"/>
            </w:pPr>
            <w:r>
              <w:t>鑫荣建材城</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74</w:t>
            </w:r>
          </w:p>
        </w:tc>
        <w:tc>
          <w:tcPr>
            <w:tcW w:w="4266" w:type="dxa"/>
            <w:tcBorders>
              <w:top w:val="nil"/>
              <w:left w:val="nil"/>
              <w:bottom w:val="single" w:color="auto" w:sz="4" w:space="0"/>
              <w:right w:val="single" w:color="auto" w:sz="4" w:space="0"/>
            </w:tcBorders>
            <w:shd w:val="clear" w:color="auto" w:fill="auto"/>
            <w:vAlign w:val="center"/>
          </w:tcPr>
          <w:p>
            <w:pPr>
              <w:pStyle w:val="103"/>
            </w:pPr>
            <w:r>
              <w:t>建设路与新园街十字路口（西南）</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75</w:t>
            </w:r>
          </w:p>
        </w:tc>
        <w:tc>
          <w:tcPr>
            <w:tcW w:w="4266" w:type="dxa"/>
            <w:tcBorders>
              <w:top w:val="nil"/>
              <w:left w:val="nil"/>
              <w:bottom w:val="single" w:color="auto" w:sz="4" w:space="0"/>
              <w:right w:val="single" w:color="auto" w:sz="4" w:space="0"/>
            </w:tcBorders>
            <w:shd w:val="clear" w:color="auto" w:fill="auto"/>
            <w:vAlign w:val="center"/>
          </w:tcPr>
          <w:p>
            <w:pPr>
              <w:pStyle w:val="103"/>
            </w:pPr>
            <w:r>
              <w:t>建设路与新园街十字路口（东北）</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76</w:t>
            </w:r>
          </w:p>
        </w:tc>
        <w:tc>
          <w:tcPr>
            <w:tcW w:w="4266" w:type="dxa"/>
            <w:tcBorders>
              <w:top w:val="nil"/>
              <w:left w:val="nil"/>
              <w:bottom w:val="single" w:color="auto" w:sz="4" w:space="0"/>
              <w:right w:val="single" w:color="auto" w:sz="4" w:space="0"/>
            </w:tcBorders>
            <w:shd w:val="clear" w:color="auto" w:fill="auto"/>
            <w:vAlign w:val="center"/>
          </w:tcPr>
          <w:p>
            <w:pPr>
              <w:pStyle w:val="103"/>
            </w:pPr>
            <w:r>
              <w:t>建设路与平原大街丁字路口（中蒙医院）</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77</w:t>
            </w:r>
          </w:p>
        </w:tc>
        <w:tc>
          <w:tcPr>
            <w:tcW w:w="4266" w:type="dxa"/>
            <w:tcBorders>
              <w:top w:val="nil"/>
              <w:left w:val="nil"/>
              <w:bottom w:val="single" w:color="auto" w:sz="4" w:space="0"/>
              <w:right w:val="single" w:color="auto" w:sz="4" w:space="0"/>
            </w:tcBorders>
            <w:shd w:val="clear" w:color="auto" w:fill="auto"/>
            <w:vAlign w:val="center"/>
          </w:tcPr>
          <w:p>
            <w:pPr>
              <w:pStyle w:val="103"/>
            </w:pPr>
            <w:r>
              <w:t>太兴路与新园街路口（东北角）</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78</w:t>
            </w:r>
          </w:p>
        </w:tc>
        <w:tc>
          <w:tcPr>
            <w:tcW w:w="4266" w:type="dxa"/>
            <w:tcBorders>
              <w:top w:val="nil"/>
              <w:left w:val="nil"/>
              <w:bottom w:val="single" w:color="auto" w:sz="4" w:space="0"/>
              <w:right w:val="single" w:color="auto" w:sz="4" w:space="0"/>
            </w:tcBorders>
            <w:shd w:val="clear" w:color="auto" w:fill="auto"/>
            <w:vAlign w:val="center"/>
          </w:tcPr>
          <w:p>
            <w:pPr>
              <w:pStyle w:val="103"/>
            </w:pPr>
            <w:r>
              <w:t>达拉特路与G210国道交叉路口</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79</w:t>
            </w:r>
          </w:p>
        </w:tc>
        <w:tc>
          <w:tcPr>
            <w:tcW w:w="4266" w:type="dxa"/>
            <w:tcBorders>
              <w:top w:val="nil"/>
              <w:left w:val="nil"/>
              <w:bottom w:val="single" w:color="auto" w:sz="4" w:space="0"/>
              <w:right w:val="single" w:color="auto" w:sz="4" w:space="0"/>
            </w:tcBorders>
            <w:shd w:val="clear" w:color="auto" w:fill="auto"/>
            <w:vAlign w:val="center"/>
          </w:tcPr>
          <w:p>
            <w:pPr>
              <w:pStyle w:val="103"/>
            </w:pPr>
            <w:r>
              <w:t>新园街（东源新村）</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80</w:t>
            </w:r>
          </w:p>
        </w:tc>
        <w:tc>
          <w:tcPr>
            <w:tcW w:w="4266" w:type="dxa"/>
            <w:tcBorders>
              <w:top w:val="nil"/>
              <w:left w:val="nil"/>
              <w:bottom w:val="single" w:color="auto" w:sz="4" w:space="0"/>
              <w:right w:val="single" w:color="auto" w:sz="4" w:space="0"/>
            </w:tcBorders>
            <w:shd w:val="clear" w:color="auto" w:fill="auto"/>
            <w:vAlign w:val="center"/>
          </w:tcPr>
          <w:p>
            <w:pPr>
              <w:pStyle w:val="103"/>
            </w:pPr>
            <w:r>
              <w:t>平原大街中蒙医院西侧加油站</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81</w:t>
            </w:r>
          </w:p>
        </w:tc>
        <w:tc>
          <w:tcPr>
            <w:tcW w:w="4266" w:type="dxa"/>
            <w:tcBorders>
              <w:top w:val="nil"/>
              <w:left w:val="nil"/>
              <w:bottom w:val="single" w:color="auto" w:sz="4" w:space="0"/>
              <w:right w:val="single" w:color="auto" w:sz="4" w:space="0"/>
            </w:tcBorders>
            <w:shd w:val="clear" w:color="auto" w:fill="auto"/>
            <w:vAlign w:val="center"/>
          </w:tcPr>
          <w:p>
            <w:pPr>
              <w:pStyle w:val="103"/>
            </w:pPr>
            <w:r>
              <w:t>锡尼街（买买提烧烤对面中国移动门口旁）</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82</w:t>
            </w:r>
          </w:p>
        </w:tc>
        <w:tc>
          <w:tcPr>
            <w:tcW w:w="4266" w:type="dxa"/>
            <w:tcBorders>
              <w:top w:val="nil"/>
              <w:left w:val="nil"/>
              <w:bottom w:val="single" w:color="auto" w:sz="4" w:space="0"/>
              <w:right w:val="single" w:color="auto" w:sz="4" w:space="0"/>
            </w:tcBorders>
            <w:shd w:val="clear" w:color="auto" w:fill="auto"/>
            <w:vAlign w:val="center"/>
          </w:tcPr>
          <w:p>
            <w:pPr>
              <w:pStyle w:val="103"/>
            </w:pPr>
            <w:r>
              <w:t>新华路与锡尼街交叉路口(信访接待中心）</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83</w:t>
            </w:r>
          </w:p>
        </w:tc>
        <w:tc>
          <w:tcPr>
            <w:tcW w:w="4266" w:type="dxa"/>
            <w:tcBorders>
              <w:top w:val="nil"/>
              <w:left w:val="nil"/>
              <w:bottom w:val="single" w:color="auto" w:sz="4" w:space="0"/>
              <w:right w:val="single" w:color="auto" w:sz="4" w:space="0"/>
            </w:tcBorders>
            <w:shd w:val="clear" w:color="auto" w:fill="auto"/>
            <w:vAlign w:val="center"/>
          </w:tcPr>
          <w:p>
            <w:pPr>
              <w:pStyle w:val="103"/>
            </w:pPr>
            <w:r>
              <w:t>长胜路与锡尼街交叉口（西南角）</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84</w:t>
            </w:r>
          </w:p>
        </w:tc>
        <w:tc>
          <w:tcPr>
            <w:tcW w:w="4266" w:type="dxa"/>
            <w:tcBorders>
              <w:top w:val="nil"/>
              <w:left w:val="nil"/>
              <w:bottom w:val="single" w:color="auto" w:sz="4" w:space="0"/>
              <w:right w:val="single" w:color="auto" w:sz="4" w:space="0"/>
            </w:tcBorders>
            <w:shd w:val="clear" w:color="auto" w:fill="auto"/>
            <w:vAlign w:val="center"/>
          </w:tcPr>
          <w:p>
            <w:pPr>
              <w:pStyle w:val="103"/>
            </w:pPr>
            <w:r>
              <w:t>锡尼街（达旗一中）门口对面</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85</w:t>
            </w:r>
          </w:p>
        </w:tc>
        <w:tc>
          <w:tcPr>
            <w:tcW w:w="4266" w:type="dxa"/>
            <w:tcBorders>
              <w:top w:val="nil"/>
              <w:left w:val="nil"/>
              <w:bottom w:val="single" w:color="auto" w:sz="4" w:space="0"/>
              <w:right w:val="single" w:color="auto" w:sz="4" w:space="0"/>
            </w:tcBorders>
            <w:shd w:val="clear" w:color="auto" w:fill="auto"/>
            <w:vAlign w:val="center"/>
          </w:tcPr>
          <w:p>
            <w:pPr>
              <w:pStyle w:val="103"/>
            </w:pPr>
            <w:r>
              <w:t>锡尼街（公安小区）</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86</w:t>
            </w:r>
          </w:p>
        </w:tc>
        <w:tc>
          <w:tcPr>
            <w:tcW w:w="4266" w:type="dxa"/>
            <w:tcBorders>
              <w:top w:val="nil"/>
              <w:left w:val="nil"/>
              <w:bottom w:val="single" w:color="auto" w:sz="4" w:space="0"/>
              <w:right w:val="single" w:color="auto" w:sz="4" w:space="0"/>
            </w:tcBorders>
            <w:shd w:val="clear" w:color="auto" w:fill="auto"/>
            <w:vAlign w:val="center"/>
          </w:tcPr>
          <w:p>
            <w:pPr>
              <w:pStyle w:val="103"/>
            </w:pPr>
            <w:r>
              <w:t>和平路与锡尼街交叉口（东北角）授之渔托管中心旁边</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87</w:t>
            </w:r>
          </w:p>
        </w:tc>
        <w:tc>
          <w:tcPr>
            <w:tcW w:w="4266" w:type="dxa"/>
            <w:tcBorders>
              <w:top w:val="nil"/>
              <w:left w:val="nil"/>
              <w:bottom w:val="single" w:color="auto" w:sz="4" w:space="0"/>
              <w:right w:val="single" w:color="auto" w:sz="4" w:space="0"/>
            </w:tcBorders>
            <w:shd w:val="clear" w:color="auto" w:fill="auto"/>
            <w:vAlign w:val="center"/>
          </w:tcPr>
          <w:p>
            <w:pPr>
              <w:pStyle w:val="103"/>
            </w:pPr>
            <w:r>
              <w:t>建设路与锡尼街交叉口（西南角）</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88</w:t>
            </w:r>
          </w:p>
        </w:tc>
        <w:tc>
          <w:tcPr>
            <w:tcW w:w="4266" w:type="dxa"/>
            <w:tcBorders>
              <w:top w:val="nil"/>
              <w:left w:val="nil"/>
              <w:bottom w:val="single" w:color="auto" w:sz="4" w:space="0"/>
              <w:right w:val="single" w:color="auto" w:sz="4" w:space="0"/>
            </w:tcBorders>
            <w:shd w:val="clear" w:color="auto" w:fill="auto"/>
            <w:vAlign w:val="center"/>
          </w:tcPr>
          <w:p>
            <w:pPr>
              <w:pStyle w:val="103"/>
            </w:pPr>
            <w:r>
              <w:t>锡尼街达旗政府老干局旁小巷</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89</w:t>
            </w:r>
          </w:p>
        </w:tc>
        <w:tc>
          <w:tcPr>
            <w:tcW w:w="4266" w:type="dxa"/>
            <w:tcBorders>
              <w:top w:val="nil"/>
              <w:left w:val="nil"/>
              <w:bottom w:val="single" w:color="auto" w:sz="4" w:space="0"/>
              <w:right w:val="single" w:color="auto" w:sz="4" w:space="0"/>
            </w:tcBorders>
            <w:shd w:val="clear" w:color="auto" w:fill="auto"/>
            <w:vAlign w:val="center"/>
          </w:tcPr>
          <w:p>
            <w:pPr>
              <w:pStyle w:val="103"/>
            </w:pPr>
            <w:r>
              <w:t>长胜路与锡尼街南侧小巷丁字路口</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90</w:t>
            </w:r>
          </w:p>
        </w:tc>
        <w:tc>
          <w:tcPr>
            <w:tcW w:w="4266" w:type="dxa"/>
            <w:tcBorders>
              <w:top w:val="nil"/>
              <w:left w:val="nil"/>
              <w:bottom w:val="single" w:color="auto" w:sz="4" w:space="0"/>
              <w:right w:val="single" w:color="auto" w:sz="4" w:space="0"/>
            </w:tcBorders>
            <w:shd w:val="clear" w:color="auto" w:fill="auto"/>
            <w:vAlign w:val="center"/>
          </w:tcPr>
          <w:p>
            <w:pPr>
              <w:pStyle w:val="103"/>
            </w:pPr>
            <w:r>
              <w:t>锡尼街公路住宅小区南街口</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91</w:t>
            </w:r>
          </w:p>
        </w:tc>
        <w:tc>
          <w:tcPr>
            <w:tcW w:w="4266" w:type="dxa"/>
            <w:tcBorders>
              <w:top w:val="nil"/>
              <w:left w:val="nil"/>
              <w:bottom w:val="single" w:color="auto" w:sz="4" w:space="0"/>
              <w:right w:val="single" w:color="auto" w:sz="4" w:space="0"/>
            </w:tcBorders>
            <w:shd w:val="clear" w:color="auto" w:fill="auto"/>
            <w:vAlign w:val="center"/>
          </w:tcPr>
          <w:p>
            <w:pPr>
              <w:pStyle w:val="103"/>
            </w:pPr>
            <w:r>
              <w:t>达拉特路电厂南运煤线交叉口（西北角）</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92</w:t>
            </w:r>
          </w:p>
        </w:tc>
        <w:tc>
          <w:tcPr>
            <w:tcW w:w="4266" w:type="dxa"/>
            <w:tcBorders>
              <w:top w:val="nil"/>
              <w:left w:val="nil"/>
              <w:bottom w:val="single" w:color="auto" w:sz="4" w:space="0"/>
              <w:right w:val="single" w:color="auto" w:sz="4" w:space="0"/>
            </w:tcBorders>
            <w:shd w:val="clear" w:color="auto" w:fill="auto"/>
            <w:vAlign w:val="center"/>
          </w:tcPr>
          <w:p>
            <w:pPr>
              <w:pStyle w:val="103"/>
            </w:pPr>
            <w:r>
              <w:t>达拉特路与运灰专线（东北角）</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93</w:t>
            </w:r>
          </w:p>
        </w:tc>
        <w:tc>
          <w:tcPr>
            <w:tcW w:w="4266" w:type="dxa"/>
            <w:tcBorders>
              <w:top w:val="nil"/>
              <w:left w:val="nil"/>
              <w:bottom w:val="single" w:color="auto" w:sz="4" w:space="0"/>
              <w:right w:val="single" w:color="auto" w:sz="4" w:space="0"/>
            </w:tcBorders>
            <w:shd w:val="clear" w:color="auto" w:fill="auto"/>
            <w:vAlign w:val="center"/>
          </w:tcPr>
          <w:p>
            <w:pPr>
              <w:pStyle w:val="103"/>
            </w:pPr>
            <w:r>
              <w:t>林荫路与新园街交叉口</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94</w:t>
            </w:r>
          </w:p>
        </w:tc>
        <w:tc>
          <w:tcPr>
            <w:tcW w:w="4266" w:type="dxa"/>
            <w:tcBorders>
              <w:top w:val="nil"/>
              <w:left w:val="nil"/>
              <w:bottom w:val="single" w:color="auto" w:sz="4" w:space="0"/>
              <w:right w:val="single" w:color="auto" w:sz="4" w:space="0"/>
            </w:tcBorders>
            <w:shd w:val="clear" w:color="auto" w:fill="auto"/>
            <w:vAlign w:val="center"/>
          </w:tcPr>
          <w:p>
            <w:pPr>
              <w:pStyle w:val="103"/>
            </w:pPr>
            <w:r>
              <w:t>林荫路与福宁街交叉口</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95</w:t>
            </w:r>
          </w:p>
        </w:tc>
        <w:tc>
          <w:tcPr>
            <w:tcW w:w="4266" w:type="dxa"/>
            <w:tcBorders>
              <w:top w:val="nil"/>
              <w:left w:val="nil"/>
              <w:bottom w:val="single" w:color="auto" w:sz="4" w:space="0"/>
              <w:right w:val="single" w:color="auto" w:sz="4" w:space="0"/>
            </w:tcBorders>
            <w:shd w:val="clear" w:color="auto" w:fill="auto"/>
            <w:vAlign w:val="center"/>
          </w:tcPr>
          <w:p>
            <w:pPr>
              <w:pStyle w:val="103"/>
            </w:pPr>
            <w:r>
              <w:t>林荫路与平原大街交叉口</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96</w:t>
            </w:r>
          </w:p>
        </w:tc>
        <w:tc>
          <w:tcPr>
            <w:tcW w:w="4266" w:type="dxa"/>
            <w:tcBorders>
              <w:top w:val="nil"/>
              <w:left w:val="nil"/>
              <w:bottom w:val="single" w:color="auto" w:sz="4" w:space="0"/>
              <w:right w:val="single" w:color="auto" w:sz="4" w:space="0"/>
            </w:tcBorders>
            <w:shd w:val="clear" w:color="auto" w:fill="auto"/>
            <w:vAlign w:val="center"/>
          </w:tcPr>
          <w:p>
            <w:pPr>
              <w:pStyle w:val="103"/>
            </w:pPr>
            <w:r>
              <w:t>平原大街与西园路交叉口西南角</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97</w:t>
            </w:r>
          </w:p>
        </w:tc>
        <w:tc>
          <w:tcPr>
            <w:tcW w:w="4266" w:type="dxa"/>
            <w:tcBorders>
              <w:top w:val="nil"/>
              <w:left w:val="nil"/>
              <w:bottom w:val="single" w:color="auto" w:sz="4" w:space="0"/>
              <w:right w:val="single" w:color="auto" w:sz="4" w:space="0"/>
            </w:tcBorders>
            <w:shd w:val="clear" w:color="auto" w:fill="auto"/>
            <w:vAlign w:val="center"/>
          </w:tcPr>
          <w:p>
            <w:pPr>
              <w:pStyle w:val="103"/>
            </w:pPr>
            <w:r>
              <w:t>平原大街与西园路交叉口东北角</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98</w:t>
            </w:r>
          </w:p>
        </w:tc>
        <w:tc>
          <w:tcPr>
            <w:tcW w:w="4266" w:type="dxa"/>
            <w:tcBorders>
              <w:top w:val="nil"/>
              <w:left w:val="nil"/>
              <w:bottom w:val="single" w:color="auto" w:sz="4" w:space="0"/>
              <w:right w:val="single" w:color="auto" w:sz="4" w:space="0"/>
            </w:tcBorders>
            <w:shd w:val="clear" w:color="auto" w:fill="auto"/>
            <w:vAlign w:val="center"/>
          </w:tcPr>
          <w:p>
            <w:pPr>
              <w:pStyle w:val="103"/>
            </w:pPr>
            <w:r>
              <w:t>西园路与福宁街交叉口（西北角</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99</w:t>
            </w:r>
          </w:p>
        </w:tc>
        <w:tc>
          <w:tcPr>
            <w:tcW w:w="4266" w:type="dxa"/>
            <w:tcBorders>
              <w:top w:val="nil"/>
              <w:left w:val="nil"/>
              <w:bottom w:val="single" w:color="auto" w:sz="4" w:space="0"/>
              <w:right w:val="single" w:color="auto" w:sz="4" w:space="0"/>
            </w:tcBorders>
            <w:shd w:val="clear" w:color="auto" w:fill="auto"/>
            <w:vAlign w:val="center"/>
          </w:tcPr>
          <w:p>
            <w:pPr>
              <w:pStyle w:val="103"/>
            </w:pPr>
            <w:r>
              <w:t>第十幼儿园东南角</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100</w:t>
            </w:r>
          </w:p>
        </w:tc>
        <w:tc>
          <w:tcPr>
            <w:tcW w:w="4266" w:type="dxa"/>
            <w:tcBorders>
              <w:top w:val="nil"/>
              <w:left w:val="nil"/>
              <w:bottom w:val="single" w:color="auto" w:sz="4" w:space="0"/>
              <w:right w:val="single" w:color="auto" w:sz="4" w:space="0"/>
            </w:tcBorders>
            <w:shd w:val="clear" w:color="auto" w:fill="auto"/>
            <w:vAlign w:val="center"/>
          </w:tcPr>
          <w:p>
            <w:pPr>
              <w:pStyle w:val="103"/>
            </w:pPr>
            <w:r>
              <w:t>新园街（响沙宾馆西侧）</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101</w:t>
            </w:r>
          </w:p>
        </w:tc>
        <w:tc>
          <w:tcPr>
            <w:tcW w:w="4266" w:type="dxa"/>
            <w:tcBorders>
              <w:top w:val="nil"/>
              <w:left w:val="nil"/>
              <w:bottom w:val="single" w:color="auto" w:sz="4" w:space="0"/>
              <w:right w:val="single" w:color="auto" w:sz="4" w:space="0"/>
            </w:tcBorders>
            <w:shd w:val="clear" w:color="auto" w:fill="auto"/>
            <w:vAlign w:val="center"/>
          </w:tcPr>
          <w:p>
            <w:pPr>
              <w:pStyle w:val="103"/>
            </w:pPr>
            <w:r>
              <w:t>福宁街与兴德路交叉口（西南角）</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102</w:t>
            </w:r>
          </w:p>
        </w:tc>
        <w:tc>
          <w:tcPr>
            <w:tcW w:w="4266" w:type="dxa"/>
            <w:tcBorders>
              <w:top w:val="nil"/>
              <w:left w:val="nil"/>
              <w:bottom w:val="single" w:color="auto" w:sz="4" w:space="0"/>
              <w:right w:val="single" w:color="auto" w:sz="4" w:space="0"/>
            </w:tcBorders>
            <w:shd w:val="clear" w:color="auto" w:fill="auto"/>
            <w:vAlign w:val="center"/>
          </w:tcPr>
          <w:p>
            <w:pPr>
              <w:pStyle w:val="103"/>
            </w:pPr>
            <w:r>
              <w:t>博泰贵族小区西门</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103</w:t>
            </w:r>
          </w:p>
        </w:tc>
        <w:tc>
          <w:tcPr>
            <w:tcW w:w="4266" w:type="dxa"/>
            <w:tcBorders>
              <w:top w:val="nil"/>
              <w:left w:val="nil"/>
              <w:bottom w:val="single" w:color="auto" w:sz="4" w:space="0"/>
              <w:right w:val="single" w:color="auto" w:sz="4" w:space="0"/>
            </w:tcBorders>
            <w:shd w:val="clear" w:color="auto" w:fill="auto"/>
            <w:vAlign w:val="center"/>
          </w:tcPr>
          <w:p>
            <w:pPr>
              <w:pStyle w:val="103"/>
            </w:pPr>
            <w:r>
              <w:t>兴德路与平原大街交叉口（西南角）</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104</w:t>
            </w:r>
          </w:p>
        </w:tc>
        <w:tc>
          <w:tcPr>
            <w:tcW w:w="4266" w:type="dxa"/>
            <w:tcBorders>
              <w:top w:val="nil"/>
              <w:left w:val="nil"/>
              <w:bottom w:val="single" w:color="auto" w:sz="4" w:space="0"/>
              <w:right w:val="single" w:color="auto" w:sz="4" w:space="0"/>
            </w:tcBorders>
            <w:shd w:val="clear" w:color="auto" w:fill="auto"/>
            <w:vAlign w:val="center"/>
          </w:tcPr>
          <w:p>
            <w:pPr>
              <w:pStyle w:val="103"/>
            </w:pPr>
            <w:r>
              <w:t>西园路北边巡警大队路口</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105</w:t>
            </w:r>
          </w:p>
        </w:tc>
        <w:tc>
          <w:tcPr>
            <w:tcW w:w="4266" w:type="dxa"/>
            <w:tcBorders>
              <w:top w:val="nil"/>
              <w:left w:val="nil"/>
              <w:bottom w:val="single" w:color="auto" w:sz="4" w:space="0"/>
              <w:right w:val="single" w:color="auto" w:sz="4" w:space="0"/>
            </w:tcBorders>
            <w:shd w:val="clear" w:color="auto" w:fill="auto"/>
            <w:vAlign w:val="center"/>
          </w:tcPr>
          <w:p>
            <w:pPr>
              <w:pStyle w:val="103"/>
            </w:pPr>
            <w:r>
              <w:t>林荫路与教育街交叉口</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106</w:t>
            </w:r>
          </w:p>
        </w:tc>
        <w:tc>
          <w:tcPr>
            <w:tcW w:w="4266" w:type="dxa"/>
            <w:tcBorders>
              <w:top w:val="nil"/>
              <w:left w:val="nil"/>
              <w:bottom w:val="single" w:color="auto" w:sz="4" w:space="0"/>
              <w:right w:val="single" w:color="auto" w:sz="4" w:space="0"/>
            </w:tcBorders>
            <w:shd w:val="clear" w:color="auto" w:fill="auto"/>
            <w:vAlign w:val="center"/>
          </w:tcPr>
          <w:p>
            <w:pPr>
              <w:pStyle w:val="103"/>
            </w:pPr>
            <w:r>
              <w:t>林荫路与迎宾大街西北角</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107</w:t>
            </w:r>
          </w:p>
        </w:tc>
        <w:tc>
          <w:tcPr>
            <w:tcW w:w="4266" w:type="dxa"/>
            <w:tcBorders>
              <w:top w:val="nil"/>
              <w:left w:val="nil"/>
              <w:bottom w:val="single" w:color="auto" w:sz="4" w:space="0"/>
              <w:right w:val="single" w:color="auto" w:sz="4" w:space="0"/>
            </w:tcBorders>
            <w:shd w:val="clear" w:color="auto" w:fill="auto"/>
            <w:vAlign w:val="center"/>
          </w:tcPr>
          <w:p>
            <w:pPr>
              <w:pStyle w:val="103"/>
            </w:pPr>
            <w:r>
              <w:t>林荫路与迎宾大街东南角</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108</w:t>
            </w:r>
          </w:p>
        </w:tc>
        <w:tc>
          <w:tcPr>
            <w:tcW w:w="4266" w:type="dxa"/>
            <w:tcBorders>
              <w:top w:val="nil"/>
              <w:left w:val="nil"/>
              <w:bottom w:val="single" w:color="auto" w:sz="4" w:space="0"/>
              <w:right w:val="single" w:color="auto" w:sz="4" w:space="0"/>
            </w:tcBorders>
            <w:shd w:val="clear" w:color="auto" w:fill="auto"/>
            <w:vAlign w:val="center"/>
          </w:tcPr>
          <w:p>
            <w:pPr>
              <w:pStyle w:val="103"/>
            </w:pPr>
            <w:r>
              <w:t>三所小巷（三所门偏北）</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109</w:t>
            </w:r>
          </w:p>
        </w:tc>
        <w:tc>
          <w:tcPr>
            <w:tcW w:w="4266" w:type="dxa"/>
            <w:tcBorders>
              <w:top w:val="nil"/>
              <w:left w:val="nil"/>
              <w:bottom w:val="single" w:color="auto" w:sz="4" w:space="0"/>
              <w:right w:val="single" w:color="auto" w:sz="4" w:space="0"/>
            </w:tcBorders>
            <w:shd w:val="clear" w:color="auto" w:fill="auto"/>
            <w:vAlign w:val="center"/>
          </w:tcPr>
          <w:p>
            <w:pPr>
              <w:pStyle w:val="103"/>
            </w:pPr>
            <w:r>
              <w:t>地税小区东门南侧人行道</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110</w:t>
            </w:r>
          </w:p>
        </w:tc>
        <w:tc>
          <w:tcPr>
            <w:tcW w:w="4266" w:type="dxa"/>
            <w:tcBorders>
              <w:top w:val="nil"/>
              <w:left w:val="nil"/>
              <w:bottom w:val="single" w:color="auto" w:sz="4" w:space="0"/>
              <w:right w:val="single" w:color="auto" w:sz="4" w:space="0"/>
            </w:tcBorders>
            <w:shd w:val="clear" w:color="auto" w:fill="auto"/>
            <w:vAlign w:val="center"/>
          </w:tcPr>
          <w:p>
            <w:pPr>
              <w:pStyle w:val="103"/>
            </w:pPr>
            <w:r>
              <w:t>西园路与教育街交叉口（西南角）</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111</w:t>
            </w:r>
          </w:p>
        </w:tc>
        <w:tc>
          <w:tcPr>
            <w:tcW w:w="4266" w:type="dxa"/>
            <w:tcBorders>
              <w:top w:val="nil"/>
              <w:left w:val="nil"/>
              <w:bottom w:val="single" w:color="auto" w:sz="4" w:space="0"/>
              <w:right w:val="single" w:color="auto" w:sz="4" w:space="0"/>
            </w:tcBorders>
            <w:shd w:val="clear" w:color="auto" w:fill="auto"/>
            <w:vAlign w:val="center"/>
          </w:tcPr>
          <w:p>
            <w:pPr>
              <w:pStyle w:val="103"/>
            </w:pPr>
            <w:r>
              <w:t>金鹏路（路东早夜市）</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112</w:t>
            </w:r>
          </w:p>
        </w:tc>
        <w:tc>
          <w:tcPr>
            <w:tcW w:w="4266" w:type="dxa"/>
            <w:tcBorders>
              <w:top w:val="nil"/>
              <w:left w:val="nil"/>
              <w:bottom w:val="single" w:color="auto" w:sz="4" w:space="0"/>
              <w:right w:val="single" w:color="auto" w:sz="4" w:space="0"/>
            </w:tcBorders>
            <w:shd w:val="clear" w:color="auto" w:fill="auto"/>
            <w:vAlign w:val="center"/>
          </w:tcPr>
          <w:p>
            <w:pPr>
              <w:pStyle w:val="103"/>
            </w:pPr>
            <w:r>
              <w:t>教育街（银肯广场西北角）</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113</w:t>
            </w:r>
          </w:p>
        </w:tc>
        <w:tc>
          <w:tcPr>
            <w:tcW w:w="4266" w:type="dxa"/>
            <w:tcBorders>
              <w:top w:val="nil"/>
              <w:left w:val="nil"/>
              <w:bottom w:val="single" w:color="auto" w:sz="4" w:space="0"/>
              <w:right w:val="single" w:color="auto" w:sz="4" w:space="0"/>
            </w:tcBorders>
            <w:shd w:val="clear" w:color="auto" w:fill="auto"/>
            <w:vAlign w:val="center"/>
          </w:tcPr>
          <w:p>
            <w:pPr>
              <w:pStyle w:val="103"/>
            </w:pPr>
            <w:r>
              <w:t>金鹏路与教育街丁字路口（路东）</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114</w:t>
            </w:r>
          </w:p>
        </w:tc>
        <w:tc>
          <w:tcPr>
            <w:tcW w:w="4266" w:type="dxa"/>
            <w:tcBorders>
              <w:top w:val="nil"/>
              <w:left w:val="nil"/>
              <w:bottom w:val="single" w:color="auto" w:sz="4" w:space="0"/>
              <w:right w:val="single" w:color="auto" w:sz="4" w:space="0"/>
            </w:tcBorders>
            <w:shd w:val="clear" w:color="auto" w:fill="auto"/>
            <w:vAlign w:val="center"/>
          </w:tcPr>
          <w:p>
            <w:pPr>
              <w:pStyle w:val="103"/>
            </w:pPr>
            <w:r>
              <w:t>阳光小学门口</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115</w:t>
            </w:r>
          </w:p>
        </w:tc>
        <w:tc>
          <w:tcPr>
            <w:tcW w:w="4266" w:type="dxa"/>
            <w:tcBorders>
              <w:top w:val="nil"/>
              <w:left w:val="nil"/>
              <w:bottom w:val="single" w:color="auto" w:sz="4" w:space="0"/>
              <w:right w:val="single" w:color="auto" w:sz="4" w:space="0"/>
            </w:tcBorders>
            <w:shd w:val="clear" w:color="auto" w:fill="auto"/>
            <w:vAlign w:val="center"/>
          </w:tcPr>
          <w:p>
            <w:pPr>
              <w:pStyle w:val="103"/>
            </w:pPr>
            <w:r>
              <w:t>达拉特体育中心西巷与迎宾大道交叉口</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116</w:t>
            </w:r>
          </w:p>
        </w:tc>
        <w:tc>
          <w:tcPr>
            <w:tcW w:w="4266" w:type="dxa"/>
            <w:tcBorders>
              <w:top w:val="nil"/>
              <w:left w:val="nil"/>
              <w:bottom w:val="single" w:color="auto" w:sz="4" w:space="0"/>
              <w:right w:val="single" w:color="auto" w:sz="4" w:space="0"/>
            </w:tcBorders>
            <w:shd w:val="clear" w:color="auto" w:fill="auto"/>
            <w:vAlign w:val="center"/>
          </w:tcPr>
          <w:p>
            <w:pPr>
              <w:pStyle w:val="103"/>
            </w:pPr>
            <w:r>
              <w:t>达拉特体育中心东巷与迎宾大道交叉口</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117</w:t>
            </w:r>
          </w:p>
        </w:tc>
        <w:tc>
          <w:tcPr>
            <w:tcW w:w="4266" w:type="dxa"/>
            <w:tcBorders>
              <w:top w:val="nil"/>
              <w:left w:val="nil"/>
              <w:bottom w:val="single" w:color="auto" w:sz="4" w:space="0"/>
              <w:right w:val="single" w:color="auto" w:sz="4" w:space="0"/>
            </w:tcBorders>
            <w:shd w:val="clear" w:color="auto" w:fill="auto"/>
            <w:vAlign w:val="center"/>
          </w:tcPr>
          <w:p>
            <w:pPr>
              <w:pStyle w:val="103"/>
            </w:pPr>
            <w:r>
              <w:t>迎宾大街银肯公园西侧小巷</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118</w:t>
            </w:r>
          </w:p>
        </w:tc>
        <w:tc>
          <w:tcPr>
            <w:tcW w:w="4266" w:type="dxa"/>
            <w:tcBorders>
              <w:top w:val="nil"/>
              <w:left w:val="nil"/>
              <w:bottom w:val="single" w:color="auto" w:sz="4" w:space="0"/>
              <w:right w:val="single" w:color="auto" w:sz="4" w:space="0"/>
            </w:tcBorders>
            <w:shd w:val="clear" w:color="auto" w:fill="auto"/>
            <w:vAlign w:val="center"/>
          </w:tcPr>
          <w:p>
            <w:pPr>
              <w:pStyle w:val="103"/>
            </w:pPr>
            <w:r>
              <w:t>金鹏路西侧教育街幼儿园门口</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119</w:t>
            </w:r>
          </w:p>
        </w:tc>
        <w:tc>
          <w:tcPr>
            <w:tcW w:w="4266" w:type="dxa"/>
            <w:tcBorders>
              <w:top w:val="nil"/>
              <w:left w:val="nil"/>
              <w:bottom w:val="single" w:color="auto" w:sz="4" w:space="0"/>
              <w:right w:val="single" w:color="auto" w:sz="4" w:space="0"/>
            </w:tcBorders>
            <w:shd w:val="clear" w:color="auto" w:fill="auto"/>
            <w:vAlign w:val="center"/>
          </w:tcPr>
          <w:p>
            <w:pPr>
              <w:pStyle w:val="103"/>
            </w:pPr>
            <w:r>
              <w:t>德胜大街（八中门口旁侧）</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120</w:t>
            </w:r>
          </w:p>
        </w:tc>
        <w:tc>
          <w:tcPr>
            <w:tcW w:w="4266" w:type="dxa"/>
            <w:tcBorders>
              <w:top w:val="nil"/>
              <w:left w:val="nil"/>
              <w:bottom w:val="single" w:color="auto" w:sz="4" w:space="0"/>
              <w:right w:val="single" w:color="auto" w:sz="4" w:space="0"/>
            </w:tcBorders>
            <w:shd w:val="clear" w:color="auto" w:fill="auto"/>
            <w:vAlign w:val="center"/>
          </w:tcPr>
          <w:p>
            <w:pPr>
              <w:pStyle w:val="103"/>
            </w:pPr>
            <w:r>
              <w:t>德胜大街（五中门口对面）</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121</w:t>
            </w:r>
          </w:p>
        </w:tc>
        <w:tc>
          <w:tcPr>
            <w:tcW w:w="4266" w:type="dxa"/>
            <w:tcBorders>
              <w:top w:val="nil"/>
              <w:left w:val="nil"/>
              <w:bottom w:val="single" w:color="auto" w:sz="4" w:space="0"/>
              <w:right w:val="single" w:color="auto" w:sz="4" w:space="0"/>
            </w:tcBorders>
            <w:shd w:val="clear" w:color="auto" w:fill="auto"/>
            <w:vAlign w:val="center"/>
          </w:tcPr>
          <w:p>
            <w:pPr>
              <w:pStyle w:val="103"/>
            </w:pPr>
            <w:r>
              <w:t>德胜大街与人和小巷丁字路口</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122</w:t>
            </w:r>
          </w:p>
        </w:tc>
        <w:tc>
          <w:tcPr>
            <w:tcW w:w="4266" w:type="dxa"/>
            <w:tcBorders>
              <w:top w:val="nil"/>
              <w:left w:val="nil"/>
              <w:bottom w:val="single" w:color="auto" w:sz="4" w:space="0"/>
              <w:right w:val="single" w:color="auto" w:sz="4" w:space="0"/>
            </w:tcBorders>
            <w:shd w:val="clear" w:color="auto" w:fill="auto"/>
            <w:vAlign w:val="center"/>
          </w:tcPr>
          <w:p>
            <w:pPr>
              <w:pStyle w:val="103"/>
            </w:pPr>
            <w:r>
              <w:t>德胜大街与五中东路丁字路口（药房对面）</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123</w:t>
            </w:r>
          </w:p>
        </w:tc>
        <w:tc>
          <w:tcPr>
            <w:tcW w:w="4266" w:type="dxa"/>
            <w:tcBorders>
              <w:top w:val="nil"/>
              <w:left w:val="nil"/>
              <w:bottom w:val="single" w:color="auto" w:sz="4" w:space="0"/>
              <w:right w:val="single" w:color="auto" w:sz="4" w:space="0"/>
            </w:tcBorders>
            <w:shd w:val="clear" w:color="auto" w:fill="auto"/>
            <w:vAlign w:val="center"/>
          </w:tcPr>
          <w:p>
            <w:pPr>
              <w:pStyle w:val="103"/>
            </w:pPr>
            <w:r>
              <w:t>公园路与南园街东南角</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124</w:t>
            </w:r>
          </w:p>
        </w:tc>
        <w:tc>
          <w:tcPr>
            <w:tcW w:w="4266" w:type="dxa"/>
            <w:tcBorders>
              <w:top w:val="nil"/>
              <w:left w:val="nil"/>
              <w:bottom w:val="single" w:color="auto" w:sz="4" w:space="0"/>
              <w:right w:val="single" w:color="auto" w:sz="4" w:space="0"/>
            </w:tcBorders>
            <w:shd w:val="clear" w:color="auto" w:fill="auto"/>
            <w:vAlign w:val="center"/>
          </w:tcPr>
          <w:p>
            <w:pPr>
              <w:pStyle w:val="103"/>
            </w:pPr>
            <w:r>
              <w:t>新华路与规划一路交叉口（西南角）</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125</w:t>
            </w:r>
          </w:p>
        </w:tc>
        <w:tc>
          <w:tcPr>
            <w:tcW w:w="4266" w:type="dxa"/>
            <w:tcBorders>
              <w:top w:val="nil"/>
              <w:left w:val="nil"/>
              <w:bottom w:val="single" w:color="auto" w:sz="4" w:space="0"/>
              <w:right w:val="single" w:color="auto" w:sz="4" w:space="0"/>
            </w:tcBorders>
            <w:shd w:val="clear" w:color="auto" w:fill="auto"/>
            <w:vAlign w:val="center"/>
          </w:tcPr>
          <w:p>
            <w:pPr>
              <w:pStyle w:val="103"/>
            </w:pPr>
            <w:r>
              <w:t>公园路与和顺街丁字路口</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126</w:t>
            </w:r>
          </w:p>
        </w:tc>
        <w:tc>
          <w:tcPr>
            <w:tcW w:w="4266" w:type="dxa"/>
            <w:tcBorders>
              <w:top w:val="nil"/>
              <w:left w:val="nil"/>
              <w:bottom w:val="single" w:color="auto" w:sz="4" w:space="0"/>
              <w:right w:val="single" w:color="auto" w:sz="4" w:space="0"/>
            </w:tcBorders>
            <w:shd w:val="clear" w:color="auto" w:fill="auto"/>
            <w:vAlign w:val="center"/>
          </w:tcPr>
          <w:p>
            <w:pPr>
              <w:pStyle w:val="103"/>
            </w:pPr>
            <w:r>
              <w:t>新华街（六幼）</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127</w:t>
            </w:r>
          </w:p>
        </w:tc>
        <w:tc>
          <w:tcPr>
            <w:tcW w:w="4266" w:type="dxa"/>
            <w:tcBorders>
              <w:top w:val="nil"/>
              <w:left w:val="nil"/>
              <w:bottom w:val="single" w:color="auto" w:sz="4" w:space="0"/>
              <w:right w:val="single" w:color="auto" w:sz="4" w:space="0"/>
            </w:tcBorders>
            <w:shd w:val="clear" w:color="auto" w:fill="auto"/>
            <w:vAlign w:val="center"/>
          </w:tcPr>
          <w:p>
            <w:pPr>
              <w:pStyle w:val="103"/>
            </w:pPr>
            <w:r>
              <w:t>王贵新村西路口</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128</w:t>
            </w:r>
          </w:p>
        </w:tc>
        <w:tc>
          <w:tcPr>
            <w:tcW w:w="4266" w:type="dxa"/>
            <w:tcBorders>
              <w:top w:val="nil"/>
              <w:left w:val="nil"/>
              <w:bottom w:val="single" w:color="auto" w:sz="4" w:space="0"/>
              <w:right w:val="single" w:color="auto" w:sz="4" w:space="0"/>
            </w:tcBorders>
            <w:shd w:val="clear" w:color="auto" w:fill="auto"/>
            <w:vAlign w:val="center"/>
          </w:tcPr>
          <w:p>
            <w:pPr>
              <w:pStyle w:val="103"/>
            </w:pPr>
            <w:r>
              <w:t>新华路与王贵新村路东交叉口</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129</w:t>
            </w:r>
          </w:p>
        </w:tc>
        <w:tc>
          <w:tcPr>
            <w:tcW w:w="4266" w:type="dxa"/>
            <w:tcBorders>
              <w:top w:val="nil"/>
              <w:left w:val="nil"/>
              <w:bottom w:val="single" w:color="auto" w:sz="4" w:space="0"/>
              <w:right w:val="single" w:color="auto" w:sz="4" w:space="0"/>
            </w:tcBorders>
            <w:shd w:val="clear" w:color="auto" w:fill="auto"/>
            <w:vAlign w:val="center"/>
          </w:tcPr>
          <w:p>
            <w:pPr>
              <w:pStyle w:val="103"/>
            </w:pPr>
            <w:r>
              <w:t>新华路与洪德明小区路东交叉口</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130</w:t>
            </w:r>
          </w:p>
        </w:tc>
        <w:tc>
          <w:tcPr>
            <w:tcW w:w="4266" w:type="dxa"/>
            <w:tcBorders>
              <w:top w:val="nil"/>
              <w:left w:val="nil"/>
              <w:bottom w:val="single" w:color="auto" w:sz="4" w:space="0"/>
              <w:right w:val="single" w:color="auto" w:sz="4" w:space="0"/>
            </w:tcBorders>
            <w:shd w:val="clear" w:color="auto" w:fill="auto"/>
            <w:vAlign w:val="center"/>
          </w:tcPr>
          <w:p>
            <w:pPr>
              <w:pStyle w:val="103"/>
            </w:pPr>
            <w:r>
              <w:t>六完小门口</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131</w:t>
            </w:r>
          </w:p>
        </w:tc>
        <w:tc>
          <w:tcPr>
            <w:tcW w:w="4266" w:type="dxa"/>
            <w:tcBorders>
              <w:top w:val="nil"/>
              <w:left w:val="nil"/>
              <w:bottom w:val="single" w:color="auto" w:sz="4" w:space="0"/>
              <w:right w:val="single" w:color="auto" w:sz="4" w:space="0"/>
            </w:tcBorders>
            <w:shd w:val="clear" w:color="auto" w:fill="auto"/>
            <w:vAlign w:val="center"/>
          </w:tcPr>
          <w:p>
            <w:pPr>
              <w:pStyle w:val="103"/>
            </w:pPr>
            <w:r>
              <w:t>德胜大街（人民医院南门绿化带）</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132</w:t>
            </w:r>
          </w:p>
        </w:tc>
        <w:tc>
          <w:tcPr>
            <w:tcW w:w="4266" w:type="dxa"/>
            <w:tcBorders>
              <w:top w:val="nil"/>
              <w:left w:val="nil"/>
              <w:bottom w:val="single" w:color="auto" w:sz="4" w:space="0"/>
              <w:right w:val="single" w:color="auto" w:sz="4" w:space="0"/>
            </w:tcBorders>
            <w:shd w:val="clear" w:color="auto" w:fill="auto"/>
            <w:vAlign w:val="center"/>
          </w:tcPr>
          <w:p>
            <w:pPr>
              <w:pStyle w:val="103"/>
            </w:pPr>
            <w:r>
              <w:t>长胜路与德胜大街交叉口（东南角）</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133</w:t>
            </w:r>
          </w:p>
        </w:tc>
        <w:tc>
          <w:tcPr>
            <w:tcW w:w="4266" w:type="dxa"/>
            <w:tcBorders>
              <w:top w:val="nil"/>
              <w:left w:val="nil"/>
              <w:bottom w:val="single" w:color="auto" w:sz="4" w:space="0"/>
              <w:right w:val="single" w:color="auto" w:sz="4" w:space="0"/>
            </w:tcBorders>
            <w:shd w:val="clear" w:color="auto" w:fill="auto"/>
            <w:vAlign w:val="center"/>
          </w:tcPr>
          <w:p>
            <w:pPr>
              <w:pStyle w:val="103"/>
            </w:pPr>
            <w:r>
              <w:t>长胜路与德胜大街交叉口（西北角）</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134</w:t>
            </w:r>
          </w:p>
        </w:tc>
        <w:tc>
          <w:tcPr>
            <w:tcW w:w="4266" w:type="dxa"/>
            <w:tcBorders>
              <w:top w:val="nil"/>
              <w:left w:val="nil"/>
              <w:bottom w:val="single" w:color="auto" w:sz="4" w:space="0"/>
              <w:right w:val="single" w:color="auto" w:sz="4" w:space="0"/>
            </w:tcBorders>
            <w:shd w:val="clear" w:color="auto" w:fill="auto"/>
            <w:vAlign w:val="center"/>
          </w:tcPr>
          <w:p>
            <w:pPr>
              <w:pStyle w:val="103"/>
            </w:pPr>
            <w:r>
              <w:t>和平路与德胜大街丁字路口（西南角旧杆位置）</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135</w:t>
            </w:r>
          </w:p>
        </w:tc>
        <w:tc>
          <w:tcPr>
            <w:tcW w:w="4266" w:type="dxa"/>
            <w:tcBorders>
              <w:top w:val="nil"/>
              <w:left w:val="nil"/>
              <w:bottom w:val="single" w:color="auto" w:sz="4" w:space="0"/>
              <w:right w:val="single" w:color="auto" w:sz="4" w:space="0"/>
            </w:tcBorders>
            <w:shd w:val="clear" w:color="auto" w:fill="auto"/>
            <w:vAlign w:val="center"/>
          </w:tcPr>
          <w:p>
            <w:pPr>
              <w:pStyle w:val="103"/>
            </w:pPr>
            <w:r>
              <w:t>规划一路与陶瓷广场东路交叉口</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136</w:t>
            </w:r>
          </w:p>
        </w:tc>
        <w:tc>
          <w:tcPr>
            <w:tcW w:w="4266" w:type="dxa"/>
            <w:tcBorders>
              <w:top w:val="nil"/>
              <w:left w:val="nil"/>
              <w:bottom w:val="single" w:color="auto" w:sz="4" w:space="0"/>
              <w:right w:val="single" w:color="auto" w:sz="4" w:space="0"/>
            </w:tcBorders>
            <w:shd w:val="clear" w:color="auto" w:fill="auto"/>
            <w:vAlign w:val="center"/>
          </w:tcPr>
          <w:p>
            <w:pPr>
              <w:pStyle w:val="103"/>
            </w:pPr>
            <w:r>
              <w:t>农牧学校（达拉特旗第一中学）对面偏东</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137</w:t>
            </w:r>
          </w:p>
        </w:tc>
        <w:tc>
          <w:tcPr>
            <w:tcW w:w="4266" w:type="dxa"/>
            <w:tcBorders>
              <w:top w:val="nil"/>
              <w:left w:val="nil"/>
              <w:bottom w:val="single" w:color="auto" w:sz="4" w:space="0"/>
              <w:right w:val="single" w:color="auto" w:sz="4" w:space="0"/>
            </w:tcBorders>
            <w:shd w:val="clear" w:color="auto" w:fill="auto"/>
            <w:vAlign w:val="center"/>
          </w:tcPr>
          <w:p>
            <w:pPr>
              <w:pStyle w:val="103"/>
            </w:pPr>
            <w:r>
              <w:t>新华路南端六完小小巷丁字路口</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138</w:t>
            </w:r>
          </w:p>
        </w:tc>
        <w:tc>
          <w:tcPr>
            <w:tcW w:w="4266" w:type="dxa"/>
            <w:tcBorders>
              <w:top w:val="nil"/>
              <w:left w:val="nil"/>
              <w:bottom w:val="single" w:color="auto" w:sz="4" w:space="0"/>
              <w:right w:val="single" w:color="auto" w:sz="4" w:space="0"/>
            </w:tcBorders>
            <w:shd w:val="clear" w:color="auto" w:fill="auto"/>
            <w:vAlign w:val="center"/>
          </w:tcPr>
          <w:p>
            <w:pPr>
              <w:pStyle w:val="103"/>
            </w:pPr>
            <w:r>
              <w:t>林荫路与树林召大街交叉口（东南角）</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139</w:t>
            </w:r>
          </w:p>
        </w:tc>
        <w:tc>
          <w:tcPr>
            <w:tcW w:w="4266" w:type="dxa"/>
            <w:tcBorders>
              <w:top w:val="nil"/>
              <w:left w:val="nil"/>
              <w:bottom w:val="single" w:color="auto" w:sz="4" w:space="0"/>
              <w:right w:val="single" w:color="auto" w:sz="4" w:space="0"/>
            </w:tcBorders>
            <w:shd w:val="clear" w:color="auto" w:fill="auto"/>
            <w:vAlign w:val="center"/>
          </w:tcPr>
          <w:p>
            <w:pPr>
              <w:pStyle w:val="103"/>
            </w:pPr>
            <w:r>
              <w:t>汽车站门口</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140</w:t>
            </w:r>
          </w:p>
        </w:tc>
        <w:tc>
          <w:tcPr>
            <w:tcW w:w="4266" w:type="dxa"/>
            <w:tcBorders>
              <w:top w:val="nil"/>
              <w:left w:val="nil"/>
              <w:bottom w:val="single" w:color="auto" w:sz="4" w:space="0"/>
              <w:right w:val="single" w:color="auto" w:sz="4" w:space="0"/>
            </w:tcBorders>
            <w:shd w:val="clear" w:color="auto" w:fill="auto"/>
            <w:vAlign w:val="center"/>
          </w:tcPr>
          <w:p>
            <w:pPr>
              <w:pStyle w:val="103"/>
            </w:pPr>
            <w:r>
              <w:t>西园小区南出口（碧海云天）</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　</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141</w:t>
            </w:r>
          </w:p>
        </w:tc>
        <w:tc>
          <w:tcPr>
            <w:tcW w:w="4266" w:type="dxa"/>
            <w:tcBorders>
              <w:top w:val="nil"/>
              <w:left w:val="nil"/>
              <w:bottom w:val="single" w:color="auto" w:sz="4" w:space="0"/>
              <w:right w:val="single" w:color="auto" w:sz="4" w:space="0"/>
            </w:tcBorders>
            <w:shd w:val="clear" w:color="auto" w:fill="auto"/>
            <w:vAlign w:val="center"/>
          </w:tcPr>
          <w:p>
            <w:pPr>
              <w:pStyle w:val="103"/>
            </w:pPr>
            <w:r>
              <w:t>锦华园北巷</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142</w:t>
            </w:r>
          </w:p>
        </w:tc>
        <w:tc>
          <w:tcPr>
            <w:tcW w:w="4266" w:type="dxa"/>
            <w:tcBorders>
              <w:top w:val="nil"/>
              <w:left w:val="nil"/>
              <w:bottom w:val="single" w:color="auto" w:sz="4" w:space="0"/>
              <w:right w:val="single" w:color="auto" w:sz="4" w:space="0"/>
            </w:tcBorders>
            <w:shd w:val="clear" w:color="auto" w:fill="auto"/>
            <w:vAlign w:val="center"/>
          </w:tcPr>
          <w:p>
            <w:pPr>
              <w:pStyle w:val="103"/>
            </w:pPr>
            <w:r>
              <w:t>东达佳园A区东门（绿化带）</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143</w:t>
            </w:r>
          </w:p>
        </w:tc>
        <w:tc>
          <w:tcPr>
            <w:tcW w:w="4266" w:type="dxa"/>
            <w:tcBorders>
              <w:top w:val="nil"/>
              <w:left w:val="nil"/>
              <w:bottom w:val="single" w:color="auto" w:sz="4" w:space="0"/>
              <w:right w:val="single" w:color="auto" w:sz="4" w:space="0"/>
            </w:tcBorders>
            <w:shd w:val="clear" w:color="auto" w:fill="auto"/>
            <w:vAlign w:val="center"/>
          </w:tcPr>
          <w:p>
            <w:pPr>
              <w:pStyle w:val="103"/>
            </w:pPr>
            <w:r>
              <w:t>白塔公园西门</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144</w:t>
            </w:r>
          </w:p>
        </w:tc>
        <w:tc>
          <w:tcPr>
            <w:tcW w:w="4266" w:type="dxa"/>
            <w:tcBorders>
              <w:top w:val="nil"/>
              <w:left w:val="nil"/>
              <w:bottom w:val="single" w:color="auto" w:sz="4" w:space="0"/>
              <w:right w:val="single" w:color="auto" w:sz="4" w:space="0"/>
            </w:tcBorders>
            <w:shd w:val="clear" w:color="auto" w:fill="auto"/>
            <w:vAlign w:val="center"/>
          </w:tcPr>
          <w:p>
            <w:pPr>
              <w:pStyle w:val="103"/>
            </w:pPr>
            <w:r>
              <w:t>西园路转盘（东南角）</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145</w:t>
            </w:r>
          </w:p>
        </w:tc>
        <w:tc>
          <w:tcPr>
            <w:tcW w:w="4266" w:type="dxa"/>
            <w:tcBorders>
              <w:top w:val="nil"/>
              <w:left w:val="nil"/>
              <w:bottom w:val="single" w:color="auto" w:sz="4" w:space="0"/>
              <w:right w:val="single" w:color="auto" w:sz="4" w:space="0"/>
            </w:tcBorders>
            <w:shd w:val="clear" w:color="auto" w:fill="auto"/>
            <w:vAlign w:val="center"/>
          </w:tcPr>
          <w:p>
            <w:pPr>
              <w:pStyle w:val="103"/>
            </w:pPr>
            <w:r>
              <w:t>西园路转盘（西北角）</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146</w:t>
            </w:r>
          </w:p>
        </w:tc>
        <w:tc>
          <w:tcPr>
            <w:tcW w:w="4266" w:type="dxa"/>
            <w:tcBorders>
              <w:top w:val="nil"/>
              <w:left w:val="nil"/>
              <w:bottom w:val="single" w:color="auto" w:sz="4" w:space="0"/>
              <w:right w:val="single" w:color="auto" w:sz="4" w:space="0"/>
            </w:tcBorders>
            <w:shd w:val="clear" w:color="auto" w:fill="auto"/>
            <w:vAlign w:val="center"/>
          </w:tcPr>
          <w:p>
            <w:pPr>
              <w:pStyle w:val="103"/>
            </w:pPr>
            <w:r>
              <w:t>科技大楼对面</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147</w:t>
            </w:r>
          </w:p>
        </w:tc>
        <w:tc>
          <w:tcPr>
            <w:tcW w:w="4266" w:type="dxa"/>
            <w:tcBorders>
              <w:top w:val="nil"/>
              <w:left w:val="nil"/>
              <w:bottom w:val="single" w:color="auto" w:sz="4" w:space="0"/>
              <w:right w:val="single" w:color="auto" w:sz="4" w:space="0"/>
            </w:tcBorders>
            <w:shd w:val="clear" w:color="auto" w:fill="auto"/>
            <w:vAlign w:val="center"/>
          </w:tcPr>
          <w:p>
            <w:pPr>
              <w:pStyle w:val="103"/>
            </w:pPr>
            <w:r>
              <w:t>明珠园南巷中段</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148</w:t>
            </w:r>
          </w:p>
        </w:tc>
        <w:tc>
          <w:tcPr>
            <w:tcW w:w="4266" w:type="dxa"/>
            <w:tcBorders>
              <w:top w:val="nil"/>
              <w:left w:val="nil"/>
              <w:bottom w:val="single" w:color="auto" w:sz="4" w:space="0"/>
              <w:right w:val="single" w:color="auto" w:sz="4" w:space="0"/>
            </w:tcBorders>
            <w:shd w:val="clear" w:color="auto" w:fill="auto"/>
            <w:vAlign w:val="center"/>
          </w:tcPr>
          <w:p>
            <w:pPr>
              <w:pStyle w:val="103"/>
            </w:pPr>
            <w:r>
              <w:t>金鹏路与明珠园南巷丁字路口</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149</w:t>
            </w:r>
          </w:p>
        </w:tc>
        <w:tc>
          <w:tcPr>
            <w:tcW w:w="4266" w:type="dxa"/>
            <w:tcBorders>
              <w:top w:val="nil"/>
              <w:left w:val="nil"/>
              <w:bottom w:val="single" w:color="auto" w:sz="4" w:space="0"/>
              <w:right w:val="single" w:color="auto" w:sz="4" w:space="0"/>
            </w:tcBorders>
            <w:shd w:val="clear" w:color="auto" w:fill="auto"/>
            <w:vAlign w:val="center"/>
          </w:tcPr>
          <w:p>
            <w:pPr>
              <w:pStyle w:val="103"/>
            </w:pPr>
            <w:r>
              <w:t>白塔早市</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150</w:t>
            </w:r>
          </w:p>
        </w:tc>
        <w:tc>
          <w:tcPr>
            <w:tcW w:w="4266" w:type="dxa"/>
            <w:tcBorders>
              <w:top w:val="nil"/>
              <w:left w:val="nil"/>
              <w:bottom w:val="single" w:color="auto" w:sz="4" w:space="0"/>
              <w:right w:val="single" w:color="auto" w:sz="4" w:space="0"/>
            </w:tcBorders>
            <w:shd w:val="clear" w:color="auto" w:fill="auto"/>
            <w:vAlign w:val="center"/>
          </w:tcPr>
          <w:p>
            <w:pPr>
              <w:pStyle w:val="103"/>
            </w:pPr>
            <w:r>
              <w:t>树林召大街（白塔公园北门）</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151</w:t>
            </w:r>
          </w:p>
        </w:tc>
        <w:tc>
          <w:tcPr>
            <w:tcW w:w="4266" w:type="dxa"/>
            <w:tcBorders>
              <w:top w:val="nil"/>
              <w:left w:val="nil"/>
              <w:bottom w:val="single" w:color="auto" w:sz="4" w:space="0"/>
              <w:right w:val="single" w:color="auto" w:sz="4" w:space="0"/>
            </w:tcBorders>
            <w:shd w:val="clear" w:color="auto" w:fill="auto"/>
            <w:vAlign w:val="center"/>
          </w:tcPr>
          <w:p>
            <w:pPr>
              <w:pStyle w:val="103"/>
            </w:pPr>
            <w:r>
              <w:t>金鹏路与锡尼街丁字路口（白塔公园东门北侧</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3</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2</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152</w:t>
            </w:r>
          </w:p>
        </w:tc>
        <w:tc>
          <w:tcPr>
            <w:tcW w:w="4266" w:type="dxa"/>
            <w:tcBorders>
              <w:top w:val="nil"/>
              <w:left w:val="nil"/>
              <w:bottom w:val="single" w:color="auto" w:sz="4" w:space="0"/>
              <w:right w:val="single" w:color="auto" w:sz="4" w:space="0"/>
            </w:tcBorders>
            <w:shd w:val="clear" w:color="auto" w:fill="auto"/>
            <w:vAlign w:val="center"/>
          </w:tcPr>
          <w:p>
            <w:pPr>
              <w:pStyle w:val="103"/>
            </w:pPr>
            <w:r>
              <w:t>白塔湖东北角</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153</w:t>
            </w:r>
          </w:p>
        </w:tc>
        <w:tc>
          <w:tcPr>
            <w:tcW w:w="4266" w:type="dxa"/>
            <w:tcBorders>
              <w:top w:val="nil"/>
              <w:left w:val="nil"/>
              <w:bottom w:val="single" w:color="auto" w:sz="4" w:space="0"/>
              <w:right w:val="single" w:color="auto" w:sz="4" w:space="0"/>
            </w:tcBorders>
            <w:shd w:val="clear" w:color="auto" w:fill="auto"/>
            <w:vAlign w:val="center"/>
          </w:tcPr>
          <w:p>
            <w:pPr>
              <w:pStyle w:val="103"/>
            </w:pPr>
            <w:r>
              <w:t>树林召大街西端达拉特火车站前广场</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154</w:t>
            </w:r>
          </w:p>
        </w:tc>
        <w:tc>
          <w:tcPr>
            <w:tcW w:w="4266" w:type="dxa"/>
            <w:tcBorders>
              <w:top w:val="nil"/>
              <w:left w:val="nil"/>
              <w:bottom w:val="single" w:color="auto" w:sz="4" w:space="0"/>
              <w:right w:val="single" w:color="auto" w:sz="4" w:space="0"/>
            </w:tcBorders>
            <w:shd w:val="clear" w:color="auto" w:fill="auto"/>
            <w:vAlign w:val="center"/>
          </w:tcPr>
          <w:p>
            <w:pPr>
              <w:pStyle w:val="103"/>
            </w:pPr>
            <w:r>
              <w:t>树林召大街税务局旁小巷</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155</w:t>
            </w:r>
          </w:p>
        </w:tc>
        <w:tc>
          <w:tcPr>
            <w:tcW w:w="4266" w:type="dxa"/>
            <w:tcBorders>
              <w:top w:val="nil"/>
              <w:left w:val="nil"/>
              <w:bottom w:val="single" w:color="auto" w:sz="4" w:space="0"/>
              <w:right w:val="single" w:color="auto" w:sz="4" w:space="0"/>
            </w:tcBorders>
            <w:shd w:val="clear" w:color="auto" w:fill="auto"/>
            <w:vAlign w:val="center"/>
          </w:tcPr>
          <w:p>
            <w:pPr>
              <w:pStyle w:val="103"/>
            </w:pPr>
            <w:r>
              <w:t>南园路与西园路交叉口（西北角）</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156</w:t>
            </w:r>
          </w:p>
        </w:tc>
        <w:tc>
          <w:tcPr>
            <w:tcW w:w="4266" w:type="dxa"/>
            <w:tcBorders>
              <w:top w:val="nil"/>
              <w:left w:val="nil"/>
              <w:bottom w:val="single" w:color="auto" w:sz="4" w:space="0"/>
              <w:right w:val="single" w:color="auto" w:sz="4" w:space="0"/>
            </w:tcBorders>
            <w:shd w:val="clear" w:color="auto" w:fill="auto"/>
            <w:vAlign w:val="center"/>
          </w:tcPr>
          <w:p>
            <w:pPr>
              <w:pStyle w:val="103"/>
            </w:pPr>
            <w:r>
              <w:t>金鹏路与新园街丁字路口（路北）</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157</w:t>
            </w:r>
          </w:p>
        </w:tc>
        <w:tc>
          <w:tcPr>
            <w:tcW w:w="4266" w:type="dxa"/>
            <w:tcBorders>
              <w:top w:val="nil"/>
              <w:left w:val="nil"/>
              <w:bottom w:val="single" w:color="auto" w:sz="4" w:space="0"/>
              <w:right w:val="single" w:color="auto" w:sz="4" w:space="0"/>
            </w:tcBorders>
            <w:shd w:val="clear" w:color="auto" w:fill="auto"/>
            <w:vAlign w:val="center"/>
          </w:tcPr>
          <w:p>
            <w:pPr>
              <w:pStyle w:val="103"/>
            </w:pPr>
            <w:r>
              <w:t>第九幼儿园门口</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158</w:t>
            </w:r>
          </w:p>
        </w:tc>
        <w:tc>
          <w:tcPr>
            <w:tcW w:w="4266" w:type="dxa"/>
            <w:tcBorders>
              <w:top w:val="nil"/>
              <w:left w:val="nil"/>
              <w:bottom w:val="single" w:color="auto" w:sz="4" w:space="0"/>
              <w:right w:val="single" w:color="auto" w:sz="4" w:space="0"/>
            </w:tcBorders>
            <w:shd w:val="clear" w:color="auto" w:fill="auto"/>
            <w:vAlign w:val="center"/>
          </w:tcPr>
          <w:p>
            <w:pPr>
              <w:pStyle w:val="103"/>
            </w:pPr>
            <w:r>
              <w:t>金鹏路与福宁街交叉口（西北角）</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159</w:t>
            </w:r>
          </w:p>
        </w:tc>
        <w:tc>
          <w:tcPr>
            <w:tcW w:w="4266" w:type="dxa"/>
            <w:tcBorders>
              <w:top w:val="nil"/>
              <w:left w:val="nil"/>
              <w:bottom w:val="single" w:color="auto" w:sz="4" w:space="0"/>
              <w:right w:val="single" w:color="auto" w:sz="4" w:space="0"/>
            </w:tcBorders>
            <w:shd w:val="clear" w:color="auto" w:fill="auto"/>
            <w:vAlign w:val="center"/>
          </w:tcPr>
          <w:p>
            <w:pPr>
              <w:pStyle w:val="103"/>
            </w:pPr>
            <w:r>
              <w:t>新园街四季青菜市场西侧路北</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160</w:t>
            </w:r>
          </w:p>
        </w:tc>
        <w:tc>
          <w:tcPr>
            <w:tcW w:w="4266" w:type="dxa"/>
            <w:tcBorders>
              <w:top w:val="nil"/>
              <w:left w:val="nil"/>
              <w:bottom w:val="single" w:color="auto" w:sz="4" w:space="0"/>
              <w:right w:val="single" w:color="auto" w:sz="4" w:space="0"/>
            </w:tcBorders>
            <w:shd w:val="clear" w:color="auto" w:fill="auto"/>
            <w:vAlign w:val="center"/>
          </w:tcPr>
          <w:p>
            <w:pPr>
              <w:pStyle w:val="103"/>
            </w:pPr>
            <w:r>
              <w:t>新园街四季青菜市场东侧路北</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161</w:t>
            </w:r>
          </w:p>
        </w:tc>
        <w:tc>
          <w:tcPr>
            <w:tcW w:w="4266" w:type="dxa"/>
            <w:tcBorders>
              <w:top w:val="nil"/>
              <w:left w:val="nil"/>
              <w:bottom w:val="single" w:color="auto" w:sz="4" w:space="0"/>
              <w:right w:val="single" w:color="auto" w:sz="4" w:space="0"/>
            </w:tcBorders>
            <w:shd w:val="clear" w:color="auto" w:fill="auto"/>
            <w:vAlign w:val="center"/>
          </w:tcPr>
          <w:p>
            <w:pPr>
              <w:pStyle w:val="103"/>
            </w:pPr>
            <w:r>
              <w:t>达旗第七小学</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162</w:t>
            </w:r>
          </w:p>
        </w:tc>
        <w:tc>
          <w:tcPr>
            <w:tcW w:w="4266" w:type="dxa"/>
            <w:tcBorders>
              <w:top w:val="nil"/>
              <w:left w:val="nil"/>
              <w:bottom w:val="single" w:color="auto" w:sz="4" w:space="0"/>
              <w:right w:val="single" w:color="auto" w:sz="4" w:space="0"/>
            </w:tcBorders>
            <w:shd w:val="clear" w:color="auto" w:fill="auto"/>
            <w:vAlign w:val="center"/>
          </w:tcPr>
          <w:p>
            <w:pPr>
              <w:pStyle w:val="103"/>
            </w:pPr>
            <w:r>
              <w:t>福宁街与七完小路南丁字路口（东南角）</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163</w:t>
            </w:r>
          </w:p>
        </w:tc>
        <w:tc>
          <w:tcPr>
            <w:tcW w:w="4266" w:type="dxa"/>
            <w:tcBorders>
              <w:top w:val="nil"/>
              <w:left w:val="nil"/>
              <w:bottom w:val="single" w:color="auto" w:sz="4" w:space="0"/>
              <w:right w:val="single" w:color="auto" w:sz="4" w:space="0"/>
            </w:tcBorders>
            <w:shd w:val="clear" w:color="auto" w:fill="auto"/>
            <w:vAlign w:val="center"/>
          </w:tcPr>
          <w:p>
            <w:pPr>
              <w:pStyle w:val="103"/>
            </w:pPr>
            <w:r>
              <w:t>平原大街与七完小路南交叉口（东北角）</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164</w:t>
            </w:r>
          </w:p>
        </w:tc>
        <w:tc>
          <w:tcPr>
            <w:tcW w:w="4266" w:type="dxa"/>
            <w:tcBorders>
              <w:top w:val="nil"/>
              <w:left w:val="nil"/>
              <w:bottom w:val="single" w:color="auto" w:sz="4" w:space="0"/>
              <w:right w:val="single" w:color="auto" w:sz="4" w:space="0"/>
            </w:tcBorders>
            <w:shd w:val="clear" w:color="auto" w:fill="auto"/>
            <w:vAlign w:val="center"/>
          </w:tcPr>
          <w:p>
            <w:pPr>
              <w:pStyle w:val="103"/>
            </w:pPr>
            <w:r>
              <w:t>平原大街（达旗九中）</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165</w:t>
            </w:r>
          </w:p>
        </w:tc>
        <w:tc>
          <w:tcPr>
            <w:tcW w:w="4266" w:type="dxa"/>
            <w:tcBorders>
              <w:top w:val="nil"/>
              <w:left w:val="nil"/>
              <w:bottom w:val="single" w:color="auto" w:sz="4" w:space="0"/>
              <w:right w:val="single" w:color="auto" w:sz="4" w:space="0"/>
            </w:tcBorders>
            <w:shd w:val="clear" w:color="auto" w:fill="auto"/>
            <w:vAlign w:val="center"/>
          </w:tcPr>
          <w:p>
            <w:pPr>
              <w:pStyle w:val="103"/>
            </w:pPr>
            <w:r>
              <w:t>金鹏路东侧金辉小区小巷与天力小区小巷路口（春雷幼儿园）</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166</w:t>
            </w:r>
          </w:p>
        </w:tc>
        <w:tc>
          <w:tcPr>
            <w:tcW w:w="4266" w:type="dxa"/>
            <w:tcBorders>
              <w:top w:val="nil"/>
              <w:left w:val="nil"/>
              <w:bottom w:val="single" w:color="auto" w:sz="4" w:space="0"/>
              <w:right w:val="single" w:color="auto" w:sz="4" w:space="0"/>
            </w:tcBorders>
            <w:shd w:val="clear" w:color="auto" w:fill="auto"/>
            <w:vAlign w:val="center"/>
          </w:tcPr>
          <w:p>
            <w:pPr>
              <w:pStyle w:val="103"/>
            </w:pPr>
            <w:r>
              <w:t>兴达花园B区</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167</w:t>
            </w:r>
          </w:p>
        </w:tc>
        <w:tc>
          <w:tcPr>
            <w:tcW w:w="4266" w:type="dxa"/>
            <w:tcBorders>
              <w:top w:val="nil"/>
              <w:left w:val="nil"/>
              <w:bottom w:val="single" w:color="auto" w:sz="4" w:space="0"/>
              <w:right w:val="single" w:color="auto" w:sz="4" w:space="0"/>
            </w:tcBorders>
            <w:shd w:val="clear" w:color="auto" w:fill="auto"/>
            <w:vAlign w:val="center"/>
          </w:tcPr>
          <w:p>
            <w:pPr>
              <w:pStyle w:val="103"/>
            </w:pPr>
            <w:r>
              <w:t>金鹏路（白塔公园东南门）</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168</w:t>
            </w:r>
          </w:p>
        </w:tc>
        <w:tc>
          <w:tcPr>
            <w:tcW w:w="4266" w:type="dxa"/>
            <w:tcBorders>
              <w:top w:val="nil"/>
              <w:left w:val="nil"/>
              <w:bottom w:val="single" w:color="auto" w:sz="4" w:space="0"/>
              <w:right w:val="single" w:color="auto" w:sz="4" w:space="0"/>
            </w:tcBorders>
            <w:shd w:val="clear" w:color="auto" w:fill="auto"/>
            <w:vAlign w:val="center"/>
          </w:tcPr>
          <w:p>
            <w:pPr>
              <w:pStyle w:val="103"/>
            </w:pPr>
            <w:r>
              <w:t>金鹏路与南园街丁字路口（路南）</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169</w:t>
            </w:r>
          </w:p>
        </w:tc>
        <w:tc>
          <w:tcPr>
            <w:tcW w:w="4266" w:type="dxa"/>
            <w:tcBorders>
              <w:top w:val="nil"/>
              <w:left w:val="nil"/>
              <w:bottom w:val="single" w:color="auto" w:sz="4" w:space="0"/>
              <w:right w:val="single" w:color="auto" w:sz="4" w:space="0"/>
            </w:tcBorders>
            <w:shd w:val="clear" w:color="auto" w:fill="auto"/>
            <w:vAlign w:val="center"/>
          </w:tcPr>
          <w:p>
            <w:pPr>
              <w:pStyle w:val="103"/>
            </w:pPr>
            <w:r>
              <w:t>远明苑小区北门</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170</w:t>
            </w:r>
          </w:p>
        </w:tc>
        <w:tc>
          <w:tcPr>
            <w:tcW w:w="4266" w:type="dxa"/>
            <w:tcBorders>
              <w:top w:val="nil"/>
              <w:left w:val="nil"/>
              <w:bottom w:val="single" w:color="auto" w:sz="4" w:space="0"/>
              <w:right w:val="single" w:color="auto" w:sz="4" w:space="0"/>
            </w:tcBorders>
            <w:shd w:val="clear" w:color="auto" w:fill="auto"/>
            <w:vAlign w:val="center"/>
          </w:tcPr>
          <w:p>
            <w:pPr>
              <w:pStyle w:val="103"/>
            </w:pPr>
            <w:r>
              <w:t>达拉特路与德胜大街丁字路口（东南角）</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171</w:t>
            </w:r>
          </w:p>
        </w:tc>
        <w:tc>
          <w:tcPr>
            <w:tcW w:w="4266" w:type="dxa"/>
            <w:tcBorders>
              <w:top w:val="nil"/>
              <w:left w:val="nil"/>
              <w:bottom w:val="single" w:color="auto" w:sz="4" w:space="0"/>
              <w:right w:val="single" w:color="auto" w:sz="4" w:space="0"/>
            </w:tcBorders>
            <w:shd w:val="clear" w:color="auto" w:fill="auto"/>
            <w:vAlign w:val="center"/>
          </w:tcPr>
          <w:p>
            <w:pPr>
              <w:pStyle w:val="103"/>
            </w:pPr>
            <w:r>
              <w:t>达拉特路与旧交流会十栋路口（路东）</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172</w:t>
            </w:r>
          </w:p>
        </w:tc>
        <w:tc>
          <w:tcPr>
            <w:tcW w:w="4266" w:type="dxa"/>
            <w:tcBorders>
              <w:top w:val="nil"/>
              <w:left w:val="nil"/>
              <w:bottom w:val="single" w:color="auto" w:sz="4" w:space="0"/>
              <w:right w:val="single" w:color="auto" w:sz="4" w:space="0"/>
            </w:tcBorders>
            <w:shd w:val="clear" w:color="auto" w:fill="auto"/>
            <w:vAlign w:val="center"/>
          </w:tcPr>
          <w:p>
            <w:pPr>
              <w:pStyle w:val="103"/>
            </w:pPr>
            <w:r>
              <w:t>达拉特路与南园路丁字路口（路东偏南）</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173</w:t>
            </w:r>
          </w:p>
        </w:tc>
        <w:tc>
          <w:tcPr>
            <w:tcW w:w="4266" w:type="dxa"/>
            <w:tcBorders>
              <w:top w:val="nil"/>
              <w:left w:val="nil"/>
              <w:bottom w:val="single" w:color="auto" w:sz="4" w:space="0"/>
              <w:right w:val="single" w:color="auto" w:sz="4" w:space="0"/>
            </w:tcBorders>
            <w:shd w:val="clear" w:color="auto" w:fill="auto"/>
            <w:vAlign w:val="center"/>
          </w:tcPr>
          <w:p>
            <w:pPr>
              <w:pStyle w:val="103"/>
            </w:pPr>
            <w:r>
              <w:t>达拉特路与旧交流会二十栋路口（路东）</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174</w:t>
            </w:r>
          </w:p>
        </w:tc>
        <w:tc>
          <w:tcPr>
            <w:tcW w:w="4266" w:type="dxa"/>
            <w:tcBorders>
              <w:top w:val="nil"/>
              <w:left w:val="nil"/>
              <w:bottom w:val="single" w:color="auto" w:sz="4" w:space="0"/>
              <w:right w:val="single" w:color="auto" w:sz="4" w:space="0"/>
            </w:tcBorders>
            <w:shd w:val="clear" w:color="auto" w:fill="auto"/>
            <w:vAlign w:val="center"/>
          </w:tcPr>
          <w:p>
            <w:pPr>
              <w:pStyle w:val="103"/>
            </w:pPr>
            <w:r>
              <w:t>商城路与德胜大街交叉路口（西北角）</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175</w:t>
            </w:r>
          </w:p>
        </w:tc>
        <w:tc>
          <w:tcPr>
            <w:tcW w:w="4266" w:type="dxa"/>
            <w:tcBorders>
              <w:top w:val="nil"/>
              <w:left w:val="nil"/>
              <w:bottom w:val="single" w:color="auto" w:sz="4" w:space="0"/>
              <w:right w:val="single" w:color="auto" w:sz="4" w:space="0"/>
            </w:tcBorders>
            <w:shd w:val="clear" w:color="auto" w:fill="auto"/>
            <w:vAlign w:val="center"/>
          </w:tcPr>
          <w:p>
            <w:pPr>
              <w:pStyle w:val="103"/>
            </w:pPr>
            <w:r>
              <w:t>商城路与旧交流会十栋路口</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　</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176</w:t>
            </w:r>
          </w:p>
        </w:tc>
        <w:tc>
          <w:tcPr>
            <w:tcW w:w="4266" w:type="dxa"/>
            <w:tcBorders>
              <w:top w:val="nil"/>
              <w:left w:val="nil"/>
              <w:bottom w:val="single" w:color="auto" w:sz="4" w:space="0"/>
              <w:right w:val="single" w:color="auto" w:sz="4" w:space="0"/>
            </w:tcBorders>
            <w:shd w:val="clear" w:color="auto" w:fill="auto"/>
            <w:vAlign w:val="center"/>
          </w:tcPr>
          <w:p>
            <w:pPr>
              <w:pStyle w:val="103"/>
            </w:pPr>
            <w:r>
              <w:t>商城路与旧交流会二十栋路口</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177</w:t>
            </w:r>
          </w:p>
        </w:tc>
        <w:tc>
          <w:tcPr>
            <w:tcW w:w="4266" w:type="dxa"/>
            <w:tcBorders>
              <w:top w:val="nil"/>
              <w:left w:val="nil"/>
              <w:bottom w:val="single" w:color="auto" w:sz="4" w:space="0"/>
              <w:right w:val="single" w:color="auto" w:sz="4" w:space="0"/>
            </w:tcBorders>
            <w:shd w:val="clear" w:color="auto" w:fill="auto"/>
            <w:vAlign w:val="center"/>
          </w:tcPr>
          <w:p>
            <w:pPr>
              <w:pStyle w:val="103"/>
            </w:pPr>
            <w:r>
              <w:t>德胜大街（四完小门口旁侧）</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178</w:t>
            </w:r>
          </w:p>
        </w:tc>
        <w:tc>
          <w:tcPr>
            <w:tcW w:w="4266" w:type="dxa"/>
            <w:tcBorders>
              <w:top w:val="nil"/>
              <w:left w:val="nil"/>
              <w:bottom w:val="single" w:color="auto" w:sz="4" w:space="0"/>
              <w:right w:val="single" w:color="auto" w:sz="4" w:space="0"/>
            </w:tcBorders>
            <w:shd w:val="clear" w:color="auto" w:fill="auto"/>
            <w:vAlign w:val="center"/>
          </w:tcPr>
          <w:p>
            <w:pPr>
              <w:pStyle w:val="103"/>
            </w:pPr>
            <w:r>
              <w:t>达拉特路与东达蒙古王路丁字路口（东南角）</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179</w:t>
            </w:r>
          </w:p>
        </w:tc>
        <w:tc>
          <w:tcPr>
            <w:tcW w:w="4266" w:type="dxa"/>
            <w:tcBorders>
              <w:top w:val="nil"/>
              <w:left w:val="nil"/>
              <w:bottom w:val="single" w:color="auto" w:sz="4" w:space="0"/>
              <w:right w:val="single" w:color="auto" w:sz="4" w:space="0"/>
            </w:tcBorders>
            <w:shd w:val="clear" w:color="auto" w:fill="auto"/>
            <w:vAlign w:val="center"/>
          </w:tcPr>
          <w:p>
            <w:pPr>
              <w:pStyle w:val="103"/>
            </w:pPr>
            <w:r>
              <w:t>四所门口</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180</w:t>
            </w:r>
          </w:p>
        </w:tc>
        <w:tc>
          <w:tcPr>
            <w:tcW w:w="4266" w:type="dxa"/>
            <w:tcBorders>
              <w:top w:val="nil"/>
              <w:left w:val="nil"/>
              <w:bottom w:val="single" w:color="auto" w:sz="4" w:space="0"/>
              <w:right w:val="single" w:color="auto" w:sz="4" w:space="0"/>
            </w:tcBorders>
            <w:shd w:val="clear" w:color="auto" w:fill="auto"/>
            <w:vAlign w:val="center"/>
          </w:tcPr>
          <w:p>
            <w:pPr>
              <w:pStyle w:val="103"/>
            </w:pPr>
            <w:r>
              <w:t>第八小学对面</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181</w:t>
            </w:r>
          </w:p>
        </w:tc>
        <w:tc>
          <w:tcPr>
            <w:tcW w:w="4266" w:type="dxa"/>
            <w:tcBorders>
              <w:top w:val="nil"/>
              <w:left w:val="nil"/>
              <w:bottom w:val="single" w:color="auto" w:sz="4" w:space="0"/>
              <w:right w:val="single" w:color="auto" w:sz="4" w:space="0"/>
            </w:tcBorders>
            <w:shd w:val="clear" w:color="auto" w:fill="auto"/>
            <w:vAlign w:val="center"/>
          </w:tcPr>
          <w:p>
            <w:pPr>
              <w:pStyle w:val="103"/>
            </w:pPr>
            <w:r>
              <w:t>东达蒙古王路环型路口（东北角）</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182</w:t>
            </w:r>
          </w:p>
        </w:tc>
        <w:tc>
          <w:tcPr>
            <w:tcW w:w="4266" w:type="dxa"/>
            <w:tcBorders>
              <w:top w:val="nil"/>
              <w:left w:val="nil"/>
              <w:bottom w:val="single" w:color="auto" w:sz="4" w:space="0"/>
              <w:right w:val="single" w:color="auto" w:sz="4" w:space="0"/>
            </w:tcBorders>
            <w:shd w:val="clear" w:color="auto" w:fill="auto"/>
            <w:vAlign w:val="center"/>
          </w:tcPr>
          <w:p>
            <w:pPr>
              <w:pStyle w:val="103"/>
            </w:pPr>
            <w:r>
              <w:t>达拉特路与旧交流会三十栋路口（路东绿化带）</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2</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183</w:t>
            </w:r>
          </w:p>
        </w:tc>
        <w:tc>
          <w:tcPr>
            <w:tcW w:w="4266" w:type="dxa"/>
            <w:tcBorders>
              <w:top w:val="nil"/>
              <w:left w:val="nil"/>
              <w:bottom w:val="single" w:color="auto" w:sz="4" w:space="0"/>
              <w:right w:val="single" w:color="auto" w:sz="4" w:space="0"/>
            </w:tcBorders>
            <w:shd w:val="clear" w:color="auto" w:fill="auto"/>
            <w:vAlign w:val="center"/>
          </w:tcPr>
          <w:p>
            <w:pPr>
              <w:pStyle w:val="103"/>
            </w:pPr>
            <w:r>
              <w:t>达拉特路（蒙吃蒙喝对面丁字路口建行对面）</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184</w:t>
            </w:r>
          </w:p>
        </w:tc>
        <w:tc>
          <w:tcPr>
            <w:tcW w:w="4266" w:type="dxa"/>
            <w:tcBorders>
              <w:top w:val="nil"/>
              <w:left w:val="nil"/>
              <w:bottom w:val="single" w:color="auto" w:sz="4" w:space="0"/>
              <w:right w:val="single" w:color="auto" w:sz="4" w:space="0"/>
            </w:tcBorders>
            <w:shd w:val="clear" w:color="auto" w:fill="auto"/>
            <w:vAlign w:val="center"/>
          </w:tcPr>
          <w:p>
            <w:pPr>
              <w:pStyle w:val="103"/>
            </w:pPr>
            <w:r>
              <w:t>达拉特路（古丽烧烤偏北绿化带内）</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185</w:t>
            </w:r>
          </w:p>
        </w:tc>
        <w:tc>
          <w:tcPr>
            <w:tcW w:w="4266" w:type="dxa"/>
            <w:tcBorders>
              <w:top w:val="nil"/>
              <w:left w:val="nil"/>
              <w:bottom w:val="single" w:color="auto" w:sz="4" w:space="0"/>
              <w:right w:val="single" w:color="auto" w:sz="4" w:space="0"/>
            </w:tcBorders>
            <w:shd w:val="clear" w:color="auto" w:fill="auto"/>
            <w:vAlign w:val="center"/>
          </w:tcPr>
          <w:p>
            <w:pPr>
              <w:pStyle w:val="103"/>
            </w:pPr>
            <w:r>
              <w:t>达拉特路与光荣路丁字路口</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186</w:t>
            </w:r>
          </w:p>
        </w:tc>
        <w:tc>
          <w:tcPr>
            <w:tcW w:w="4266" w:type="dxa"/>
            <w:tcBorders>
              <w:top w:val="nil"/>
              <w:left w:val="nil"/>
              <w:bottom w:val="single" w:color="auto" w:sz="4" w:space="0"/>
              <w:right w:val="single" w:color="auto" w:sz="4" w:space="0"/>
            </w:tcBorders>
            <w:shd w:val="clear" w:color="auto" w:fill="auto"/>
            <w:vAlign w:val="center"/>
          </w:tcPr>
          <w:p>
            <w:pPr>
              <w:pStyle w:val="103"/>
            </w:pPr>
            <w:r>
              <w:t>商城路与光荣路丁字路口（东南角）</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187</w:t>
            </w:r>
          </w:p>
        </w:tc>
        <w:tc>
          <w:tcPr>
            <w:tcW w:w="4266" w:type="dxa"/>
            <w:tcBorders>
              <w:top w:val="nil"/>
              <w:left w:val="nil"/>
              <w:bottom w:val="single" w:color="auto" w:sz="4" w:space="0"/>
              <w:right w:val="single" w:color="auto" w:sz="4" w:space="0"/>
            </w:tcBorders>
            <w:shd w:val="clear" w:color="auto" w:fill="auto"/>
            <w:vAlign w:val="center"/>
          </w:tcPr>
          <w:p>
            <w:pPr>
              <w:pStyle w:val="103"/>
            </w:pPr>
            <w:r>
              <w:t>达拉特路汽车南站入口</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4</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2</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188</w:t>
            </w:r>
          </w:p>
        </w:tc>
        <w:tc>
          <w:tcPr>
            <w:tcW w:w="4266" w:type="dxa"/>
            <w:tcBorders>
              <w:top w:val="nil"/>
              <w:left w:val="nil"/>
              <w:bottom w:val="single" w:color="auto" w:sz="4" w:space="0"/>
              <w:right w:val="single" w:color="auto" w:sz="4" w:space="0"/>
            </w:tcBorders>
            <w:shd w:val="clear" w:color="auto" w:fill="auto"/>
            <w:vAlign w:val="center"/>
          </w:tcPr>
          <w:p>
            <w:pPr>
              <w:pStyle w:val="103"/>
            </w:pPr>
            <w:r>
              <w:t>达拉特路汽车南站出口</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3</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2</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189</w:t>
            </w:r>
          </w:p>
        </w:tc>
        <w:tc>
          <w:tcPr>
            <w:tcW w:w="4266" w:type="dxa"/>
            <w:tcBorders>
              <w:top w:val="nil"/>
              <w:left w:val="nil"/>
              <w:bottom w:val="single" w:color="auto" w:sz="4" w:space="0"/>
              <w:right w:val="single" w:color="auto" w:sz="4" w:space="0"/>
            </w:tcBorders>
            <w:shd w:val="clear" w:color="auto" w:fill="auto"/>
            <w:vAlign w:val="center"/>
          </w:tcPr>
          <w:p>
            <w:pPr>
              <w:pStyle w:val="103"/>
            </w:pPr>
            <w:r>
              <w:t>商城路与旧交流会三十栋路口</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1</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1</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1</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190</w:t>
            </w:r>
          </w:p>
        </w:tc>
        <w:tc>
          <w:tcPr>
            <w:tcW w:w="4266" w:type="dxa"/>
            <w:tcBorders>
              <w:top w:val="nil"/>
              <w:left w:val="nil"/>
              <w:bottom w:val="single" w:color="auto" w:sz="4" w:space="0"/>
              <w:right w:val="single" w:color="auto" w:sz="4" w:space="0"/>
            </w:tcBorders>
            <w:shd w:val="clear" w:color="auto" w:fill="auto"/>
            <w:vAlign w:val="center"/>
          </w:tcPr>
          <w:p>
            <w:pPr>
              <w:pStyle w:val="103"/>
            </w:pPr>
            <w:r>
              <w:t>金鹏路与平原大街</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2</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　</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6</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1</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4</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　</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12</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191</w:t>
            </w:r>
          </w:p>
        </w:tc>
        <w:tc>
          <w:tcPr>
            <w:tcW w:w="4266" w:type="dxa"/>
            <w:tcBorders>
              <w:top w:val="nil"/>
              <w:left w:val="nil"/>
              <w:bottom w:val="single" w:color="auto" w:sz="4" w:space="0"/>
              <w:right w:val="single" w:color="auto" w:sz="4" w:space="0"/>
            </w:tcBorders>
            <w:shd w:val="clear" w:color="auto" w:fill="auto"/>
            <w:vAlign w:val="center"/>
          </w:tcPr>
          <w:p>
            <w:pPr>
              <w:pStyle w:val="103"/>
            </w:pPr>
            <w:r>
              <w:t>新华路与德胜大街</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2</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　</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8</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1</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4</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　</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16</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192</w:t>
            </w:r>
          </w:p>
        </w:tc>
        <w:tc>
          <w:tcPr>
            <w:tcW w:w="4266" w:type="dxa"/>
            <w:tcBorders>
              <w:top w:val="nil"/>
              <w:left w:val="nil"/>
              <w:bottom w:val="single" w:color="auto" w:sz="4" w:space="0"/>
              <w:right w:val="single" w:color="auto" w:sz="4" w:space="0"/>
            </w:tcBorders>
            <w:shd w:val="clear" w:color="auto" w:fill="auto"/>
            <w:vAlign w:val="center"/>
          </w:tcPr>
          <w:p>
            <w:pPr>
              <w:pStyle w:val="103"/>
            </w:pPr>
            <w:r>
              <w:t>西园路与新园街</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2</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　</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6</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1</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4</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　</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12</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193</w:t>
            </w:r>
          </w:p>
        </w:tc>
        <w:tc>
          <w:tcPr>
            <w:tcW w:w="4266" w:type="dxa"/>
            <w:tcBorders>
              <w:top w:val="nil"/>
              <w:left w:val="nil"/>
              <w:bottom w:val="single" w:color="auto" w:sz="4" w:space="0"/>
              <w:right w:val="single" w:color="auto" w:sz="4" w:space="0"/>
            </w:tcBorders>
            <w:shd w:val="clear" w:color="auto" w:fill="auto"/>
            <w:vAlign w:val="center"/>
          </w:tcPr>
          <w:p>
            <w:pPr>
              <w:pStyle w:val="103"/>
            </w:pPr>
            <w:r>
              <w:t>新华路与锡尼街</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2</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　</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5</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1</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4</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　</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10</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194</w:t>
            </w:r>
          </w:p>
        </w:tc>
        <w:tc>
          <w:tcPr>
            <w:tcW w:w="4266" w:type="dxa"/>
            <w:tcBorders>
              <w:top w:val="nil"/>
              <w:left w:val="nil"/>
              <w:bottom w:val="single" w:color="auto" w:sz="4" w:space="0"/>
              <w:right w:val="single" w:color="auto" w:sz="4" w:space="0"/>
            </w:tcBorders>
            <w:shd w:val="clear" w:color="auto" w:fill="auto"/>
            <w:vAlign w:val="center"/>
          </w:tcPr>
          <w:p>
            <w:pPr>
              <w:pStyle w:val="103"/>
            </w:pPr>
            <w:r>
              <w:t>和平路与平原大街</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2</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　</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6</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1</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4</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　</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12</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195</w:t>
            </w:r>
          </w:p>
        </w:tc>
        <w:tc>
          <w:tcPr>
            <w:tcW w:w="4266" w:type="dxa"/>
            <w:tcBorders>
              <w:top w:val="nil"/>
              <w:left w:val="nil"/>
              <w:bottom w:val="single" w:color="auto" w:sz="4" w:space="0"/>
              <w:right w:val="single" w:color="auto" w:sz="4" w:space="0"/>
            </w:tcBorders>
            <w:shd w:val="clear" w:color="auto" w:fill="auto"/>
            <w:vAlign w:val="center"/>
          </w:tcPr>
          <w:p>
            <w:pPr>
              <w:pStyle w:val="103"/>
            </w:pPr>
            <w:r>
              <w:t>达拉特路与平原大街</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2</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　</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5</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1</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4</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　</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10</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196</w:t>
            </w:r>
          </w:p>
        </w:tc>
        <w:tc>
          <w:tcPr>
            <w:tcW w:w="4266" w:type="dxa"/>
            <w:tcBorders>
              <w:top w:val="nil"/>
              <w:left w:val="nil"/>
              <w:bottom w:val="single" w:color="auto" w:sz="4" w:space="0"/>
              <w:right w:val="single" w:color="auto" w:sz="4" w:space="0"/>
            </w:tcBorders>
            <w:shd w:val="clear" w:color="auto" w:fill="auto"/>
            <w:vAlign w:val="center"/>
          </w:tcPr>
          <w:p>
            <w:pPr>
              <w:pStyle w:val="103"/>
            </w:pPr>
            <w:r>
              <w:t>金鹏路与市府街</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2</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　</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4</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1</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4</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　</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8</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197</w:t>
            </w:r>
          </w:p>
        </w:tc>
        <w:tc>
          <w:tcPr>
            <w:tcW w:w="4266" w:type="dxa"/>
            <w:tcBorders>
              <w:top w:val="nil"/>
              <w:left w:val="nil"/>
              <w:bottom w:val="single" w:color="auto" w:sz="4" w:space="0"/>
              <w:right w:val="single" w:color="auto" w:sz="4" w:space="0"/>
            </w:tcBorders>
            <w:shd w:val="clear" w:color="auto" w:fill="auto"/>
            <w:vAlign w:val="center"/>
          </w:tcPr>
          <w:p>
            <w:pPr>
              <w:pStyle w:val="103"/>
            </w:pPr>
            <w:r>
              <w:t>西园路与迎宾大街</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2</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　</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8</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4</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1</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1</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4</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　</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16</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8</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198</w:t>
            </w:r>
          </w:p>
        </w:tc>
        <w:tc>
          <w:tcPr>
            <w:tcW w:w="4266" w:type="dxa"/>
            <w:tcBorders>
              <w:top w:val="nil"/>
              <w:left w:val="nil"/>
              <w:bottom w:val="single" w:color="auto" w:sz="4" w:space="0"/>
              <w:right w:val="single" w:color="auto" w:sz="4" w:space="0"/>
            </w:tcBorders>
            <w:shd w:val="clear" w:color="auto" w:fill="auto"/>
            <w:vAlign w:val="center"/>
          </w:tcPr>
          <w:p>
            <w:pPr>
              <w:pStyle w:val="103"/>
            </w:pPr>
            <w:r>
              <w:t>西园路与市府街</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2</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　</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6</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1</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4</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　</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12</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199</w:t>
            </w:r>
          </w:p>
        </w:tc>
        <w:tc>
          <w:tcPr>
            <w:tcW w:w="4266" w:type="dxa"/>
            <w:tcBorders>
              <w:top w:val="nil"/>
              <w:left w:val="nil"/>
              <w:bottom w:val="single" w:color="auto" w:sz="4" w:space="0"/>
              <w:right w:val="single" w:color="auto" w:sz="4" w:space="0"/>
            </w:tcBorders>
            <w:shd w:val="clear" w:color="auto" w:fill="auto"/>
            <w:vAlign w:val="center"/>
          </w:tcPr>
          <w:p>
            <w:pPr>
              <w:pStyle w:val="103"/>
            </w:pPr>
            <w:r>
              <w:t>金鹏路与迎宾大街</w:t>
            </w:r>
          </w:p>
        </w:tc>
        <w:tc>
          <w:tcPr>
            <w:tcW w:w="1172" w:type="dxa"/>
            <w:tcBorders>
              <w:top w:val="nil"/>
              <w:left w:val="nil"/>
              <w:bottom w:val="single" w:color="auto" w:sz="4" w:space="0"/>
              <w:right w:val="single" w:color="auto" w:sz="4" w:space="0"/>
            </w:tcBorders>
            <w:shd w:val="clear" w:color="auto" w:fill="auto"/>
            <w:vAlign w:val="center"/>
          </w:tcPr>
          <w:p>
            <w:pPr>
              <w:pStyle w:val="103"/>
            </w:pPr>
            <w:r>
              <w:t>2</w:t>
            </w:r>
          </w:p>
        </w:tc>
        <w:tc>
          <w:tcPr>
            <w:tcW w:w="1143" w:type="dxa"/>
            <w:tcBorders>
              <w:top w:val="nil"/>
              <w:left w:val="nil"/>
              <w:bottom w:val="single" w:color="auto" w:sz="4" w:space="0"/>
              <w:right w:val="single" w:color="auto" w:sz="4" w:space="0"/>
            </w:tcBorders>
            <w:shd w:val="clear" w:color="auto" w:fill="auto"/>
            <w:vAlign w:val="center"/>
          </w:tcPr>
          <w:p>
            <w:pPr>
              <w:pStyle w:val="103"/>
            </w:pPr>
            <w:r>
              <w:t>　</w:t>
            </w:r>
          </w:p>
        </w:tc>
        <w:tc>
          <w:tcPr>
            <w:tcW w:w="641" w:type="dxa"/>
            <w:tcBorders>
              <w:top w:val="nil"/>
              <w:left w:val="nil"/>
              <w:bottom w:val="single" w:color="auto" w:sz="4" w:space="0"/>
              <w:right w:val="single" w:color="auto" w:sz="4" w:space="0"/>
            </w:tcBorders>
            <w:shd w:val="clear" w:color="auto" w:fill="auto"/>
            <w:vAlign w:val="center"/>
          </w:tcPr>
          <w:p>
            <w:pPr>
              <w:pStyle w:val="103"/>
            </w:pPr>
            <w:r>
              <w:t>6</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1</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4</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　</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12</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200</w:t>
            </w:r>
          </w:p>
        </w:tc>
        <w:tc>
          <w:tcPr>
            <w:tcW w:w="4266" w:type="dxa"/>
            <w:tcBorders>
              <w:top w:val="nil"/>
              <w:left w:val="nil"/>
              <w:bottom w:val="single" w:color="auto" w:sz="4" w:space="0"/>
              <w:right w:val="single" w:color="auto" w:sz="4" w:space="0"/>
            </w:tcBorders>
            <w:shd w:val="clear" w:color="auto" w:fill="auto"/>
            <w:vAlign w:val="center"/>
          </w:tcPr>
          <w:p>
            <w:pPr>
              <w:pStyle w:val="103"/>
            </w:pPr>
            <w:r>
              <w:t>达拉特路与迎宾大街</w:t>
            </w:r>
          </w:p>
        </w:tc>
        <w:tc>
          <w:tcPr>
            <w:tcW w:w="1172" w:type="dxa"/>
            <w:tcBorders>
              <w:top w:val="nil"/>
              <w:left w:val="nil"/>
              <w:bottom w:val="single" w:color="auto" w:sz="4" w:space="0"/>
              <w:right w:val="single" w:color="auto" w:sz="4" w:space="0"/>
            </w:tcBorders>
            <w:shd w:val="clear" w:color="auto" w:fill="auto"/>
            <w:vAlign w:val="center"/>
          </w:tcPr>
          <w:p>
            <w:pPr>
              <w:pStyle w:val="103"/>
            </w:pPr>
            <w:r>
              <w:t>2</w:t>
            </w:r>
          </w:p>
        </w:tc>
        <w:tc>
          <w:tcPr>
            <w:tcW w:w="1143" w:type="dxa"/>
            <w:tcBorders>
              <w:top w:val="nil"/>
              <w:left w:val="nil"/>
              <w:bottom w:val="single" w:color="auto" w:sz="4" w:space="0"/>
              <w:right w:val="single" w:color="auto" w:sz="4" w:space="0"/>
            </w:tcBorders>
            <w:shd w:val="clear" w:color="auto" w:fill="auto"/>
            <w:vAlign w:val="center"/>
          </w:tcPr>
          <w:p>
            <w:pPr>
              <w:pStyle w:val="103"/>
            </w:pPr>
            <w:r>
              <w:t>　</w:t>
            </w:r>
          </w:p>
        </w:tc>
        <w:tc>
          <w:tcPr>
            <w:tcW w:w="641" w:type="dxa"/>
            <w:tcBorders>
              <w:top w:val="nil"/>
              <w:left w:val="nil"/>
              <w:bottom w:val="single" w:color="auto" w:sz="4" w:space="0"/>
              <w:right w:val="single" w:color="auto" w:sz="4" w:space="0"/>
            </w:tcBorders>
            <w:shd w:val="clear" w:color="auto" w:fill="auto"/>
            <w:vAlign w:val="center"/>
          </w:tcPr>
          <w:p>
            <w:pPr>
              <w:pStyle w:val="103"/>
            </w:pPr>
            <w:r>
              <w:t>8</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1</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4</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　</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16</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201</w:t>
            </w:r>
          </w:p>
        </w:tc>
        <w:tc>
          <w:tcPr>
            <w:tcW w:w="4266" w:type="dxa"/>
            <w:tcBorders>
              <w:top w:val="nil"/>
              <w:left w:val="nil"/>
              <w:bottom w:val="single" w:color="auto" w:sz="4" w:space="0"/>
              <w:right w:val="single" w:color="auto" w:sz="4" w:space="0"/>
            </w:tcBorders>
            <w:shd w:val="clear" w:color="auto" w:fill="auto"/>
            <w:vAlign w:val="center"/>
          </w:tcPr>
          <w:p>
            <w:pPr>
              <w:pStyle w:val="103"/>
            </w:pPr>
            <w:r>
              <w:t>新华路与树林召大街</w:t>
            </w:r>
          </w:p>
        </w:tc>
        <w:tc>
          <w:tcPr>
            <w:tcW w:w="1172" w:type="dxa"/>
            <w:tcBorders>
              <w:top w:val="nil"/>
              <w:left w:val="nil"/>
              <w:bottom w:val="single" w:color="auto" w:sz="4" w:space="0"/>
              <w:right w:val="single" w:color="auto" w:sz="4" w:space="0"/>
            </w:tcBorders>
            <w:shd w:val="clear" w:color="auto" w:fill="auto"/>
            <w:vAlign w:val="center"/>
          </w:tcPr>
          <w:p>
            <w:pPr>
              <w:pStyle w:val="103"/>
            </w:pPr>
            <w:r>
              <w:t>2</w:t>
            </w:r>
          </w:p>
        </w:tc>
        <w:tc>
          <w:tcPr>
            <w:tcW w:w="1143" w:type="dxa"/>
            <w:tcBorders>
              <w:top w:val="nil"/>
              <w:left w:val="nil"/>
              <w:bottom w:val="single" w:color="auto" w:sz="4" w:space="0"/>
              <w:right w:val="single" w:color="auto" w:sz="4" w:space="0"/>
            </w:tcBorders>
            <w:shd w:val="clear" w:color="auto" w:fill="auto"/>
            <w:vAlign w:val="center"/>
          </w:tcPr>
          <w:p>
            <w:pPr>
              <w:pStyle w:val="103"/>
            </w:pPr>
            <w:r>
              <w:t>　</w:t>
            </w:r>
          </w:p>
        </w:tc>
        <w:tc>
          <w:tcPr>
            <w:tcW w:w="641" w:type="dxa"/>
            <w:tcBorders>
              <w:top w:val="nil"/>
              <w:left w:val="nil"/>
              <w:bottom w:val="single" w:color="auto" w:sz="4" w:space="0"/>
              <w:right w:val="single" w:color="auto" w:sz="4" w:space="0"/>
            </w:tcBorders>
            <w:shd w:val="clear" w:color="auto" w:fill="auto"/>
            <w:vAlign w:val="center"/>
          </w:tcPr>
          <w:p>
            <w:pPr>
              <w:pStyle w:val="103"/>
            </w:pPr>
            <w:r>
              <w:t>7</w:t>
            </w:r>
          </w:p>
        </w:tc>
        <w:tc>
          <w:tcPr>
            <w:tcW w:w="709" w:type="dxa"/>
            <w:tcBorders>
              <w:top w:val="nil"/>
              <w:left w:val="nil"/>
              <w:bottom w:val="single" w:color="auto" w:sz="4" w:space="0"/>
              <w:right w:val="single" w:color="auto" w:sz="4" w:space="0"/>
            </w:tcBorders>
            <w:shd w:val="clear" w:color="auto" w:fill="auto"/>
            <w:vAlign w:val="center"/>
          </w:tcPr>
          <w:p>
            <w:pPr>
              <w:pStyle w:val="103"/>
            </w:pPr>
            <w:r>
              <w:t>4</w:t>
            </w:r>
          </w:p>
        </w:tc>
        <w:tc>
          <w:tcPr>
            <w:tcW w:w="1101" w:type="dxa"/>
            <w:tcBorders>
              <w:top w:val="nil"/>
              <w:left w:val="nil"/>
              <w:bottom w:val="single" w:color="auto" w:sz="4" w:space="0"/>
              <w:right w:val="single" w:color="auto" w:sz="4" w:space="0"/>
            </w:tcBorders>
            <w:shd w:val="clear" w:color="auto" w:fill="auto"/>
            <w:vAlign w:val="center"/>
          </w:tcPr>
          <w:p>
            <w:pPr>
              <w:pStyle w:val="103"/>
            </w:pPr>
            <w:r>
              <w:t>1</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1</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4</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　</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14</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8</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202</w:t>
            </w:r>
          </w:p>
        </w:tc>
        <w:tc>
          <w:tcPr>
            <w:tcW w:w="4266" w:type="dxa"/>
            <w:tcBorders>
              <w:top w:val="nil"/>
              <w:left w:val="nil"/>
              <w:bottom w:val="single" w:color="auto" w:sz="4" w:space="0"/>
              <w:right w:val="single" w:color="auto" w:sz="4" w:space="0"/>
            </w:tcBorders>
            <w:shd w:val="clear" w:color="auto" w:fill="auto"/>
            <w:vAlign w:val="center"/>
          </w:tcPr>
          <w:p>
            <w:pPr>
              <w:pStyle w:val="103"/>
            </w:pPr>
            <w:r>
              <w:t>太兴路与树林召大街</w:t>
            </w:r>
          </w:p>
        </w:tc>
        <w:tc>
          <w:tcPr>
            <w:tcW w:w="1172" w:type="dxa"/>
            <w:tcBorders>
              <w:top w:val="nil"/>
              <w:left w:val="nil"/>
              <w:bottom w:val="single" w:color="auto" w:sz="4" w:space="0"/>
              <w:right w:val="single" w:color="auto" w:sz="4" w:space="0"/>
            </w:tcBorders>
            <w:shd w:val="clear" w:color="auto" w:fill="auto"/>
            <w:vAlign w:val="center"/>
          </w:tcPr>
          <w:p>
            <w:pPr>
              <w:pStyle w:val="103"/>
            </w:pPr>
            <w:r>
              <w:t>2</w:t>
            </w:r>
          </w:p>
        </w:tc>
        <w:tc>
          <w:tcPr>
            <w:tcW w:w="1143" w:type="dxa"/>
            <w:tcBorders>
              <w:top w:val="nil"/>
              <w:left w:val="nil"/>
              <w:bottom w:val="single" w:color="auto" w:sz="4" w:space="0"/>
              <w:right w:val="single" w:color="auto" w:sz="4" w:space="0"/>
            </w:tcBorders>
            <w:shd w:val="clear" w:color="auto" w:fill="auto"/>
            <w:vAlign w:val="center"/>
          </w:tcPr>
          <w:p>
            <w:pPr>
              <w:pStyle w:val="103"/>
            </w:pPr>
            <w:r>
              <w:t>　</w:t>
            </w:r>
          </w:p>
        </w:tc>
        <w:tc>
          <w:tcPr>
            <w:tcW w:w="641" w:type="dxa"/>
            <w:tcBorders>
              <w:top w:val="nil"/>
              <w:left w:val="nil"/>
              <w:bottom w:val="single" w:color="auto" w:sz="4" w:space="0"/>
              <w:right w:val="single" w:color="auto" w:sz="4" w:space="0"/>
            </w:tcBorders>
            <w:shd w:val="clear" w:color="auto" w:fill="auto"/>
            <w:vAlign w:val="center"/>
          </w:tcPr>
          <w:p>
            <w:pPr>
              <w:pStyle w:val="103"/>
            </w:pPr>
            <w:r>
              <w:t>4</w:t>
            </w:r>
          </w:p>
        </w:tc>
        <w:tc>
          <w:tcPr>
            <w:tcW w:w="709" w:type="dxa"/>
            <w:tcBorders>
              <w:top w:val="nil"/>
              <w:left w:val="nil"/>
              <w:bottom w:val="single" w:color="auto" w:sz="4" w:space="0"/>
              <w:right w:val="single" w:color="auto" w:sz="4" w:space="0"/>
            </w:tcBorders>
            <w:shd w:val="clear" w:color="auto" w:fill="auto"/>
            <w:vAlign w:val="center"/>
          </w:tcPr>
          <w:p>
            <w:pPr>
              <w:pStyle w:val="103"/>
            </w:pPr>
            <w:r>
              <w:t>4</w:t>
            </w:r>
          </w:p>
        </w:tc>
        <w:tc>
          <w:tcPr>
            <w:tcW w:w="1101" w:type="dxa"/>
            <w:tcBorders>
              <w:top w:val="nil"/>
              <w:left w:val="nil"/>
              <w:bottom w:val="single" w:color="auto" w:sz="4" w:space="0"/>
              <w:right w:val="single" w:color="auto" w:sz="4" w:space="0"/>
            </w:tcBorders>
            <w:shd w:val="clear" w:color="auto" w:fill="auto"/>
            <w:vAlign w:val="center"/>
          </w:tcPr>
          <w:p>
            <w:pPr>
              <w:pStyle w:val="103"/>
            </w:pPr>
            <w:r>
              <w:t>1</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1</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4</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　</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8</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8</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203</w:t>
            </w:r>
          </w:p>
        </w:tc>
        <w:tc>
          <w:tcPr>
            <w:tcW w:w="4266" w:type="dxa"/>
            <w:tcBorders>
              <w:top w:val="nil"/>
              <w:left w:val="nil"/>
              <w:bottom w:val="single" w:color="auto" w:sz="4" w:space="0"/>
              <w:right w:val="single" w:color="auto" w:sz="4" w:space="0"/>
            </w:tcBorders>
            <w:shd w:val="clear" w:color="auto" w:fill="auto"/>
            <w:vAlign w:val="center"/>
          </w:tcPr>
          <w:p>
            <w:pPr>
              <w:pStyle w:val="103"/>
            </w:pPr>
            <w:r>
              <w:t>太兴路与迎宾大街</w:t>
            </w:r>
          </w:p>
        </w:tc>
        <w:tc>
          <w:tcPr>
            <w:tcW w:w="1172" w:type="dxa"/>
            <w:tcBorders>
              <w:top w:val="nil"/>
              <w:left w:val="nil"/>
              <w:bottom w:val="single" w:color="auto" w:sz="4" w:space="0"/>
              <w:right w:val="single" w:color="auto" w:sz="4" w:space="0"/>
            </w:tcBorders>
            <w:shd w:val="clear" w:color="auto" w:fill="auto"/>
            <w:vAlign w:val="center"/>
          </w:tcPr>
          <w:p>
            <w:pPr>
              <w:pStyle w:val="103"/>
            </w:pPr>
            <w:r>
              <w:t>2</w:t>
            </w:r>
          </w:p>
        </w:tc>
        <w:tc>
          <w:tcPr>
            <w:tcW w:w="1143" w:type="dxa"/>
            <w:tcBorders>
              <w:top w:val="nil"/>
              <w:left w:val="nil"/>
              <w:bottom w:val="single" w:color="auto" w:sz="4" w:space="0"/>
              <w:right w:val="single" w:color="auto" w:sz="4" w:space="0"/>
            </w:tcBorders>
            <w:shd w:val="clear" w:color="auto" w:fill="auto"/>
            <w:vAlign w:val="center"/>
          </w:tcPr>
          <w:p>
            <w:pPr>
              <w:pStyle w:val="103"/>
            </w:pPr>
            <w:r>
              <w:t>　</w:t>
            </w:r>
          </w:p>
        </w:tc>
        <w:tc>
          <w:tcPr>
            <w:tcW w:w="641" w:type="dxa"/>
            <w:tcBorders>
              <w:top w:val="nil"/>
              <w:left w:val="nil"/>
              <w:bottom w:val="single" w:color="auto" w:sz="4" w:space="0"/>
              <w:right w:val="single" w:color="auto" w:sz="4" w:space="0"/>
            </w:tcBorders>
            <w:shd w:val="clear" w:color="auto" w:fill="auto"/>
            <w:vAlign w:val="center"/>
          </w:tcPr>
          <w:p>
            <w:pPr>
              <w:pStyle w:val="103"/>
            </w:pPr>
            <w:r>
              <w:t>6</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1</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4</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　</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12</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204</w:t>
            </w:r>
          </w:p>
        </w:tc>
        <w:tc>
          <w:tcPr>
            <w:tcW w:w="4266" w:type="dxa"/>
            <w:tcBorders>
              <w:top w:val="nil"/>
              <w:left w:val="nil"/>
              <w:bottom w:val="single" w:color="auto" w:sz="4" w:space="0"/>
              <w:right w:val="single" w:color="auto" w:sz="4" w:space="0"/>
            </w:tcBorders>
            <w:shd w:val="clear" w:color="auto" w:fill="auto"/>
            <w:vAlign w:val="center"/>
          </w:tcPr>
          <w:p>
            <w:pPr>
              <w:pStyle w:val="103"/>
            </w:pPr>
            <w:r>
              <w:t>建设路与迎宾大街</w:t>
            </w:r>
          </w:p>
        </w:tc>
        <w:tc>
          <w:tcPr>
            <w:tcW w:w="1172" w:type="dxa"/>
            <w:tcBorders>
              <w:top w:val="nil"/>
              <w:left w:val="nil"/>
              <w:bottom w:val="single" w:color="auto" w:sz="4" w:space="0"/>
              <w:right w:val="single" w:color="auto" w:sz="4" w:space="0"/>
            </w:tcBorders>
            <w:shd w:val="clear" w:color="auto" w:fill="auto"/>
            <w:vAlign w:val="center"/>
          </w:tcPr>
          <w:p>
            <w:pPr>
              <w:pStyle w:val="103"/>
            </w:pPr>
            <w:r>
              <w:t>2</w:t>
            </w:r>
          </w:p>
        </w:tc>
        <w:tc>
          <w:tcPr>
            <w:tcW w:w="1143" w:type="dxa"/>
            <w:tcBorders>
              <w:top w:val="nil"/>
              <w:left w:val="nil"/>
              <w:bottom w:val="single" w:color="auto" w:sz="4" w:space="0"/>
              <w:right w:val="single" w:color="auto" w:sz="4" w:space="0"/>
            </w:tcBorders>
            <w:shd w:val="clear" w:color="auto" w:fill="auto"/>
            <w:vAlign w:val="center"/>
          </w:tcPr>
          <w:p>
            <w:pPr>
              <w:pStyle w:val="103"/>
            </w:pPr>
            <w:r>
              <w:t>　</w:t>
            </w:r>
          </w:p>
        </w:tc>
        <w:tc>
          <w:tcPr>
            <w:tcW w:w="641" w:type="dxa"/>
            <w:tcBorders>
              <w:top w:val="nil"/>
              <w:left w:val="nil"/>
              <w:bottom w:val="single" w:color="auto" w:sz="4" w:space="0"/>
              <w:right w:val="single" w:color="auto" w:sz="4" w:space="0"/>
            </w:tcBorders>
            <w:shd w:val="clear" w:color="auto" w:fill="auto"/>
            <w:vAlign w:val="center"/>
          </w:tcPr>
          <w:p>
            <w:pPr>
              <w:pStyle w:val="103"/>
            </w:pPr>
            <w:r>
              <w:t>8</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1</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4</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　</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16</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205</w:t>
            </w:r>
          </w:p>
        </w:tc>
        <w:tc>
          <w:tcPr>
            <w:tcW w:w="4266" w:type="dxa"/>
            <w:tcBorders>
              <w:top w:val="nil"/>
              <w:left w:val="nil"/>
              <w:bottom w:val="single" w:color="auto" w:sz="4" w:space="0"/>
              <w:right w:val="single" w:color="auto" w:sz="4" w:space="0"/>
            </w:tcBorders>
            <w:shd w:val="clear" w:color="auto" w:fill="auto"/>
            <w:vAlign w:val="center"/>
          </w:tcPr>
          <w:p>
            <w:pPr>
              <w:pStyle w:val="103"/>
            </w:pPr>
            <w:r>
              <w:t>新华路、长胜路与迎宾大街</w:t>
            </w:r>
          </w:p>
        </w:tc>
        <w:tc>
          <w:tcPr>
            <w:tcW w:w="1172" w:type="dxa"/>
            <w:tcBorders>
              <w:top w:val="nil"/>
              <w:left w:val="nil"/>
              <w:bottom w:val="single" w:color="auto" w:sz="4" w:space="0"/>
              <w:right w:val="single" w:color="auto" w:sz="4" w:space="0"/>
            </w:tcBorders>
            <w:shd w:val="clear" w:color="auto" w:fill="auto"/>
            <w:vAlign w:val="center"/>
          </w:tcPr>
          <w:p>
            <w:pPr>
              <w:pStyle w:val="103"/>
            </w:pPr>
            <w:r>
              <w:t>1</w:t>
            </w:r>
          </w:p>
        </w:tc>
        <w:tc>
          <w:tcPr>
            <w:tcW w:w="1143" w:type="dxa"/>
            <w:tcBorders>
              <w:top w:val="nil"/>
              <w:left w:val="nil"/>
              <w:bottom w:val="single" w:color="auto" w:sz="4" w:space="0"/>
              <w:right w:val="single" w:color="auto" w:sz="4" w:space="0"/>
            </w:tcBorders>
            <w:shd w:val="clear" w:color="auto" w:fill="auto"/>
            <w:vAlign w:val="center"/>
          </w:tcPr>
          <w:p>
            <w:pPr>
              <w:pStyle w:val="103"/>
            </w:pPr>
            <w:r>
              <w:t>　</w:t>
            </w:r>
          </w:p>
        </w:tc>
        <w:tc>
          <w:tcPr>
            <w:tcW w:w="641" w:type="dxa"/>
            <w:tcBorders>
              <w:top w:val="nil"/>
              <w:left w:val="nil"/>
              <w:bottom w:val="single" w:color="auto" w:sz="4" w:space="0"/>
              <w:right w:val="single" w:color="auto" w:sz="4" w:space="0"/>
            </w:tcBorders>
            <w:shd w:val="clear" w:color="auto" w:fill="auto"/>
            <w:vAlign w:val="center"/>
          </w:tcPr>
          <w:p>
            <w:pPr>
              <w:pStyle w:val="103"/>
            </w:pPr>
            <w:r>
              <w:t>5</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1</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4</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　</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10</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206</w:t>
            </w:r>
          </w:p>
        </w:tc>
        <w:tc>
          <w:tcPr>
            <w:tcW w:w="4266" w:type="dxa"/>
            <w:tcBorders>
              <w:top w:val="nil"/>
              <w:left w:val="nil"/>
              <w:bottom w:val="single" w:color="auto" w:sz="4" w:space="0"/>
              <w:right w:val="single" w:color="auto" w:sz="4" w:space="0"/>
            </w:tcBorders>
            <w:shd w:val="clear" w:color="auto" w:fill="auto"/>
            <w:vAlign w:val="center"/>
          </w:tcPr>
          <w:p>
            <w:pPr>
              <w:pStyle w:val="103"/>
            </w:pPr>
            <w:r>
              <w:t>达拉特路与树林召大街</w:t>
            </w:r>
          </w:p>
        </w:tc>
        <w:tc>
          <w:tcPr>
            <w:tcW w:w="1172" w:type="dxa"/>
            <w:tcBorders>
              <w:top w:val="nil"/>
              <w:left w:val="nil"/>
              <w:bottom w:val="single" w:color="auto" w:sz="4" w:space="0"/>
              <w:right w:val="single" w:color="auto" w:sz="4" w:space="0"/>
            </w:tcBorders>
            <w:shd w:val="clear" w:color="auto" w:fill="auto"/>
            <w:vAlign w:val="center"/>
          </w:tcPr>
          <w:p>
            <w:pPr>
              <w:pStyle w:val="103"/>
            </w:pPr>
            <w:r>
              <w:t>2</w:t>
            </w:r>
          </w:p>
        </w:tc>
        <w:tc>
          <w:tcPr>
            <w:tcW w:w="1143" w:type="dxa"/>
            <w:tcBorders>
              <w:top w:val="nil"/>
              <w:left w:val="nil"/>
              <w:bottom w:val="single" w:color="auto" w:sz="4" w:space="0"/>
              <w:right w:val="single" w:color="auto" w:sz="4" w:space="0"/>
            </w:tcBorders>
            <w:shd w:val="clear" w:color="auto" w:fill="auto"/>
            <w:vAlign w:val="center"/>
          </w:tcPr>
          <w:p>
            <w:pPr>
              <w:pStyle w:val="103"/>
            </w:pPr>
            <w:r>
              <w:t>　</w:t>
            </w:r>
          </w:p>
        </w:tc>
        <w:tc>
          <w:tcPr>
            <w:tcW w:w="641" w:type="dxa"/>
            <w:tcBorders>
              <w:top w:val="nil"/>
              <w:left w:val="nil"/>
              <w:bottom w:val="single" w:color="auto" w:sz="4" w:space="0"/>
              <w:right w:val="single" w:color="auto" w:sz="4" w:space="0"/>
            </w:tcBorders>
            <w:shd w:val="clear" w:color="auto" w:fill="auto"/>
            <w:vAlign w:val="center"/>
          </w:tcPr>
          <w:p>
            <w:pPr>
              <w:pStyle w:val="103"/>
            </w:pPr>
            <w:r>
              <w:t>10</w:t>
            </w:r>
          </w:p>
        </w:tc>
        <w:tc>
          <w:tcPr>
            <w:tcW w:w="709" w:type="dxa"/>
            <w:tcBorders>
              <w:top w:val="nil"/>
              <w:left w:val="nil"/>
              <w:bottom w:val="single" w:color="auto" w:sz="4" w:space="0"/>
              <w:right w:val="single" w:color="auto" w:sz="4" w:space="0"/>
            </w:tcBorders>
            <w:shd w:val="clear" w:color="auto" w:fill="auto"/>
            <w:vAlign w:val="center"/>
          </w:tcPr>
          <w:p>
            <w:pPr>
              <w:pStyle w:val="103"/>
            </w:pPr>
            <w:r>
              <w:t>10</w:t>
            </w:r>
          </w:p>
        </w:tc>
        <w:tc>
          <w:tcPr>
            <w:tcW w:w="1101" w:type="dxa"/>
            <w:tcBorders>
              <w:top w:val="nil"/>
              <w:left w:val="nil"/>
              <w:bottom w:val="single" w:color="auto" w:sz="4" w:space="0"/>
              <w:right w:val="single" w:color="auto" w:sz="4" w:space="0"/>
            </w:tcBorders>
            <w:shd w:val="clear" w:color="auto" w:fill="auto"/>
            <w:vAlign w:val="center"/>
          </w:tcPr>
          <w:p>
            <w:pPr>
              <w:pStyle w:val="103"/>
            </w:pPr>
            <w:r>
              <w:t>1</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1</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4</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　</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20</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20</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207</w:t>
            </w:r>
          </w:p>
        </w:tc>
        <w:tc>
          <w:tcPr>
            <w:tcW w:w="4266" w:type="dxa"/>
            <w:tcBorders>
              <w:top w:val="nil"/>
              <w:left w:val="nil"/>
              <w:bottom w:val="single" w:color="auto" w:sz="4" w:space="0"/>
              <w:right w:val="single" w:color="auto" w:sz="4" w:space="0"/>
            </w:tcBorders>
            <w:shd w:val="clear" w:color="auto" w:fill="auto"/>
            <w:vAlign w:val="center"/>
          </w:tcPr>
          <w:p>
            <w:pPr>
              <w:pStyle w:val="103"/>
            </w:pPr>
            <w:r>
              <w:t>金鹏路与树林召大街</w:t>
            </w:r>
          </w:p>
        </w:tc>
        <w:tc>
          <w:tcPr>
            <w:tcW w:w="1172" w:type="dxa"/>
            <w:tcBorders>
              <w:top w:val="nil"/>
              <w:left w:val="nil"/>
              <w:bottom w:val="single" w:color="auto" w:sz="4" w:space="0"/>
              <w:right w:val="single" w:color="auto" w:sz="4" w:space="0"/>
            </w:tcBorders>
            <w:shd w:val="clear" w:color="auto" w:fill="auto"/>
            <w:vAlign w:val="center"/>
          </w:tcPr>
          <w:p>
            <w:pPr>
              <w:pStyle w:val="103"/>
            </w:pPr>
            <w:r>
              <w:t>2</w:t>
            </w:r>
          </w:p>
        </w:tc>
        <w:tc>
          <w:tcPr>
            <w:tcW w:w="1143" w:type="dxa"/>
            <w:tcBorders>
              <w:top w:val="nil"/>
              <w:left w:val="nil"/>
              <w:bottom w:val="single" w:color="auto" w:sz="4" w:space="0"/>
              <w:right w:val="single" w:color="auto" w:sz="4" w:space="0"/>
            </w:tcBorders>
            <w:shd w:val="clear" w:color="auto" w:fill="auto"/>
            <w:vAlign w:val="center"/>
          </w:tcPr>
          <w:p>
            <w:pPr>
              <w:pStyle w:val="103"/>
            </w:pPr>
            <w:r>
              <w:t>　</w:t>
            </w:r>
          </w:p>
        </w:tc>
        <w:tc>
          <w:tcPr>
            <w:tcW w:w="641" w:type="dxa"/>
            <w:tcBorders>
              <w:top w:val="nil"/>
              <w:left w:val="nil"/>
              <w:bottom w:val="single" w:color="auto" w:sz="4" w:space="0"/>
              <w:right w:val="single" w:color="auto" w:sz="4" w:space="0"/>
            </w:tcBorders>
            <w:shd w:val="clear" w:color="auto" w:fill="auto"/>
            <w:vAlign w:val="center"/>
          </w:tcPr>
          <w:p>
            <w:pPr>
              <w:pStyle w:val="103"/>
            </w:pPr>
            <w:r>
              <w:t>6</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1</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4</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　</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12</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208</w:t>
            </w:r>
          </w:p>
        </w:tc>
        <w:tc>
          <w:tcPr>
            <w:tcW w:w="4266" w:type="dxa"/>
            <w:tcBorders>
              <w:top w:val="nil"/>
              <w:left w:val="nil"/>
              <w:bottom w:val="single" w:color="auto" w:sz="4" w:space="0"/>
              <w:right w:val="single" w:color="auto" w:sz="4" w:space="0"/>
            </w:tcBorders>
            <w:shd w:val="clear" w:color="auto" w:fill="auto"/>
            <w:vAlign w:val="center"/>
          </w:tcPr>
          <w:p>
            <w:pPr>
              <w:pStyle w:val="103"/>
            </w:pPr>
            <w:r>
              <w:t>达拉特路与锡尼街</w:t>
            </w:r>
          </w:p>
        </w:tc>
        <w:tc>
          <w:tcPr>
            <w:tcW w:w="1172" w:type="dxa"/>
            <w:tcBorders>
              <w:top w:val="nil"/>
              <w:left w:val="nil"/>
              <w:bottom w:val="single" w:color="auto" w:sz="4" w:space="0"/>
              <w:right w:val="single" w:color="auto" w:sz="4" w:space="0"/>
            </w:tcBorders>
            <w:shd w:val="clear" w:color="auto" w:fill="auto"/>
            <w:vAlign w:val="center"/>
          </w:tcPr>
          <w:p>
            <w:pPr>
              <w:pStyle w:val="103"/>
            </w:pPr>
            <w:r>
              <w:t>1</w:t>
            </w:r>
          </w:p>
        </w:tc>
        <w:tc>
          <w:tcPr>
            <w:tcW w:w="1143" w:type="dxa"/>
            <w:tcBorders>
              <w:top w:val="nil"/>
              <w:left w:val="nil"/>
              <w:bottom w:val="single" w:color="auto" w:sz="4" w:space="0"/>
              <w:right w:val="single" w:color="auto" w:sz="4" w:space="0"/>
            </w:tcBorders>
            <w:shd w:val="clear" w:color="auto" w:fill="auto"/>
            <w:vAlign w:val="center"/>
          </w:tcPr>
          <w:p>
            <w:pPr>
              <w:pStyle w:val="103"/>
            </w:pPr>
            <w:r>
              <w:t>　</w:t>
            </w:r>
          </w:p>
        </w:tc>
        <w:tc>
          <w:tcPr>
            <w:tcW w:w="641" w:type="dxa"/>
            <w:tcBorders>
              <w:top w:val="nil"/>
              <w:left w:val="nil"/>
              <w:bottom w:val="single" w:color="auto" w:sz="4" w:space="0"/>
              <w:right w:val="single" w:color="auto" w:sz="4" w:space="0"/>
            </w:tcBorders>
            <w:shd w:val="clear" w:color="auto" w:fill="auto"/>
            <w:vAlign w:val="center"/>
          </w:tcPr>
          <w:p>
            <w:pPr>
              <w:pStyle w:val="103"/>
            </w:pPr>
            <w:r>
              <w:t>9</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1</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4</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　</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18</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209</w:t>
            </w:r>
          </w:p>
        </w:tc>
        <w:tc>
          <w:tcPr>
            <w:tcW w:w="4266" w:type="dxa"/>
            <w:tcBorders>
              <w:top w:val="nil"/>
              <w:left w:val="nil"/>
              <w:bottom w:val="single" w:color="auto" w:sz="4" w:space="0"/>
              <w:right w:val="single" w:color="auto" w:sz="4" w:space="0"/>
            </w:tcBorders>
            <w:shd w:val="clear" w:color="auto" w:fill="auto"/>
            <w:vAlign w:val="center"/>
          </w:tcPr>
          <w:p>
            <w:pPr>
              <w:pStyle w:val="103"/>
            </w:pPr>
            <w:r>
              <w:t>长胜路与树林召大街</w:t>
            </w:r>
          </w:p>
        </w:tc>
        <w:tc>
          <w:tcPr>
            <w:tcW w:w="1172" w:type="dxa"/>
            <w:tcBorders>
              <w:top w:val="nil"/>
              <w:left w:val="nil"/>
              <w:bottom w:val="single" w:color="auto" w:sz="4" w:space="0"/>
              <w:right w:val="single" w:color="auto" w:sz="4" w:space="0"/>
            </w:tcBorders>
            <w:shd w:val="clear" w:color="auto" w:fill="auto"/>
            <w:vAlign w:val="center"/>
          </w:tcPr>
          <w:p>
            <w:pPr>
              <w:pStyle w:val="103"/>
            </w:pPr>
            <w:r>
              <w:t>　</w:t>
            </w:r>
          </w:p>
        </w:tc>
        <w:tc>
          <w:tcPr>
            <w:tcW w:w="1143" w:type="dxa"/>
            <w:tcBorders>
              <w:top w:val="nil"/>
              <w:left w:val="nil"/>
              <w:bottom w:val="single" w:color="auto" w:sz="4" w:space="0"/>
              <w:right w:val="single" w:color="auto" w:sz="4" w:space="0"/>
            </w:tcBorders>
            <w:shd w:val="clear" w:color="auto" w:fill="auto"/>
            <w:vAlign w:val="center"/>
          </w:tcPr>
          <w:p>
            <w:pPr>
              <w:pStyle w:val="103"/>
            </w:pPr>
            <w:r>
              <w:t>　</w:t>
            </w:r>
          </w:p>
        </w:tc>
        <w:tc>
          <w:tcPr>
            <w:tcW w:w="641" w:type="dxa"/>
            <w:tcBorders>
              <w:top w:val="nil"/>
              <w:left w:val="nil"/>
              <w:bottom w:val="single" w:color="auto" w:sz="4" w:space="0"/>
              <w:right w:val="single" w:color="auto" w:sz="4" w:space="0"/>
            </w:tcBorders>
            <w:shd w:val="clear" w:color="auto" w:fill="auto"/>
            <w:vAlign w:val="center"/>
          </w:tcPr>
          <w:p>
            <w:pPr>
              <w:pStyle w:val="103"/>
            </w:pPr>
            <w:r>
              <w:t>1</w:t>
            </w:r>
          </w:p>
        </w:tc>
        <w:tc>
          <w:tcPr>
            <w:tcW w:w="709" w:type="dxa"/>
            <w:tcBorders>
              <w:top w:val="nil"/>
              <w:left w:val="nil"/>
              <w:bottom w:val="single" w:color="auto" w:sz="4" w:space="0"/>
              <w:right w:val="single" w:color="auto" w:sz="4" w:space="0"/>
            </w:tcBorders>
            <w:shd w:val="clear" w:color="auto" w:fill="auto"/>
            <w:vAlign w:val="center"/>
          </w:tcPr>
          <w:p>
            <w:pPr>
              <w:pStyle w:val="103"/>
            </w:pPr>
            <w:r>
              <w:t>1</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　</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2</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2</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210</w:t>
            </w:r>
          </w:p>
        </w:tc>
        <w:tc>
          <w:tcPr>
            <w:tcW w:w="4266" w:type="dxa"/>
            <w:tcBorders>
              <w:top w:val="nil"/>
              <w:left w:val="nil"/>
              <w:bottom w:val="single" w:color="auto" w:sz="4" w:space="0"/>
              <w:right w:val="single" w:color="auto" w:sz="4" w:space="0"/>
            </w:tcBorders>
            <w:shd w:val="clear" w:color="auto" w:fill="auto"/>
            <w:vAlign w:val="center"/>
          </w:tcPr>
          <w:p>
            <w:pPr>
              <w:pStyle w:val="103"/>
            </w:pPr>
            <w:r>
              <w:t>德胜大街与商城路</w:t>
            </w:r>
          </w:p>
        </w:tc>
        <w:tc>
          <w:tcPr>
            <w:tcW w:w="1172" w:type="dxa"/>
            <w:tcBorders>
              <w:top w:val="nil"/>
              <w:left w:val="nil"/>
              <w:bottom w:val="single" w:color="auto" w:sz="4" w:space="0"/>
              <w:right w:val="single" w:color="auto" w:sz="4" w:space="0"/>
            </w:tcBorders>
            <w:shd w:val="clear" w:color="auto" w:fill="auto"/>
            <w:vAlign w:val="center"/>
          </w:tcPr>
          <w:p>
            <w:pPr>
              <w:pStyle w:val="103"/>
            </w:pPr>
            <w:r>
              <w:t>　</w:t>
            </w:r>
          </w:p>
        </w:tc>
        <w:tc>
          <w:tcPr>
            <w:tcW w:w="1143" w:type="dxa"/>
            <w:tcBorders>
              <w:top w:val="nil"/>
              <w:left w:val="nil"/>
              <w:bottom w:val="single" w:color="auto" w:sz="4" w:space="0"/>
              <w:right w:val="single" w:color="auto" w:sz="4" w:space="0"/>
            </w:tcBorders>
            <w:shd w:val="clear" w:color="auto" w:fill="auto"/>
            <w:vAlign w:val="center"/>
          </w:tcPr>
          <w:p>
            <w:pPr>
              <w:pStyle w:val="103"/>
            </w:pPr>
            <w:r>
              <w:t>　</w:t>
            </w:r>
          </w:p>
        </w:tc>
        <w:tc>
          <w:tcPr>
            <w:tcW w:w="641" w:type="dxa"/>
            <w:tcBorders>
              <w:top w:val="nil"/>
              <w:left w:val="nil"/>
              <w:bottom w:val="single" w:color="auto" w:sz="4" w:space="0"/>
              <w:right w:val="single" w:color="auto" w:sz="4" w:space="0"/>
            </w:tcBorders>
            <w:shd w:val="clear" w:color="auto" w:fill="auto"/>
            <w:vAlign w:val="center"/>
          </w:tcPr>
          <w:p>
            <w:pPr>
              <w:pStyle w:val="103"/>
            </w:pPr>
            <w:r>
              <w:t>2</w:t>
            </w:r>
          </w:p>
        </w:tc>
        <w:tc>
          <w:tcPr>
            <w:tcW w:w="709" w:type="dxa"/>
            <w:tcBorders>
              <w:top w:val="nil"/>
              <w:left w:val="nil"/>
              <w:bottom w:val="single" w:color="auto" w:sz="4" w:space="0"/>
              <w:right w:val="single" w:color="auto" w:sz="4" w:space="0"/>
            </w:tcBorders>
            <w:shd w:val="clear" w:color="auto" w:fill="auto"/>
            <w:vAlign w:val="center"/>
          </w:tcPr>
          <w:p>
            <w:pPr>
              <w:pStyle w:val="103"/>
            </w:pPr>
            <w:r>
              <w:t>1</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2</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　</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4</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2</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211</w:t>
            </w:r>
          </w:p>
        </w:tc>
        <w:tc>
          <w:tcPr>
            <w:tcW w:w="4266" w:type="dxa"/>
            <w:tcBorders>
              <w:top w:val="nil"/>
              <w:left w:val="nil"/>
              <w:bottom w:val="single" w:color="auto" w:sz="4" w:space="0"/>
              <w:right w:val="single" w:color="auto" w:sz="4" w:space="0"/>
            </w:tcBorders>
            <w:shd w:val="clear" w:color="auto" w:fill="auto"/>
            <w:vAlign w:val="center"/>
          </w:tcPr>
          <w:p>
            <w:pPr>
              <w:pStyle w:val="103"/>
            </w:pPr>
            <w:r>
              <w:t>福宁街与西园路</w:t>
            </w:r>
          </w:p>
        </w:tc>
        <w:tc>
          <w:tcPr>
            <w:tcW w:w="1172" w:type="dxa"/>
            <w:tcBorders>
              <w:top w:val="nil"/>
              <w:left w:val="nil"/>
              <w:bottom w:val="single" w:color="auto" w:sz="4" w:space="0"/>
              <w:right w:val="single" w:color="auto" w:sz="4" w:space="0"/>
            </w:tcBorders>
            <w:shd w:val="clear" w:color="auto" w:fill="auto"/>
            <w:vAlign w:val="center"/>
          </w:tcPr>
          <w:p>
            <w:pPr>
              <w:pStyle w:val="103"/>
            </w:pPr>
            <w:r>
              <w:t>　</w:t>
            </w:r>
          </w:p>
        </w:tc>
        <w:tc>
          <w:tcPr>
            <w:tcW w:w="1143" w:type="dxa"/>
            <w:tcBorders>
              <w:top w:val="nil"/>
              <w:left w:val="nil"/>
              <w:bottom w:val="single" w:color="auto" w:sz="4" w:space="0"/>
              <w:right w:val="single" w:color="auto" w:sz="4" w:space="0"/>
            </w:tcBorders>
            <w:shd w:val="clear" w:color="auto" w:fill="auto"/>
            <w:vAlign w:val="center"/>
          </w:tcPr>
          <w:p>
            <w:pPr>
              <w:pStyle w:val="103"/>
            </w:pPr>
            <w:r>
              <w:t>　</w:t>
            </w:r>
          </w:p>
        </w:tc>
        <w:tc>
          <w:tcPr>
            <w:tcW w:w="641" w:type="dxa"/>
            <w:tcBorders>
              <w:top w:val="nil"/>
              <w:left w:val="nil"/>
              <w:bottom w:val="single" w:color="auto" w:sz="4" w:space="0"/>
              <w:right w:val="single" w:color="auto" w:sz="4" w:space="0"/>
            </w:tcBorders>
            <w:shd w:val="clear" w:color="auto" w:fill="auto"/>
            <w:vAlign w:val="center"/>
          </w:tcPr>
          <w:p>
            <w:pPr>
              <w:pStyle w:val="103"/>
            </w:pPr>
            <w:r>
              <w:t>1</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1</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　</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2</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212</w:t>
            </w:r>
          </w:p>
        </w:tc>
        <w:tc>
          <w:tcPr>
            <w:tcW w:w="4266" w:type="dxa"/>
            <w:tcBorders>
              <w:top w:val="nil"/>
              <w:left w:val="nil"/>
              <w:bottom w:val="single" w:color="auto" w:sz="4" w:space="0"/>
              <w:right w:val="single" w:color="auto" w:sz="4" w:space="0"/>
            </w:tcBorders>
            <w:shd w:val="clear" w:color="auto" w:fill="auto"/>
            <w:noWrap/>
            <w:vAlign w:val="center"/>
          </w:tcPr>
          <w:p>
            <w:pPr>
              <w:pStyle w:val="103"/>
            </w:pPr>
            <w:r>
              <w:t>经七路与沿黄公路</w:t>
            </w:r>
          </w:p>
        </w:tc>
        <w:tc>
          <w:tcPr>
            <w:tcW w:w="1172" w:type="dxa"/>
            <w:tcBorders>
              <w:top w:val="nil"/>
              <w:left w:val="nil"/>
              <w:bottom w:val="single" w:color="auto" w:sz="4" w:space="0"/>
              <w:right w:val="single" w:color="auto" w:sz="4" w:space="0"/>
            </w:tcBorders>
            <w:shd w:val="clear" w:color="auto" w:fill="auto"/>
            <w:noWrap/>
            <w:vAlign w:val="center"/>
          </w:tcPr>
          <w:p>
            <w:pPr>
              <w:pStyle w:val="103"/>
            </w:pPr>
            <w:r>
              <w:t>　</w:t>
            </w:r>
          </w:p>
        </w:tc>
        <w:tc>
          <w:tcPr>
            <w:tcW w:w="1143" w:type="dxa"/>
            <w:tcBorders>
              <w:top w:val="nil"/>
              <w:left w:val="nil"/>
              <w:bottom w:val="single" w:color="auto" w:sz="4" w:space="0"/>
              <w:right w:val="single" w:color="auto" w:sz="4" w:space="0"/>
            </w:tcBorders>
            <w:shd w:val="clear" w:color="auto" w:fill="auto"/>
            <w:noWrap/>
            <w:vAlign w:val="center"/>
          </w:tcPr>
          <w:p>
            <w:pPr>
              <w:pStyle w:val="103"/>
            </w:pPr>
            <w:r>
              <w:t>　</w:t>
            </w:r>
          </w:p>
        </w:tc>
        <w:tc>
          <w:tcPr>
            <w:tcW w:w="64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09" w:type="dxa"/>
            <w:tcBorders>
              <w:top w:val="nil"/>
              <w:left w:val="nil"/>
              <w:bottom w:val="single" w:color="auto" w:sz="4" w:space="0"/>
              <w:right w:val="single" w:color="auto" w:sz="4" w:space="0"/>
            </w:tcBorders>
            <w:shd w:val="clear" w:color="auto" w:fill="auto"/>
            <w:noWrap/>
            <w:vAlign w:val="center"/>
          </w:tcPr>
          <w:p>
            <w:pPr>
              <w:pStyle w:val="103"/>
            </w:pPr>
            <w:r>
              <w:t>2</w:t>
            </w:r>
          </w:p>
        </w:tc>
        <w:tc>
          <w:tcPr>
            <w:tcW w:w="1101" w:type="dxa"/>
            <w:tcBorders>
              <w:top w:val="nil"/>
              <w:left w:val="nil"/>
              <w:bottom w:val="single" w:color="auto" w:sz="4" w:space="0"/>
              <w:right w:val="single" w:color="auto" w:sz="4" w:space="0"/>
            </w:tcBorders>
            <w:shd w:val="clear" w:color="auto" w:fill="auto"/>
            <w:noWrap/>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　</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4</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213</w:t>
            </w:r>
          </w:p>
        </w:tc>
        <w:tc>
          <w:tcPr>
            <w:tcW w:w="4266" w:type="dxa"/>
            <w:tcBorders>
              <w:top w:val="nil"/>
              <w:left w:val="nil"/>
              <w:bottom w:val="single" w:color="auto" w:sz="4" w:space="0"/>
              <w:right w:val="single" w:color="auto" w:sz="4" w:space="0"/>
            </w:tcBorders>
            <w:shd w:val="clear" w:color="auto" w:fill="auto"/>
            <w:vAlign w:val="center"/>
          </w:tcPr>
          <w:p>
            <w:pPr>
              <w:pStyle w:val="103"/>
            </w:pPr>
            <w:r>
              <w:t>运煤专线</w:t>
            </w:r>
          </w:p>
        </w:tc>
        <w:tc>
          <w:tcPr>
            <w:tcW w:w="1172" w:type="dxa"/>
            <w:tcBorders>
              <w:top w:val="nil"/>
              <w:left w:val="nil"/>
              <w:bottom w:val="single" w:color="auto" w:sz="4" w:space="0"/>
              <w:right w:val="single" w:color="auto" w:sz="4" w:space="0"/>
            </w:tcBorders>
            <w:shd w:val="clear" w:color="auto" w:fill="auto"/>
            <w:vAlign w:val="center"/>
          </w:tcPr>
          <w:p>
            <w:pPr>
              <w:pStyle w:val="103"/>
            </w:pPr>
            <w:r>
              <w:t>　</w:t>
            </w:r>
          </w:p>
        </w:tc>
        <w:tc>
          <w:tcPr>
            <w:tcW w:w="1143" w:type="dxa"/>
            <w:tcBorders>
              <w:top w:val="nil"/>
              <w:left w:val="nil"/>
              <w:bottom w:val="single" w:color="auto" w:sz="4" w:space="0"/>
              <w:right w:val="single" w:color="auto" w:sz="4" w:space="0"/>
            </w:tcBorders>
            <w:shd w:val="clear" w:color="auto" w:fill="auto"/>
            <w:vAlign w:val="center"/>
          </w:tcPr>
          <w:p>
            <w:pPr>
              <w:pStyle w:val="103"/>
            </w:pPr>
            <w:r>
              <w:t>　</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2</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1</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　</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4</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214</w:t>
            </w:r>
          </w:p>
        </w:tc>
        <w:tc>
          <w:tcPr>
            <w:tcW w:w="4266" w:type="dxa"/>
            <w:tcBorders>
              <w:top w:val="nil"/>
              <w:left w:val="nil"/>
              <w:bottom w:val="single" w:color="auto" w:sz="4" w:space="0"/>
              <w:right w:val="single" w:color="auto" w:sz="4" w:space="0"/>
            </w:tcBorders>
            <w:shd w:val="clear" w:color="auto" w:fill="auto"/>
            <w:vAlign w:val="center"/>
          </w:tcPr>
          <w:p>
            <w:pPr>
              <w:pStyle w:val="103"/>
            </w:pPr>
            <w:r>
              <w:t>迎宾街东出口</w:t>
            </w:r>
          </w:p>
        </w:tc>
        <w:tc>
          <w:tcPr>
            <w:tcW w:w="1172" w:type="dxa"/>
            <w:tcBorders>
              <w:top w:val="nil"/>
              <w:left w:val="nil"/>
              <w:bottom w:val="single" w:color="auto" w:sz="4" w:space="0"/>
              <w:right w:val="single" w:color="auto" w:sz="4" w:space="0"/>
            </w:tcBorders>
            <w:shd w:val="clear" w:color="auto" w:fill="auto"/>
            <w:vAlign w:val="center"/>
          </w:tcPr>
          <w:p>
            <w:pPr>
              <w:pStyle w:val="103"/>
            </w:pPr>
            <w:r>
              <w:t>　</w:t>
            </w:r>
          </w:p>
        </w:tc>
        <w:tc>
          <w:tcPr>
            <w:tcW w:w="1143" w:type="dxa"/>
            <w:tcBorders>
              <w:top w:val="nil"/>
              <w:left w:val="nil"/>
              <w:bottom w:val="single" w:color="auto" w:sz="4" w:space="0"/>
              <w:right w:val="single" w:color="auto" w:sz="4" w:space="0"/>
            </w:tcBorders>
            <w:shd w:val="clear" w:color="auto" w:fill="auto"/>
            <w:vAlign w:val="center"/>
          </w:tcPr>
          <w:p>
            <w:pPr>
              <w:pStyle w:val="103"/>
            </w:pPr>
            <w:r>
              <w:t>　</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4</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　</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6</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216</w:t>
            </w:r>
          </w:p>
        </w:tc>
        <w:tc>
          <w:tcPr>
            <w:tcW w:w="4266" w:type="dxa"/>
            <w:tcBorders>
              <w:top w:val="nil"/>
              <w:left w:val="nil"/>
              <w:bottom w:val="single" w:color="auto" w:sz="4" w:space="0"/>
              <w:right w:val="single" w:color="auto" w:sz="4" w:space="0"/>
            </w:tcBorders>
            <w:shd w:val="clear" w:color="auto" w:fill="auto"/>
            <w:vAlign w:val="center"/>
          </w:tcPr>
          <w:p>
            <w:pPr>
              <w:pStyle w:val="103"/>
            </w:pPr>
            <w:r>
              <w:t>迎宾街西出口</w:t>
            </w:r>
          </w:p>
        </w:tc>
        <w:tc>
          <w:tcPr>
            <w:tcW w:w="1172" w:type="dxa"/>
            <w:tcBorders>
              <w:top w:val="nil"/>
              <w:left w:val="nil"/>
              <w:bottom w:val="single" w:color="auto" w:sz="4" w:space="0"/>
              <w:right w:val="single" w:color="auto" w:sz="4" w:space="0"/>
            </w:tcBorders>
            <w:shd w:val="clear" w:color="auto" w:fill="auto"/>
            <w:vAlign w:val="center"/>
          </w:tcPr>
          <w:p>
            <w:pPr>
              <w:pStyle w:val="103"/>
            </w:pPr>
            <w:r>
              <w:t>　</w:t>
            </w:r>
          </w:p>
        </w:tc>
        <w:tc>
          <w:tcPr>
            <w:tcW w:w="1143" w:type="dxa"/>
            <w:tcBorders>
              <w:top w:val="nil"/>
              <w:left w:val="nil"/>
              <w:bottom w:val="single" w:color="auto" w:sz="4" w:space="0"/>
              <w:right w:val="single" w:color="auto" w:sz="4" w:space="0"/>
            </w:tcBorders>
            <w:shd w:val="clear" w:color="auto" w:fill="auto"/>
            <w:vAlign w:val="center"/>
          </w:tcPr>
          <w:p>
            <w:pPr>
              <w:pStyle w:val="103"/>
            </w:pPr>
            <w:r>
              <w:t>　</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4</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　</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6</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217</w:t>
            </w:r>
          </w:p>
        </w:tc>
        <w:tc>
          <w:tcPr>
            <w:tcW w:w="4266" w:type="dxa"/>
            <w:tcBorders>
              <w:top w:val="nil"/>
              <w:left w:val="nil"/>
              <w:bottom w:val="single" w:color="auto" w:sz="4" w:space="0"/>
              <w:right w:val="single" w:color="auto" w:sz="4" w:space="0"/>
            </w:tcBorders>
            <w:shd w:val="clear" w:color="auto" w:fill="auto"/>
            <w:vAlign w:val="center"/>
          </w:tcPr>
          <w:p>
            <w:pPr>
              <w:pStyle w:val="103"/>
            </w:pPr>
            <w:r>
              <w:t>达准路口</w:t>
            </w:r>
          </w:p>
        </w:tc>
        <w:tc>
          <w:tcPr>
            <w:tcW w:w="1172" w:type="dxa"/>
            <w:tcBorders>
              <w:top w:val="nil"/>
              <w:left w:val="nil"/>
              <w:bottom w:val="single" w:color="auto" w:sz="4" w:space="0"/>
              <w:right w:val="single" w:color="auto" w:sz="4" w:space="0"/>
            </w:tcBorders>
            <w:shd w:val="clear" w:color="auto" w:fill="auto"/>
            <w:vAlign w:val="center"/>
          </w:tcPr>
          <w:p>
            <w:pPr>
              <w:pStyle w:val="103"/>
            </w:pPr>
            <w:r>
              <w:t>　</w:t>
            </w:r>
          </w:p>
        </w:tc>
        <w:tc>
          <w:tcPr>
            <w:tcW w:w="1143" w:type="dxa"/>
            <w:tcBorders>
              <w:top w:val="nil"/>
              <w:left w:val="nil"/>
              <w:bottom w:val="single" w:color="auto" w:sz="4" w:space="0"/>
              <w:right w:val="single" w:color="auto" w:sz="4" w:space="0"/>
            </w:tcBorders>
            <w:shd w:val="clear" w:color="auto" w:fill="auto"/>
            <w:vAlign w:val="center"/>
          </w:tcPr>
          <w:p>
            <w:pPr>
              <w:pStyle w:val="103"/>
            </w:pPr>
            <w:r>
              <w:t>　</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2</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　</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2</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218</w:t>
            </w:r>
          </w:p>
        </w:tc>
        <w:tc>
          <w:tcPr>
            <w:tcW w:w="4266" w:type="dxa"/>
            <w:tcBorders>
              <w:top w:val="nil"/>
              <w:left w:val="nil"/>
              <w:bottom w:val="single" w:color="auto" w:sz="4" w:space="0"/>
              <w:right w:val="single" w:color="auto" w:sz="4" w:space="0"/>
            </w:tcBorders>
            <w:shd w:val="clear" w:color="auto" w:fill="auto"/>
            <w:vAlign w:val="center"/>
          </w:tcPr>
          <w:p>
            <w:pPr>
              <w:pStyle w:val="103"/>
            </w:pPr>
            <w:r>
              <w:t>景观大道卡口</w:t>
            </w:r>
          </w:p>
        </w:tc>
        <w:tc>
          <w:tcPr>
            <w:tcW w:w="1172" w:type="dxa"/>
            <w:tcBorders>
              <w:top w:val="nil"/>
              <w:left w:val="nil"/>
              <w:bottom w:val="single" w:color="auto" w:sz="4" w:space="0"/>
              <w:right w:val="single" w:color="auto" w:sz="4" w:space="0"/>
            </w:tcBorders>
            <w:shd w:val="clear" w:color="auto" w:fill="auto"/>
            <w:vAlign w:val="center"/>
          </w:tcPr>
          <w:p>
            <w:pPr>
              <w:pStyle w:val="103"/>
            </w:pPr>
            <w:r>
              <w:t>　</w:t>
            </w:r>
          </w:p>
        </w:tc>
        <w:tc>
          <w:tcPr>
            <w:tcW w:w="1143" w:type="dxa"/>
            <w:tcBorders>
              <w:top w:val="nil"/>
              <w:left w:val="nil"/>
              <w:bottom w:val="single" w:color="auto" w:sz="4" w:space="0"/>
              <w:right w:val="single" w:color="auto" w:sz="4" w:space="0"/>
            </w:tcBorders>
            <w:shd w:val="clear" w:color="auto" w:fill="auto"/>
            <w:vAlign w:val="center"/>
          </w:tcPr>
          <w:p>
            <w:pPr>
              <w:pStyle w:val="103"/>
            </w:pPr>
            <w:r>
              <w:t>　</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4</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　</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6</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219</w:t>
            </w:r>
          </w:p>
        </w:tc>
        <w:tc>
          <w:tcPr>
            <w:tcW w:w="4266" w:type="dxa"/>
            <w:tcBorders>
              <w:top w:val="nil"/>
              <w:left w:val="nil"/>
              <w:bottom w:val="single" w:color="auto" w:sz="4" w:space="0"/>
              <w:right w:val="single" w:color="auto" w:sz="4" w:space="0"/>
            </w:tcBorders>
            <w:shd w:val="clear" w:color="auto" w:fill="auto"/>
            <w:vAlign w:val="center"/>
          </w:tcPr>
          <w:p>
            <w:pPr>
              <w:pStyle w:val="103"/>
            </w:pPr>
            <w:r>
              <w:t>PVC卡口</w:t>
            </w:r>
          </w:p>
        </w:tc>
        <w:tc>
          <w:tcPr>
            <w:tcW w:w="1172" w:type="dxa"/>
            <w:tcBorders>
              <w:top w:val="nil"/>
              <w:left w:val="nil"/>
              <w:bottom w:val="single" w:color="auto" w:sz="4" w:space="0"/>
              <w:right w:val="single" w:color="auto" w:sz="4" w:space="0"/>
            </w:tcBorders>
            <w:shd w:val="clear" w:color="auto" w:fill="auto"/>
            <w:vAlign w:val="center"/>
          </w:tcPr>
          <w:p>
            <w:pPr>
              <w:pStyle w:val="103"/>
            </w:pPr>
            <w:r>
              <w:t>　</w:t>
            </w:r>
          </w:p>
        </w:tc>
        <w:tc>
          <w:tcPr>
            <w:tcW w:w="1143" w:type="dxa"/>
            <w:tcBorders>
              <w:top w:val="nil"/>
              <w:left w:val="nil"/>
              <w:bottom w:val="single" w:color="auto" w:sz="4" w:space="0"/>
              <w:right w:val="single" w:color="auto" w:sz="4" w:space="0"/>
            </w:tcBorders>
            <w:shd w:val="clear" w:color="auto" w:fill="auto"/>
            <w:vAlign w:val="center"/>
          </w:tcPr>
          <w:p>
            <w:pPr>
              <w:pStyle w:val="103"/>
            </w:pPr>
            <w:r>
              <w:t>　</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6</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　</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6</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220</w:t>
            </w:r>
          </w:p>
        </w:tc>
        <w:tc>
          <w:tcPr>
            <w:tcW w:w="4266" w:type="dxa"/>
            <w:tcBorders>
              <w:top w:val="nil"/>
              <w:left w:val="nil"/>
              <w:bottom w:val="single" w:color="auto" w:sz="4" w:space="0"/>
              <w:right w:val="single" w:color="auto" w:sz="4" w:space="0"/>
            </w:tcBorders>
            <w:shd w:val="clear" w:color="auto" w:fill="auto"/>
            <w:vAlign w:val="center"/>
          </w:tcPr>
          <w:p>
            <w:pPr>
              <w:pStyle w:val="103"/>
            </w:pPr>
            <w:r>
              <w:t>黄河大桥出城卡口</w:t>
            </w:r>
          </w:p>
        </w:tc>
        <w:tc>
          <w:tcPr>
            <w:tcW w:w="1172" w:type="dxa"/>
            <w:tcBorders>
              <w:top w:val="nil"/>
              <w:left w:val="nil"/>
              <w:bottom w:val="single" w:color="auto" w:sz="4" w:space="0"/>
              <w:right w:val="single" w:color="auto" w:sz="4" w:space="0"/>
            </w:tcBorders>
            <w:shd w:val="clear" w:color="auto" w:fill="auto"/>
            <w:vAlign w:val="center"/>
          </w:tcPr>
          <w:p>
            <w:pPr>
              <w:pStyle w:val="103"/>
            </w:pPr>
            <w:r>
              <w:t>　</w:t>
            </w:r>
          </w:p>
        </w:tc>
        <w:tc>
          <w:tcPr>
            <w:tcW w:w="1143" w:type="dxa"/>
            <w:tcBorders>
              <w:top w:val="nil"/>
              <w:left w:val="nil"/>
              <w:bottom w:val="single" w:color="auto" w:sz="4" w:space="0"/>
              <w:right w:val="single" w:color="auto" w:sz="4" w:space="0"/>
            </w:tcBorders>
            <w:shd w:val="clear" w:color="auto" w:fill="auto"/>
            <w:vAlign w:val="center"/>
          </w:tcPr>
          <w:p>
            <w:pPr>
              <w:pStyle w:val="103"/>
            </w:pPr>
            <w:r>
              <w:t>　</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3</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　</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3</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221</w:t>
            </w:r>
          </w:p>
        </w:tc>
        <w:tc>
          <w:tcPr>
            <w:tcW w:w="4266" w:type="dxa"/>
            <w:tcBorders>
              <w:top w:val="nil"/>
              <w:left w:val="nil"/>
              <w:bottom w:val="single" w:color="auto" w:sz="4" w:space="0"/>
              <w:right w:val="single" w:color="auto" w:sz="4" w:space="0"/>
            </w:tcBorders>
            <w:shd w:val="clear" w:color="auto" w:fill="auto"/>
            <w:vAlign w:val="center"/>
          </w:tcPr>
          <w:p>
            <w:pPr>
              <w:pStyle w:val="103"/>
            </w:pPr>
            <w:r>
              <w:t>耳字豪低速卡口</w:t>
            </w:r>
          </w:p>
        </w:tc>
        <w:tc>
          <w:tcPr>
            <w:tcW w:w="1172" w:type="dxa"/>
            <w:tcBorders>
              <w:top w:val="nil"/>
              <w:left w:val="nil"/>
              <w:bottom w:val="single" w:color="auto" w:sz="4" w:space="0"/>
              <w:right w:val="single" w:color="auto" w:sz="4" w:space="0"/>
            </w:tcBorders>
            <w:shd w:val="clear" w:color="auto" w:fill="auto"/>
            <w:vAlign w:val="center"/>
          </w:tcPr>
          <w:p>
            <w:pPr>
              <w:pStyle w:val="103"/>
            </w:pPr>
            <w:r>
              <w:t>　</w:t>
            </w:r>
          </w:p>
        </w:tc>
        <w:tc>
          <w:tcPr>
            <w:tcW w:w="1143" w:type="dxa"/>
            <w:tcBorders>
              <w:top w:val="nil"/>
              <w:left w:val="nil"/>
              <w:bottom w:val="single" w:color="auto" w:sz="4" w:space="0"/>
              <w:right w:val="single" w:color="auto" w:sz="4" w:space="0"/>
            </w:tcBorders>
            <w:shd w:val="clear" w:color="auto" w:fill="auto"/>
            <w:vAlign w:val="center"/>
          </w:tcPr>
          <w:p>
            <w:pPr>
              <w:pStyle w:val="103"/>
            </w:pPr>
            <w:r>
              <w:t>　</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2</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　</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2</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222</w:t>
            </w:r>
          </w:p>
        </w:tc>
        <w:tc>
          <w:tcPr>
            <w:tcW w:w="4266" w:type="dxa"/>
            <w:tcBorders>
              <w:top w:val="nil"/>
              <w:left w:val="nil"/>
              <w:bottom w:val="single" w:color="auto" w:sz="4" w:space="0"/>
              <w:right w:val="single" w:color="auto" w:sz="4" w:space="0"/>
            </w:tcBorders>
            <w:shd w:val="clear" w:color="auto" w:fill="auto"/>
            <w:vAlign w:val="center"/>
          </w:tcPr>
          <w:p>
            <w:pPr>
              <w:pStyle w:val="103"/>
            </w:pPr>
            <w:r>
              <w:t>大树湾卡口</w:t>
            </w:r>
          </w:p>
        </w:tc>
        <w:tc>
          <w:tcPr>
            <w:tcW w:w="1172" w:type="dxa"/>
            <w:tcBorders>
              <w:top w:val="nil"/>
              <w:left w:val="nil"/>
              <w:bottom w:val="single" w:color="auto" w:sz="4" w:space="0"/>
              <w:right w:val="single" w:color="auto" w:sz="4" w:space="0"/>
            </w:tcBorders>
            <w:shd w:val="clear" w:color="auto" w:fill="auto"/>
            <w:vAlign w:val="center"/>
          </w:tcPr>
          <w:p>
            <w:pPr>
              <w:pStyle w:val="103"/>
            </w:pPr>
            <w:r>
              <w:t>　</w:t>
            </w:r>
          </w:p>
        </w:tc>
        <w:tc>
          <w:tcPr>
            <w:tcW w:w="1143" w:type="dxa"/>
            <w:tcBorders>
              <w:top w:val="nil"/>
              <w:left w:val="nil"/>
              <w:bottom w:val="single" w:color="auto" w:sz="4" w:space="0"/>
              <w:right w:val="single" w:color="auto" w:sz="4" w:space="0"/>
            </w:tcBorders>
            <w:shd w:val="clear" w:color="auto" w:fill="auto"/>
            <w:vAlign w:val="center"/>
          </w:tcPr>
          <w:p>
            <w:pPr>
              <w:pStyle w:val="103"/>
            </w:pPr>
            <w:r>
              <w:t>　</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2</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　</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2</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223</w:t>
            </w:r>
          </w:p>
        </w:tc>
        <w:tc>
          <w:tcPr>
            <w:tcW w:w="4266" w:type="dxa"/>
            <w:tcBorders>
              <w:top w:val="nil"/>
              <w:left w:val="nil"/>
              <w:bottom w:val="single" w:color="auto" w:sz="4" w:space="0"/>
              <w:right w:val="single" w:color="auto" w:sz="4" w:space="0"/>
            </w:tcBorders>
            <w:shd w:val="clear" w:color="auto" w:fill="auto"/>
            <w:vAlign w:val="center"/>
          </w:tcPr>
          <w:p>
            <w:pPr>
              <w:pStyle w:val="103"/>
            </w:pPr>
            <w:r>
              <w:t>德胜泰卡口</w:t>
            </w:r>
          </w:p>
        </w:tc>
        <w:tc>
          <w:tcPr>
            <w:tcW w:w="1172" w:type="dxa"/>
            <w:tcBorders>
              <w:top w:val="nil"/>
              <w:left w:val="nil"/>
              <w:bottom w:val="single" w:color="auto" w:sz="4" w:space="0"/>
              <w:right w:val="single" w:color="auto" w:sz="4" w:space="0"/>
            </w:tcBorders>
            <w:shd w:val="clear" w:color="auto" w:fill="auto"/>
            <w:vAlign w:val="center"/>
          </w:tcPr>
          <w:p>
            <w:pPr>
              <w:pStyle w:val="103"/>
            </w:pPr>
            <w:r>
              <w:t>　</w:t>
            </w:r>
          </w:p>
        </w:tc>
        <w:tc>
          <w:tcPr>
            <w:tcW w:w="1143" w:type="dxa"/>
            <w:tcBorders>
              <w:top w:val="nil"/>
              <w:left w:val="nil"/>
              <w:bottom w:val="single" w:color="auto" w:sz="4" w:space="0"/>
              <w:right w:val="single" w:color="auto" w:sz="4" w:space="0"/>
            </w:tcBorders>
            <w:shd w:val="clear" w:color="auto" w:fill="auto"/>
            <w:vAlign w:val="center"/>
          </w:tcPr>
          <w:p>
            <w:pPr>
              <w:pStyle w:val="103"/>
            </w:pPr>
            <w:r>
              <w:t>　</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2</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　</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2</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224</w:t>
            </w:r>
          </w:p>
        </w:tc>
        <w:tc>
          <w:tcPr>
            <w:tcW w:w="4266" w:type="dxa"/>
            <w:tcBorders>
              <w:top w:val="nil"/>
              <w:left w:val="nil"/>
              <w:bottom w:val="single" w:color="auto" w:sz="4" w:space="0"/>
              <w:right w:val="single" w:color="auto" w:sz="4" w:space="0"/>
            </w:tcBorders>
            <w:shd w:val="clear" w:color="auto" w:fill="auto"/>
            <w:vAlign w:val="center"/>
          </w:tcPr>
          <w:p>
            <w:pPr>
              <w:pStyle w:val="103"/>
            </w:pPr>
            <w:r>
              <w:t>黄河大桥进城卡口</w:t>
            </w:r>
          </w:p>
        </w:tc>
        <w:tc>
          <w:tcPr>
            <w:tcW w:w="1172" w:type="dxa"/>
            <w:tcBorders>
              <w:top w:val="nil"/>
              <w:left w:val="nil"/>
              <w:bottom w:val="single" w:color="auto" w:sz="4" w:space="0"/>
              <w:right w:val="single" w:color="auto" w:sz="4" w:space="0"/>
            </w:tcBorders>
            <w:shd w:val="clear" w:color="auto" w:fill="auto"/>
            <w:vAlign w:val="center"/>
          </w:tcPr>
          <w:p>
            <w:pPr>
              <w:pStyle w:val="103"/>
            </w:pPr>
            <w:r>
              <w:t>　</w:t>
            </w:r>
          </w:p>
        </w:tc>
        <w:tc>
          <w:tcPr>
            <w:tcW w:w="1143" w:type="dxa"/>
            <w:tcBorders>
              <w:top w:val="nil"/>
              <w:left w:val="nil"/>
              <w:bottom w:val="single" w:color="auto" w:sz="4" w:space="0"/>
              <w:right w:val="single" w:color="auto" w:sz="4" w:space="0"/>
            </w:tcBorders>
            <w:shd w:val="clear" w:color="auto" w:fill="auto"/>
            <w:vAlign w:val="center"/>
          </w:tcPr>
          <w:p>
            <w:pPr>
              <w:pStyle w:val="103"/>
            </w:pPr>
            <w:r>
              <w:t>　</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4</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　</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4</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225</w:t>
            </w:r>
          </w:p>
        </w:tc>
        <w:tc>
          <w:tcPr>
            <w:tcW w:w="4266" w:type="dxa"/>
            <w:tcBorders>
              <w:top w:val="nil"/>
              <w:left w:val="nil"/>
              <w:bottom w:val="single" w:color="auto" w:sz="4" w:space="0"/>
              <w:right w:val="single" w:color="auto" w:sz="4" w:space="0"/>
            </w:tcBorders>
            <w:shd w:val="clear" w:color="auto" w:fill="auto"/>
            <w:vAlign w:val="center"/>
          </w:tcPr>
          <w:p>
            <w:pPr>
              <w:pStyle w:val="103"/>
            </w:pPr>
            <w:r>
              <w:t>马兰滩绕城路卡口</w:t>
            </w:r>
          </w:p>
        </w:tc>
        <w:tc>
          <w:tcPr>
            <w:tcW w:w="1172" w:type="dxa"/>
            <w:tcBorders>
              <w:top w:val="nil"/>
              <w:left w:val="nil"/>
              <w:bottom w:val="single" w:color="auto" w:sz="4" w:space="0"/>
              <w:right w:val="single" w:color="auto" w:sz="4" w:space="0"/>
            </w:tcBorders>
            <w:shd w:val="clear" w:color="auto" w:fill="auto"/>
            <w:vAlign w:val="center"/>
          </w:tcPr>
          <w:p>
            <w:pPr>
              <w:pStyle w:val="103"/>
            </w:pPr>
            <w:r>
              <w:t>　</w:t>
            </w:r>
          </w:p>
        </w:tc>
        <w:tc>
          <w:tcPr>
            <w:tcW w:w="1143" w:type="dxa"/>
            <w:tcBorders>
              <w:top w:val="nil"/>
              <w:left w:val="nil"/>
              <w:bottom w:val="single" w:color="auto" w:sz="4" w:space="0"/>
              <w:right w:val="single" w:color="auto" w:sz="4" w:space="0"/>
            </w:tcBorders>
            <w:shd w:val="clear" w:color="auto" w:fill="auto"/>
            <w:vAlign w:val="center"/>
          </w:tcPr>
          <w:p>
            <w:pPr>
              <w:pStyle w:val="103"/>
            </w:pPr>
            <w:r>
              <w:t>　</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2</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　</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2</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226</w:t>
            </w:r>
          </w:p>
        </w:tc>
        <w:tc>
          <w:tcPr>
            <w:tcW w:w="4266" w:type="dxa"/>
            <w:tcBorders>
              <w:top w:val="nil"/>
              <w:left w:val="nil"/>
              <w:bottom w:val="single" w:color="auto" w:sz="4" w:space="0"/>
              <w:right w:val="single" w:color="auto" w:sz="4" w:space="0"/>
            </w:tcBorders>
            <w:shd w:val="clear" w:color="auto" w:fill="auto"/>
            <w:vAlign w:val="center"/>
          </w:tcPr>
          <w:p>
            <w:pPr>
              <w:pStyle w:val="103"/>
            </w:pPr>
            <w:r>
              <w:t>马兰滩监控</w:t>
            </w:r>
          </w:p>
        </w:tc>
        <w:tc>
          <w:tcPr>
            <w:tcW w:w="1172" w:type="dxa"/>
            <w:tcBorders>
              <w:top w:val="nil"/>
              <w:left w:val="nil"/>
              <w:bottom w:val="single" w:color="auto" w:sz="4" w:space="0"/>
              <w:right w:val="single" w:color="auto" w:sz="4" w:space="0"/>
            </w:tcBorders>
            <w:shd w:val="clear" w:color="auto" w:fill="auto"/>
            <w:vAlign w:val="center"/>
          </w:tcPr>
          <w:p>
            <w:pPr>
              <w:pStyle w:val="103"/>
            </w:pPr>
            <w:r>
              <w:t>10</w:t>
            </w:r>
          </w:p>
        </w:tc>
        <w:tc>
          <w:tcPr>
            <w:tcW w:w="1143" w:type="dxa"/>
            <w:tcBorders>
              <w:top w:val="nil"/>
              <w:left w:val="nil"/>
              <w:bottom w:val="single" w:color="auto" w:sz="4" w:space="0"/>
              <w:right w:val="single" w:color="auto" w:sz="4" w:space="0"/>
            </w:tcBorders>
            <w:shd w:val="clear" w:color="auto" w:fill="auto"/>
            <w:vAlign w:val="center"/>
          </w:tcPr>
          <w:p>
            <w:pPr>
              <w:pStyle w:val="103"/>
            </w:pPr>
            <w:r>
              <w:t>35</w:t>
            </w:r>
          </w:p>
        </w:tc>
        <w:tc>
          <w:tcPr>
            <w:tcW w:w="641" w:type="dxa"/>
            <w:tcBorders>
              <w:top w:val="nil"/>
              <w:left w:val="nil"/>
              <w:bottom w:val="single" w:color="auto" w:sz="4" w:space="0"/>
              <w:right w:val="single" w:color="auto" w:sz="4" w:space="0"/>
            </w:tcBorders>
            <w:shd w:val="clear" w:color="auto" w:fill="auto"/>
            <w:vAlign w:val="center"/>
          </w:tcPr>
          <w:p>
            <w:pPr>
              <w:pStyle w:val="103"/>
            </w:pPr>
            <w:r>
              <w:t>　</w:t>
            </w:r>
          </w:p>
        </w:tc>
        <w:tc>
          <w:tcPr>
            <w:tcW w:w="709" w:type="dxa"/>
            <w:tcBorders>
              <w:top w:val="nil"/>
              <w:left w:val="nil"/>
              <w:bottom w:val="single" w:color="auto" w:sz="4" w:space="0"/>
              <w:right w:val="single" w:color="auto" w:sz="4" w:space="0"/>
            </w:tcBorders>
            <w:shd w:val="clear" w:color="auto" w:fill="auto"/>
            <w:vAlign w:val="center"/>
          </w:tcPr>
          <w:p>
            <w:pPr>
              <w:pStyle w:val="103"/>
            </w:pPr>
            <w:r>
              <w:t>　</w:t>
            </w:r>
          </w:p>
        </w:tc>
        <w:tc>
          <w:tcPr>
            <w:tcW w:w="1101" w:type="dxa"/>
            <w:tcBorders>
              <w:top w:val="nil"/>
              <w:left w:val="nil"/>
              <w:bottom w:val="single" w:color="auto" w:sz="4" w:space="0"/>
              <w:right w:val="single" w:color="auto" w:sz="4" w:space="0"/>
            </w:tcBorders>
            <w:shd w:val="clear" w:color="auto" w:fill="auto"/>
            <w:vAlign w:val="center"/>
          </w:tcPr>
          <w:p>
            <w:pPr>
              <w:pStyle w:val="103"/>
            </w:pPr>
            <w:r>
              <w:t>　</w:t>
            </w:r>
          </w:p>
        </w:tc>
        <w:tc>
          <w:tcPr>
            <w:tcW w:w="793" w:type="dxa"/>
            <w:tcBorders>
              <w:top w:val="nil"/>
              <w:left w:val="nil"/>
              <w:bottom w:val="single" w:color="auto" w:sz="4" w:space="0"/>
              <w:right w:val="single" w:color="auto" w:sz="4" w:space="0"/>
            </w:tcBorders>
            <w:shd w:val="clear" w:color="auto" w:fill="auto"/>
            <w:noWrap/>
            <w:vAlign w:val="center"/>
          </w:tcPr>
          <w:p>
            <w:pPr>
              <w:pStyle w:val="103"/>
            </w:pPr>
            <w:r>
              <w:t>　</w:t>
            </w:r>
          </w:p>
        </w:tc>
        <w:tc>
          <w:tcPr>
            <w:tcW w:w="975" w:type="dxa"/>
            <w:tcBorders>
              <w:top w:val="nil"/>
              <w:left w:val="nil"/>
              <w:bottom w:val="single" w:color="auto" w:sz="4" w:space="0"/>
              <w:right w:val="single" w:color="auto" w:sz="4" w:space="0"/>
            </w:tcBorders>
            <w:shd w:val="clear" w:color="auto" w:fill="auto"/>
            <w:noWrap/>
            <w:vAlign w:val="center"/>
          </w:tcPr>
          <w:p>
            <w:pPr>
              <w:pStyle w:val="103"/>
            </w:pPr>
            <w:r>
              <w:t>　</w:t>
            </w:r>
          </w:p>
        </w:tc>
        <w:tc>
          <w:tcPr>
            <w:tcW w:w="658" w:type="dxa"/>
            <w:tcBorders>
              <w:top w:val="nil"/>
              <w:left w:val="nil"/>
              <w:bottom w:val="single" w:color="auto" w:sz="4" w:space="0"/>
              <w:right w:val="single" w:color="auto" w:sz="4" w:space="0"/>
            </w:tcBorders>
            <w:shd w:val="clear" w:color="auto" w:fill="auto"/>
            <w:noWrap/>
            <w:vAlign w:val="center"/>
          </w:tcPr>
          <w:p>
            <w:pPr>
              <w:pStyle w:val="103"/>
            </w:pPr>
            <w:r>
              <w:t>　</w:t>
            </w:r>
          </w:p>
        </w:tc>
        <w:tc>
          <w:tcPr>
            <w:tcW w:w="1045" w:type="dxa"/>
            <w:tcBorders>
              <w:top w:val="nil"/>
              <w:left w:val="nil"/>
              <w:bottom w:val="single" w:color="auto" w:sz="4" w:space="0"/>
              <w:right w:val="single" w:color="auto" w:sz="4" w:space="0"/>
            </w:tcBorders>
            <w:shd w:val="clear" w:color="auto" w:fill="auto"/>
            <w:noWrap/>
            <w:vAlign w:val="center"/>
          </w:tcPr>
          <w:p>
            <w:pPr>
              <w:pStyle w:val="103"/>
            </w:pPr>
            <w:r>
              <w:t>　</w:t>
            </w:r>
          </w:p>
        </w:tc>
        <w:tc>
          <w:tcPr>
            <w:tcW w:w="961" w:type="dxa"/>
            <w:tcBorders>
              <w:top w:val="nil"/>
              <w:left w:val="nil"/>
              <w:bottom w:val="single" w:color="auto" w:sz="4" w:space="0"/>
              <w:right w:val="single" w:color="auto" w:sz="4" w:space="0"/>
            </w:tcBorders>
            <w:shd w:val="clear" w:color="auto" w:fill="auto"/>
            <w:noWrap/>
            <w:vAlign w:val="center"/>
          </w:tcPr>
          <w:p>
            <w:pPr>
              <w:pStyle w:val="103"/>
            </w:pPr>
            <w:r>
              <w:t>　</w:t>
            </w:r>
          </w:p>
        </w:tc>
      </w:tr>
      <w:tr>
        <w:tblPrEx>
          <w:tblCellMar>
            <w:top w:w="0" w:type="dxa"/>
            <w:left w:w="108" w:type="dxa"/>
            <w:bottom w:w="0" w:type="dxa"/>
            <w:right w:w="108" w:type="dxa"/>
          </w:tblCellMar>
        </w:tblPrEx>
        <w:trPr>
          <w:trHeight w:val="288" w:hRule="atLeast"/>
        </w:trPr>
        <w:tc>
          <w:tcPr>
            <w:tcW w:w="484" w:type="dxa"/>
            <w:tcBorders>
              <w:top w:val="nil"/>
              <w:left w:val="single" w:color="auto" w:sz="4" w:space="0"/>
              <w:bottom w:val="single" w:color="auto" w:sz="4" w:space="0"/>
              <w:right w:val="single" w:color="auto" w:sz="4" w:space="0"/>
            </w:tcBorders>
            <w:shd w:val="clear" w:color="auto" w:fill="auto"/>
            <w:noWrap/>
            <w:vAlign w:val="center"/>
          </w:tcPr>
          <w:p>
            <w:pPr>
              <w:pStyle w:val="103"/>
            </w:pPr>
            <w:r>
              <w:t>　</w:t>
            </w:r>
          </w:p>
        </w:tc>
        <w:tc>
          <w:tcPr>
            <w:tcW w:w="4266" w:type="dxa"/>
            <w:tcBorders>
              <w:top w:val="nil"/>
              <w:left w:val="nil"/>
              <w:bottom w:val="single" w:color="auto" w:sz="4" w:space="0"/>
              <w:right w:val="single" w:color="auto" w:sz="4" w:space="0"/>
            </w:tcBorders>
            <w:shd w:val="clear" w:color="auto" w:fill="auto"/>
            <w:vAlign w:val="center"/>
          </w:tcPr>
          <w:p>
            <w:pPr>
              <w:pStyle w:val="103"/>
            </w:pPr>
            <w:r>
              <w:t>合计</w:t>
            </w:r>
          </w:p>
        </w:tc>
        <w:tc>
          <w:tcPr>
            <w:tcW w:w="1172" w:type="dxa"/>
            <w:tcBorders>
              <w:top w:val="nil"/>
              <w:left w:val="nil"/>
              <w:bottom w:val="single" w:color="auto" w:sz="4" w:space="0"/>
              <w:right w:val="single" w:color="auto" w:sz="4" w:space="0"/>
            </w:tcBorders>
            <w:shd w:val="clear" w:color="auto" w:fill="auto"/>
            <w:vAlign w:val="center"/>
          </w:tcPr>
          <w:p>
            <w:pPr>
              <w:pStyle w:val="103"/>
            </w:pPr>
            <w:r>
              <w:t>160</w:t>
            </w:r>
          </w:p>
        </w:tc>
        <w:tc>
          <w:tcPr>
            <w:tcW w:w="1143" w:type="dxa"/>
            <w:tcBorders>
              <w:top w:val="nil"/>
              <w:left w:val="nil"/>
              <w:bottom w:val="single" w:color="auto" w:sz="4" w:space="0"/>
              <w:right w:val="single" w:color="auto" w:sz="4" w:space="0"/>
            </w:tcBorders>
            <w:shd w:val="clear" w:color="auto" w:fill="auto"/>
            <w:vAlign w:val="center"/>
          </w:tcPr>
          <w:p>
            <w:pPr>
              <w:pStyle w:val="103"/>
            </w:pPr>
            <w:r>
              <w:t>335</w:t>
            </w:r>
          </w:p>
        </w:tc>
        <w:tc>
          <w:tcPr>
            <w:tcW w:w="641" w:type="dxa"/>
            <w:tcBorders>
              <w:top w:val="nil"/>
              <w:left w:val="nil"/>
              <w:bottom w:val="single" w:color="auto" w:sz="4" w:space="0"/>
              <w:right w:val="single" w:color="auto" w:sz="4" w:space="0"/>
            </w:tcBorders>
            <w:shd w:val="clear" w:color="auto" w:fill="auto"/>
            <w:vAlign w:val="center"/>
          </w:tcPr>
          <w:p>
            <w:pPr>
              <w:pStyle w:val="103"/>
            </w:pPr>
            <w:r>
              <w:t>127</w:t>
            </w:r>
          </w:p>
        </w:tc>
        <w:tc>
          <w:tcPr>
            <w:tcW w:w="709" w:type="dxa"/>
            <w:tcBorders>
              <w:top w:val="nil"/>
              <w:left w:val="nil"/>
              <w:bottom w:val="single" w:color="auto" w:sz="4" w:space="0"/>
              <w:right w:val="single" w:color="auto" w:sz="4" w:space="0"/>
            </w:tcBorders>
            <w:shd w:val="clear" w:color="auto" w:fill="auto"/>
            <w:vAlign w:val="center"/>
          </w:tcPr>
          <w:p>
            <w:pPr>
              <w:pStyle w:val="103"/>
            </w:pPr>
            <w:r>
              <w:t>63</w:t>
            </w:r>
          </w:p>
        </w:tc>
        <w:tc>
          <w:tcPr>
            <w:tcW w:w="1101" w:type="dxa"/>
            <w:tcBorders>
              <w:top w:val="nil"/>
              <w:left w:val="nil"/>
              <w:bottom w:val="single" w:color="auto" w:sz="4" w:space="0"/>
              <w:right w:val="single" w:color="auto" w:sz="4" w:space="0"/>
            </w:tcBorders>
            <w:shd w:val="clear" w:color="auto" w:fill="auto"/>
            <w:vAlign w:val="center"/>
          </w:tcPr>
          <w:p>
            <w:pPr>
              <w:pStyle w:val="103"/>
            </w:pPr>
            <w:r>
              <w:t>19</w:t>
            </w:r>
          </w:p>
        </w:tc>
        <w:tc>
          <w:tcPr>
            <w:tcW w:w="793" w:type="dxa"/>
            <w:tcBorders>
              <w:top w:val="nil"/>
              <w:left w:val="nil"/>
              <w:bottom w:val="single" w:color="auto" w:sz="4" w:space="0"/>
              <w:right w:val="single" w:color="auto" w:sz="4" w:space="0"/>
            </w:tcBorders>
            <w:shd w:val="clear" w:color="auto" w:fill="auto"/>
            <w:vAlign w:val="center"/>
          </w:tcPr>
          <w:p>
            <w:pPr>
              <w:pStyle w:val="103"/>
            </w:pPr>
            <w:r>
              <w:t>5</w:t>
            </w:r>
          </w:p>
        </w:tc>
        <w:tc>
          <w:tcPr>
            <w:tcW w:w="975" w:type="dxa"/>
            <w:tcBorders>
              <w:top w:val="nil"/>
              <w:left w:val="nil"/>
              <w:bottom w:val="single" w:color="auto" w:sz="4" w:space="0"/>
              <w:right w:val="single" w:color="auto" w:sz="4" w:space="0"/>
            </w:tcBorders>
            <w:shd w:val="clear" w:color="auto" w:fill="auto"/>
            <w:vAlign w:val="center"/>
          </w:tcPr>
          <w:p>
            <w:pPr>
              <w:pStyle w:val="103"/>
            </w:pPr>
            <w:r>
              <w:t>142</w:t>
            </w:r>
          </w:p>
        </w:tc>
        <w:tc>
          <w:tcPr>
            <w:tcW w:w="658" w:type="dxa"/>
            <w:tcBorders>
              <w:top w:val="nil"/>
              <w:left w:val="nil"/>
              <w:bottom w:val="single" w:color="auto" w:sz="4" w:space="0"/>
              <w:right w:val="single" w:color="auto" w:sz="4" w:space="0"/>
            </w:tcBorders>
            <w:shd w:val="clear" w:color="auto" w:fill="auto"/>
            <w:vAlign w:val="center"/>
          </w:tcPr>
          <w:p>
            <w:pPr>
              <w:pStyle w:val="103"/>
            </w:pPr>
            <w:r>
              <w:t>189</w:t>
            </w:r>
          </w:p>
        </w:tc>
        <w:tc>
          <w:tcPr>
            <w:tcW w:w="1045" w:type="dxa"/>
            <w:tcBorders>
              <w:top w:val="nil"/>
              <w:left w:val="nil"/>
              <w:bottom w:val="single" w:color="auto" w:sz="4" w:space="0"/>
              <w:right w:val="single" w:color="auto" w:sz="4" w:space="0"/>
            </w:tcBorders>
            <w:shd w:val="clear" w:color="auto" w:fill="auto"/>
            <w:vAlign w:val="center"/>
          </w:tcPr>
          <w:p>
            <w:pPr>
              <w:pStyle w:val="103"/>
            </w:pPr>
            <w:r>
              <w:t>295</w:t>
            </w:r>
          </w:p>
        </w:tc>
        <w:tc>
          <w:tcPr>
            <w:tcW w:w="961" w:type="dxa"/>
            <w:tcBorders>
              <w:top w:val="nil"/>
              <w:left w:val="nil"/>
              <w:bottom w:val="single" w:color="auto" w:sz="4" w:space="0"/>
              <w:right w:val="single" w:color="auto" w:sz="4" w:space="0"/>
            </w:tcBorders>
            <w:shd w:val="clear" w:color="auto" w:fill="auto"/>
            <w:vAlign w:val="center"/>
          </w:tcPr>
          <w:p>
            <w:pPr>
              <w:pStyle w:val="103"/>
            </w:pPr>
            <w:r>
              <w:t>56</w:t>
            </w:r>
          </w:p>
        </w:tc>
      </w:tr>
    </w:tbl>
    <w:p/>
    <w:sectPr>
      <w:headerReference r:id="rId15" w:type="default"/>
      <w:pgSz w:w="16838" w:h="11906" w:orient="landscape"/>
      <w:pgMar w:top="1287" w:right="1440" w:bottom="1287" w:left="1440" w:header="851" w:footer="992"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E0002AFF" w:usb1="C0007843" w:usb2="00000009" w:usb3="00000000" w:csb0="400001FF" w:csb1="FFFF0000"/>
  </w:font>
  <w:font w:name="DejaVuSans">
    <w:altName w:val="宋体"/>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Book Antiqua">
    <w:panose1 w:val="02040602050305030304"/>
    <w:charset w:val="00"/>
    <w:family w:val="roman"/>
    <w:pitch w:val="default"/>
    <w:sig w:usb0="00000287" w:usb1="00000000" w:usb2="00000000" w:usb3="00000000" w:csb0="2000009F" w:csb1="DFD70000"/>
  </w:font>
  <w:font w:name="华文宋体">
    <w:altName w:val="宋体"/>
    <w:panose1 w:val="02010600040101010101"/>
    <w:charset w:val="86"/>
    <w:family w:val="auto"/>
    <w:pitch w:val="default"/>
    <w:sig w:usb0="00000000" w:usb1="00000000" w:usb2="00000010" w:usb3="00000000" w:csb0="0004009F"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643"/>
      <w:rPr>
        <w:caps/>
        <w:color w:val="5B9BD5" w:themeColor="accent1"/>
        <w14:textFill>
          <w14:solidFill>
            <w14:schemeClr w14:val="accent1"/>
          </w14:solidFill>
        </w14:textFil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sz w:val="18"/>
        <w:szCs w:val="18"/>
      </w:rPr>
    </w:pPr>
    <w:r>
      <w:rPr>
        <w:sz w:val="18"/>
        <w:szCs w:val="18"/>
      </w:rPr>
      <mc:AlternateContent>
        <mc:Choice Requires="wps">
          <w:drawing>
            <wp:anchor distT="0" distB="0" distL="114300" distR="114300" simplePos="0" relativeHeight="251659264" behindDoc="0" locked="0" layoutInCell="1" allowOverlap="1">
              <wp:simplePos x="0" y="0"/>
              <wp:positionH relativeFrom="column">
                <wp:posOffset>1130935</wp:posOffset>
              </wp:positionH>
              <wp:positionV relativeFrom="paragraph">
                <wp:posOffset>9867900</wp:posOffset>
              </wp:positionV>
              <wp:extent cx="5299075" cy="0"/>
              <wp:effectExtent l="0" t="0" r="15875" b="19050"/>
              <wp:wrapNone/>
              <wp:docPr id="4" name="直接连接符 4"/>
              <wp:cNvGraphicFramePr/>
              <a:graphic xmlns:a="http://schemas.openxmlformats.org/drawingml/2006/main">
                <a:graphicData uri="http://schemas.microsoft.com/office/word/2010/wordprocessingShape">
                  <wps:wsp>
                    <wps:cNvCnPr>
                      <a:cxnSpLocks noChangeShapeType="1"/>
                    </wps:cNvCnPr>
                    <wps:spPr bwMode="auto">
                      <a:xfrm flipV="1">
                        <a:off x="0" y="0"/>
                        <a:ext cx="5299075" cy="0"/>
                      </a:xfrm>
                      <a:prstGeom prst="line">
                        <a:avLst/>
                      </a:prstGeom>
                      <a:noFill/>
                      <a:ln w="3175">
                        <a:solidFill>
                          <a:srgbClr val="000000"/>
                        </a:solidFill>
                        <a:round/>
                      </a:ln>
                    </wps:spPr>
                    <wps:bodyPr/>
                  </wps:wsp>
                </a:graphicData>
              </a:graphic>
            </wp:anchor>
          </w:drawing>
        </mc:Choice>
        <mc:Fallback>
          <w:pict>
            <v:line id="_x0000_s1026" o:spid="_x0000_s1026" o:spt="20" style="position:absolute;left:0pt;flip:y;margin-left:89.05pt;margin-top:777pt;height:0pt;width:417.25pt;z-index:251659264;mso-width-relative:page;mso-height-relative:page;" filled="f" stroked="t" coordsize="21600,21600" o:gfxdata="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68a44NYA&#10;AAAOAQAADwAAAAAAAAABACAAAAAiAAAAZHJzL2Rvd25yZXYueG1sUEsBAhQAFAAAAAgAh07iQOI4&#10;d77oAQAAtAMAAA4AAAAAAAAAAQAgAAAAJQEAAGRycy9lMm9Eb2MueG1sUEsFBgAAAAAGAAYAWQEA&#10;AH8FAAAAAA==&#10;">
              <v:fill on="f" focussize="0,0"/>
              <v:stroke weight="0.25pt" color="#000000" joinstyle="round"/>
              <v:imagedata o:title=""/>
              <o:lock v:ext="edit" aspectratio="f"/>
            </v:line>
          </w:pict>
        </mc:Fallback>
      </mc:AlternateContent>
    </w:r>
    <w:r>
      <w:rPr>
        <w:sz w:val="18"/>
        <w:szCs w:val="18"/>
      </w:rPr>
      <w:t>第</w:t>
    </w: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22</w:t>
    </w:r>
    <w:r>
      <w:rPr>
        <w:sz w:val="18"/>
        <w:szCs w:val="18"/>
      </w:rPr>
      <w:fldChar w:fldCharType="end"/>
    </w:r>
    <w:r>
      <w:rPr>
        <w:sz w:val="18"/>
        <w:szCs w:val="18"/>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spacing w:after="2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r>
      <w:rPr>
        <w:rFonts w:hint="eastAsia"/>
      </w:rPr>
      <w:t xml:space="preserve">         </w:t>
    </w:r>
    <w:r>
      <w:t xml:space="preserve"> </w:t>
    </w:r>
    <w:r>
      <w:rPr>
        <w:rFonts w:hint="eastAsia"/>
      </w:rPr>
      <w:t xml:space="preserve">   </w:t>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r>
      <w:rPr>
        <w:rFonts w:hint="eastAsia"/>
      </w:rPr>
      <w:t xml:space="preserve">         </w:t>
    </w:r>
    <w:r>
      <w:t xml:space="preserve"> </w:t>
    </w:r>
    <w:r>
      <w:rPr>
        <w:rFonts w:hint="eastAsia"/>
      </w:rPr>
      <w:t xml:space="preserve">   </w:t>
    </w: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055150"/>
    <w:multiLevelType w:val="singleLevel"/>
    <w:tmpl w:val="D1055150"/>
    <w:lvl w:ilvl="0" w:tentative="0">
      <w:start w:val="1"/>
      <w:numFmt w:val="decimal"/>
      <w:suff w:val="space"/>
      <w:lvlText w:val="%1."/>
      <w:lvlJc w:val="left"/>
    </w:lvl>
  </w:abstractNum>
  <w:abstractNum w:abstractNumId="1">
    <w:nsid w:val="042F2BAB"/>
    <w:multiLevelType w:val="multilevel"/>
    <w:tmpl w:val="042F2BAB"/>
    <w:lvl w:ilvl="0" w:tentative="0">
      <w:start w:val="1"/>
      <w:numFmt w:val="bullet"/>
      <w:lvlText w:val=""/>
      <w:lvlJc w:val="righ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
    <w:nsid w:val="04CC2927"/>
    <w:multiLevelType w:val="multilevel"/>
    <w:tmpl w:val="04CC2927"/>
    <w:lvl w:ilvl="0" w:tentative="0">
      <w:start w:val="1"/>
      <w:numFmt w:val="decimal"/>
      <w:pStyle w:val="72"/>
      <w:lvlText w:val="(%1)"/>
      <w:lvlJc w:val="left"/>
      <w:pPr>
        <w:tabs>
          <w:tab w:val="left" w:pos="200"/>
        </w:tabs>
        <w:ind w:left="0" w:firstLine="482"/>
      </w:pPr>
      <w:rPr>
        <w:rFonts w:hint="default" w:ascii="Times New Roman" w:hAnsi="Times New Roman" w:eastAsia="宋体" w:cs="Times New Roman"/>
        <w:b w:val="0"/>
        <w:i w:val="0"/>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C5C66B2"/>
    <w:multiLevelType w:val="multilevel"/>
    <w:tmpl w:val="0C5C66B2"/>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2C0B4E63"/>
    <w:multiLevelType w:val="multilevel"/>
    <w:tmpl w:val="2C0B4E63"/>
    <w:lvl w:ilvl="0" w:tentative="0">
      <w:start w:val="1"/>
      <w:numFmt w:val="bullet"/>
      <w:lvlText w:val=""/>
      <w:lvlJc w:val="righ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3321265A"/>
    <w:multiLevelType w:val="multilevel"/>
    <w:tmpl w:val="3321265A"/>
    <w:lvl w:ilvl="0" w:tentative="0">
      <w:start w:val="1"/>
      <w:numFmt w:val="decimal"/>
      <w:pStyle w:val="79"/>
      <w:lvlText w:val="(%1)"/>
      <w:lvlJc w:val="left"/>
      <w:pPr>
        <w:tabs>
          <w:tab w:val="left" w:pos="0"/>
        </w:tabs>
        <w:ind w:left="0" w:firstLine="482"/>
      </w:pPr>
      <w:rPr>
        <w:rFonts w:hint="eastAsia"/>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6">
    <w:nsid w:val="372C54A4"/>
    <w:multiLevelType w:val="multilevel"/>
    <w:tmpl w:val="372C54A4"/>
    <w:lvl w:ilvl="0" w:tentative="0">
      <w:start w:val="1"/>
      <w:numFmt w:val="chineseCountingThousand"/>
      <w:lvlText w:val="%1."/>
      <w:lvlJc w:val="left"/>
      <w:pPr>
        <w:tabs>
          <w:tab w:val="left" w:pos="360"/>
        </w:tabs>
        <w:ind w:left="0" w:firstLine="0"/>
      </w:pPr>
      <w:rPr>
        <w:rFonts w:hint="eastAsia"/>
      </w:rPr>
    </w:lvl>
    <w:lvl w:ilvl="1" w:tentative="0">
      <w:start w:val="1"/>
      <w:numFmt w:val="decimal"/>
      <w:lvlText w:val="%2."/>
      <w:lvlJc w:val="left"/>
      <w:pPr>
        <w:tabs>
          <w:tab w:val="left" w:pos="360"/>
        </w:tabs>
        <w:ind w:left="0" w:firstLine="0"/>
      </w:pPr>
      <w:rPr>
        <w:rFonts w:hint="eastAsia"/>
      </w:rPr>
    </w:lvl>
    <w:lvl w:ilvl="2" w:tentative="0">
      <w:start w:val="1"/>
      <w:numFmt w:val="decimal"/>
      <w:lvlText w:val="%2.%3."/>
      <w:lvlJc w:val="left"/>
      <w:pPr>
        <w:tabs>
          <w:tab w:val="left" w:pos="720"/>
        </w:tabs>
        <w:ind w:left="0" w:firstLine="0"/>
      </w:pPr>
      <w:rPr>
        <w:rFonts w:hint="eastAsia"/>
      </w:rPr>
    </w:lvl>
    <w:lvl w:ilvl="3" w:tentative="0">
      <w:start w:val="1"/>
      <w:numFmt w:val="decimal"/>
      <w:lvlText w:val="%2.%3.%4."/>
      <w:lvlJc w:val="left"/>
      <w:pPr>
        <w:tabs>
          <w:tab w:val="left" w:pos="1080"/>
        </w:tabs>
        <w:ind w:left="0" w:firstLine="0"/>
      </w:pPr>
      <w:rPr>
        <w:rFonts w:hint="default" w:ascii="Times New Roman" w:hAnsi="Times New Roman" w:cs="Times New Roman"/>
        <w:sz w:val="28"/>
        <w:szCs w:val="28"/>
      </w:rPr>
    </w:lvl>
    <w:lvl w:ilvl="4" w:tentative="0">
      <w:start w:val="1"/>
      <w:numFmt w:val="decimal"/>
      <w:lvlText w:val="%2.%3.%4.%5."/>
      <w:lvlJc w:val="left"/>
      <w:pPr>
        <w:tabs>
          <w:tab w:val="left" w:pos="1440"/>
        </w:tabs>
        <w:ind w:left="0" w:firstLine="0"/>
      </w:pPr>
      <w:rPr>
        <w:rFonts w:hint="default" w:ascii="Times New Roman" w:hAnsi="Times New Roman" w:cs="Times New Roman"/>
      </w:rPr>
    </w:lvl>
    <w:lvl w:ilvl="5" w:tentative="0">
      <w:start w:val="1"/>
      <w:numFmt w:val="decimal"/>
      <w:lvlText w:val="%2.%3.%4.%5.%6."/>
      <w:lvlJc w:val="left"/>
      <w:pPr>
        <w:tabs>
          <w:tab w:val="left" w:pos="1440"/>
        </w:tabs>
        <w:ind w:left="0" w:firstLine="0"/>
      </w:pPr>
    </w:lvl>
    <w:lvl w:ilvl="6" w:tentative="0">
      <w:start w:val="1"/>
      <w:numFmt w:val="decimal"/>
      <w:lvlText w:val="%2.%3.%4.%5.%6.%7."/>
      <w:lvlJc w:val="left"/>
      <w:pPr>
        <w:tabs>
          <w:tab w:val="left" w:pos="1800"/>
        </w:tabs>
        <w:ind w:left="0" w:firstLine="0"/>
      </w:pPr>
      <w:rPr>
        <w:rFonts w:hint="default" w:ascii="Times New Roman" w:hAnsi="Times New Roman" w:cs="Times New Roman"/>
      </w:rPr>
    </w:lvl>
    <w:lvl w:ilvl="7" w:tentative="0">
      <w:start w:val="1"/>
      <w:numFmt w:val="decimal"/>
      <w:lvlRestart w:val="1"/>
      <w:isLgl/>
      <w:lvlText w:val="表%1.%2.%3-%8"/>
      <w:lvlJc w:val="left"/>
      <w:pPr>
        <w:tabs>
          <w:tab w:val="left" w:pos="5415"/>
        </w:tabs>
        <w:ind w:left="3255" w:firstLine="0"/>
      </w:pPr>
    </w:lvl>
    <w:lvl w:ilvl="8" w:tentative="0">
      <w:start w:val="1"/>
      <w:numFmt w:val="decimal"/>
      <w:lvlRestart w:val="1"/>
      <w:isLgl/>
      <w:lvlText w:val="图%1.%2.%3-%9"/>
      <w:lvlJc w:val="left"/>
      <w:pPr>
        <w:tabs>
          <w:tab w:val="left" w:pos="2520"/>
        </w:tabs>
        <w:ind w:left="0" w:firstLine="0"/>
      </w:pPr>
      <w:rPr>
        <w:rFonts w:hint="default" w:ascii="Times New Roman" w:hAnsi="Times New Roman" w:cs="Times New Roman"/>
      </w:rPr>
    </w:lvl>
  </w:abstractNum>
  <w:abstractNum w:abstractNumId="7">
    <w:nsid w:val="3793386F"/>
    <w:multiLevelType w:val="multilevel"/>
    <w:tmpl w:val="3793386F"/>
    <w:lvl w:ilvl="0" w:tentative="0">
      <w:start w:val="1"/>
      <w:numFmt w:val="bullet"/>
      <w:lvlText w:val=""/>
      <w:lvlJc w:val="righ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8">
    <w:nsid w:val="3B0D17B4"/>
    <w:multiLevelType w:val="multilevel"/>
    <w:tmpl w:val="3B0D17B4"/>
    <w:lvl w:ilvl="0" w:tentative="0">
      <w:start w:val="1"/>
      <w:numFmt w:val="lowerLetter"/>
      <w:pStyle w:val="78"/>
      <w:lvlText w:val="(%1)"/>
      <w:lvlJc w:val="left"/>
      <w:pPr>
        <w:tabs>
          <w:tab w:val="left" w:pos="0"/>
        </w:tabs>
        <w:ind w:left="0" w:firstLine="482"/>
      </w:pPr>
      <w:rPr>
        <w:rFonts w:hint="eastAsia"/>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9">
    <w:nsid w:val="3E661A50"/>
    <w:multiLevelType w:val="multilevel"/>
    <w:tmpl w:val="3E661A5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0">
    <w:nsid w:val="496E4D7B"/>
    <w:multiLevelType w:val="multilevel"/>
    <w:tmpl w:val="496E4D7B"/>
    <w:lvl w:ilvl="0" w:tentative="0">
      <w:start w:val="0"/>
      <w:numFmt w:val="decimal"/>
      <w:pStyle w:val="83"/>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1">
    <w:nsid w:val="4BAC5435"/>
    <w:multiLevelType w:val="multilevel"/>
    <w:tmpl w:val="4BAC5435"/>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2">
    <w:nsid w:val="4C093C56"/>
    <w:multiLevelType w:val="multilevel"/>
    <w:tmpl w:val="4C093C56"/>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50ED5FB2"/>
    <w:multiLevelType w:val="multilevel"/>
    <w:tmpl w:val="50ED5FB2"/>
    <w:lvl w:ilvl="0" w:tentative="0">
      <w:start w:val="1"/>
      <w:numFmt w:val="bullet"/>
      <w:lvlText w:val=""/>
      <w:lvlJc w:val="righ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4">
    <w:nsid w:val="58296FF1"/>
    <w:multiLevelType w:val="multilevel"/>
    <w:tmpl w:val="58296FF1"/>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5">
    <w:nsid w:val="5F1A216B"/>
    <w:multiLevelType w:val="multilevel"/>
    <w:tmpl w:val="5F1A216B"/>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6">
    <w:nsid w:val="612353B0"/>
    <w:multiLevelType w:val="multilevel"/>
    <w:tmpl w:val="612353B0"/>
    <w:lvl w:ilvl="0" w:tentative="0">
      <w:start w:val="1"/>
      <w:numFmt w:val="upperLetter"/>
      <w:pStyle w:val="77"/>
      <w:lvlText w:val="(%1)"/>
      <w:lvlJc w:val="left"/>
      <w:pPr>
        <w:tabs>
          <w:tab w:val="left" w:pos="0"/>
        </w:tabs>
        <w:ind w:left="0" w:firstLine="482"/>
      </w:pPr>
      <w:rPr>
        <w:rFonts w:hint="eastAsia"/>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7">
    <w:nsid w:val="6CEA2025"/>
    <w:multiLevelType w:val="multilevel"/>
    <w:tmpl w:val="6CEA2025"/>
    <w:lvl w:ilvl="0" w:tentative="0">
      <w:start w:val="1"/>
      <w:numFmt w:val="none"/>
      <w:pStyle w:val="144"/>
      <w:suff w:val="nothing"/>
      <w:lvlText w:val="%1"/>
      <w:lvlJc w:val="left"/>
      <w:pPr>
        <w:ind w:left="0" w:firstLine="0"/>
      </w:pPr>
      <w:rPr>
        <w:rFonts w:hint="default" w:ascii="Times New Roman" w:hAnsi="Times New Roman"/>
        <w:b/>
        <w:i w:val="0"/>
        <w:sz w:val="21"/>
        <w:lang w:val="en-US"/>
      </w:rPr>
    </w:lvl>
    <w:lvl w:ilvl="1" w:tentative="0">
      <w:start w:val="1"/>
      <w:numFmt w:val="decimal"/>
      <w:pStyle w:val="146"/>
      <w:suff w:val="nothing"/>
      <w:lvlText w:val="%1%2　"/>
      <w:lvlJc w:val="left"/>
      <w:pPr>
        <w:ind w:left="0" w:firstLine="0"/>
      </w:pPr>
      <w:rPr>
        <w:rFonts w:hint="eastAsia" w:ascii="黑体" w:hAnsi="Times New Roman" w:eastAsia="黑体"/>
        <w:b w:val="0"/>
        <w:i w:val="0"/>
        <w:sz w:val="21"/>
      </w:rPr>
    </w:lvl>
    <w:lvl w:ilvl="2" w:tentative="0">
      <w:start w:val="1"/>
      <w:numFmt w:val="decimal"/>
      <w:pStyle w:val="145"/>
      <w:suff w:val="nothing"/>
      <w:lvlText w:val="%1%2.%3　"/>
      <w:lvlJc w:val="left"/>
      <w:pPr>
        <w:ind w:left="525" w:firstLine="0"/>
      </w:pPr>
      <w:rPr>
        <w:rFonts w:hint="eastAsia" w:ascii="黑体" w:hAnsi="Times New Roman" w:eastAsia="黑体"/>
        <w:b w:val="0"/>
        <w:i w:val="0"/>
        <w:sz w:val="21"/>
      </w:rPr>
    </w:lvl>
    <w:lvl w:ilvl="3" w:tentative="0">
      <w:start w:val="1"/>
      <w:numFmt w:val="decimal"/>
      <w:pStyle w:val="149"/>
      <w:suff w:val="nothing"/>
      <w:lvlText w:val="%1%2.%3.%4　"/>
      <w:lvlJc w:val="left"/>
      <w:pPr>
        <w:ind w:left="0" w:firstLine="0"/>
      </w:pPr>
      <w:rPr>
        <w:rFonts w:hint="eastAsia" w:ascii="黑体" w:hAnsi="Times New Roman" w:eastAsia="黑体"/>
        <w:b w:val="0"/>
        <w:i w:val="0"/>
        <w:sz w:val="21"/>
      </w:rPr>
    </w:lvl>
    <w:lvl w:ilvl="4" w:tentative="0">
      <w:start w:val="1"/>
      <w:numFmt w:val="decimal"/>
      <w:pStyle w:val="148"/>
      <w:suff w:val="nothing"/>
      <w:lvlText w:val="%1%2.%3.%4.%5　"/>
      <w:lvlJc w:val="left"/>
      <w:pPr>
        <w:ind w:left="0" w:firstLine="0"/>
      </w:pPr>
      <w:rPr>
        <w:rFonts w:hint="eastAsia" w:ascii="黑体" w:hAnsi="Times New Roman" w:eastAsia="黑体"/>
        <w:b w:val="0"/>
        <w:i w:val="0"/>
        <w:sz w:val="21"/>
      </w:rPr>
    </w:lvl>
    <w:lvl w:ilvl="5" w:tentative="0">
      <w:start w:val="1"/>
      <w:numFmt w:val="decimal"/>
      <w:pStyle w:val="150"/>
      <w:suff w:val="nothing"/>
      <w:lvlText w:val="%1%2.%3.%4.%5.%6　"/>
      <w:lvlJc w:val="left"/>
      <w:pPr>
        <w:ind w:left="0" w:firstLine="0"/>
      </w:pPr>
      <w:rPr>
        <w:rFonts w:hint="eastAsia" w:ascii="黑体" w:hAnsi="Times New Roman" w:eastAsia="黑体"/>
        <w:b w:val="0"/>
        <w:i w:val="0"/>
        <w:sz w:val="21"/>
      </w:rPr>
    </w:lvl>
    <w:lvl w:ilvl="6" w:tentative="0">
      <w:start w:val="1"/>
      <w:numFmt w:val="decimal"/>
      <w:pStyle w:val="147"/>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6"/>
    <w:lvlOverride w:ilvl="0">
      <w:lvl w:ilvl="0" w:tentative="1">
        <w:start w:val="1"/>
        <w:numFmt w:val="chineseCountingThousand"/>
        <w:pStyle w:val="2"/>
        <w:lvlText w:val="%1."/>
        <w:lvlJc w:val="left"/>
        <w:pPr>
          <w:tabs>
            <w:tab w:val="left" w:pos="360"/>
          </w:tabs>
          <w:ind w:left="0" w:firstLine="0"/>
        </w:pPr>
        <w:rPr>
          <w:rFonts w:hint="eastAsia"/>
        </w:rPr>
      </w:lvl>
    </w:lvlOverride>
    <w:lvlOverride w:ilvl="1">
      <w:lvl w:ilvl="1" w:tentative="1">
        <w:start w:val="1"/>
        <w:numFmt w:val="decimal"/>
        <w:pStyle w:val="3"/>
        <w:lvlText w:val="%2."/>
        <w:lvlJc w:val="left"/>
        <w:pPr>
          <w:tabs>
            <w:tab w:val="left" w:pos="360"/>
          </w:tabs>
          <w:ind w:left="0" w:firstLine="0"/>
        </w:pPr>
        <w:rPr>
          <w:rFonts w:hint="eastAsia"/>
        </w:rPr>
      </w:lvl>
    </w:lvlOverride>
    <w:lvlOverride w:ilvl="2">
      <w:lvl w:ilvl="2" w:tentative="1">
        <w:start w:val="1"/>
        <w:numFmt w:val="decimal"/>
        <w:pStyle w:val="4"/>
        <w:lvlText w:val="%2.%3."/>
        <w:lvlJc w:val="left"/>
        <w:pPr>
          <w:tabs>
            <w:tab w:val="left" w:pos="720"/>
          </w:tabs>
          <w:ind w:left="0" w:firstLine="0"/>
        </w:pPr>
        <w:rPr>
          <w:rFonts w:hint="eastAsia"/>
        </w:rPr>
      </w:lvl>
    </w:lvlOverride>
    <w:lvlOverride w:ilvl="3">
      <w:lvl w:ilvl="3" w:tentative="1">
        <w:start w:val="1"/>
        <w:numFmt w:val="decimal"/>
        <w:pStyle w:val="5"/>
        <w:lvlText w:val="%2.%3.%4."/>
        <w:lvlJc w:val="left"/>
        <w:pPr>
          <w:tabs>
            <w:tab w:val="left" w:pos="1080"/>
          </w:tabs>
          <w:ind w:left="0" w:firstLine="0"/>
        </w:pPr>
        <w:rPr>
          <w:rFonts w:hint="default" w:ascii="Times New Roman" w:hAnsi="Times New Roman" w:cs="Times New Roman"/>
          <w:sz w:val="28"/>
          <w:szCs w:val="28"/>
        </w:rPr>
      </w:lvl>
    </w:lvlOverride>
    <w:lvlOverride w:ilvl="4">
      <w:lvl w:ilvl="4" w:tentative="1">
        <w:start w:val="1"/>
        <w:numFmt w:val="decimal"/>
        <w:pStyle w:val="6"/>
        <w:lvlText w:val="%2.%3.%4.%5."/>
        <w:lvlJc w:val="left"/>
        <w:pPr>
          <w:tabs>
            <w:tab w:val="left" w:pos="1440"/>
          </w:tabs>
          <w:ind w:left="0" w:firstLine="0"/>
        </w:pPr>
        <w:rPr>
          <w:rFonts w:hint="default" w:ascii="Times New Roman" w:hAnsi="Times New Roman" w:cs="Times New Roman"/>
        </w:rPr>
      </w:lvl>
    </w:lvlOverride>
    <w:lvlOverride w:ilvl="5">
      <w:lvl w:ilvl="5" w:tentative="1">
        <w:start w:val="1"/>
        <w:numFmt w:val="decimal"/>
        <w:pStyle w:val="7"/>
        <w:lvlText w:val="%2.%3.%4.%5.%6."/>
        <w:lvlJc w:val="left"/>
        <w:pPr>
          <w:tabs>
            <w:tab w:val="left" w:pos="1440"/>
          </w:tabs>
          <w:ind w:left="0" w:firstLine="0"/>
        </w:pPr>
      </w:lvl>
    </w:lvlOverride>
    <w:lvlOverride w:ilvl="6">
      <w:lvl w:ilvl="6" w:tentative="1">
        <w:start w:val="1"/>
        <w:numFmt w:val="decimal"/>
        <w:pStyle w:val="8"/>
        <w:lvlText w:val="%2.%3.%4.%5.%6.%7."/>
        <w:lvlJc w:val="left"/>
        <w:pPr>
          <w:tabs>
            <w:tab w:val="left" w:pos="1800"/>
          </w:tabs>
          <w:ind w:left="0" w:firstLine="0"/>
        </w:pPr>
        <w:rPr>
          <w:rFonts w:hint="default" w:ascii="Times New Roman" w:hAnsi="Times New Roman" w:cs="Times New Roman"/>
        </w:rPr>
      </w:lvl>
    </w:lvlOverride>
    <w:lvlOverride w:ilvl="7">
      <w:lvl w:ilvl="7" w:tentative="1">
        <w:start w:val="1"/>
        <w:numFmt w:val="decimal"/>
        <w:lvlRestart w:val="1"/>
        <w:pStyle w:val="9"/>
        <w:isLgl/>
        <w:lvlText w:val="表%1.%2.%3-%8"/>
        <w:lvlJc w:val="left"/>
        <w:pPr>
          <w:tabs>
            <w:tab w:val="left" w:pos="5415"/>
          </w:tabs>
          <w:ind w:left="3255" w:firstLine="0"/>
        </w:pPr>
      </w:lvl>
    </w:lvlOverride>
    <w:lvlOverride w:ilvl="8">
      <w:lvl w:ilvl="8" w:tentative="1">
        <w:start w:val="1"/>
        <w:numFmt w:val="decimal"/>
        <w:lvlRestart w:val="1"/>
        <w:pStyle w:val="10"/>
        <w:isLgl/>
        <w:lvlText w:val="图%1.%2.%3-%9"/>
        <w:lvlJc w:val="left"/>
        <w:pPr>
          <w:tabs>
            <w:tab w:val="left" w:pos="2520"/>
          </w:tabs>
          <w:ind w:left="0" w:firstLine="0"/>
        </w:pPr>
        <w:rPr>
          <w:rFonts w:hint="default" w:ascii="Times New Roman" w:hAnsi="Times New Roman" w:cs="Times New Roman"/>
        </w:rPr>
      </w:lvl>
    </w:lvlOverride>
  </w:num>
  <w:num w:numId="2">
    <w:abstractNumId w:val="2"/>
  </w:num>
  <w:num w:numId="3">
    <w:abstractNumId w:val="16"/>
  </w:num>
  <w:num w:numId="4">
    <w:abstractNumId w:val="8"/>
  </w:num>
  <w:num w:numId="5">
    <w:abstractNumId w:val="5"/>
  </w:num>
  <w:num w:numId="6">
    <w:abstractNumId w:val="10"/>
  </w:num>
  <w:num w:numId="7">
    <w:abstractNumId w:val="17"/>
  </w:num>
  <w:num w:numId="8">
    <w:abstractNumId w:val="12"/>
  </w:num>
  <w:num w:numId="9">
    <w:abstractNumId w:val="11"/>
  </w:num>
  <w:num w:numId="10">
    <w:abstractNumId w:val="15"/>
  </w:num>
  <w:num w:numId="11">
    <w:abstractNumId w:val="9"/>
  </w:num>
  <w:num w:numId="12">
    <w:abstractNumId w:val="14"/>
  </w:num>
  <w:num w:numId="13">
    <w:abstractNumId w:val="3"/>
  </w:num>
  <w:num w:numId="14">
    <w:abstractNumId w:val="6"/>
  </w:num>
  <w:num w:numId="15">
    <w:abstractNumId w:val="13"/>
  </w:num>
  <w:num w:numId="16">
    <w:abstractNumId w:val="1"/>
  </w:num>
  <w:num w:numId="17">
    <w:abstractNumId w:val="4"/>
  </w:num>
  <w:num w:numId="18">
    <w:abstractNumId w:val="7"/>
  </w:num>
  <w:num w:numId="19">
    <w:abstractNumId w:val="6"/>
    <w:lvlOverride w:ilvl="0">
      <w:startOverride w:val="1"/>
      <w:lvl w:ilvl="0" w:tentative="1">
        <w:start w:val="1"/>
        <w:numFmt w:val="chineseCountingThousand"/>
        <w:lvlText w:val="%1."/>
        <w:lvlJc w:val="left"/>
        <w:pPr>
          <w:tabs>
            <w:tab w:val="left" w:pos="360"/>
          </w:tabs>
          <w:ind w:left="0" w:firstLine="0"/>
        </w:pPr>
        <w:rPr>
          <w:rFonts w:hint="eastAsia"/>
        </w:rPr>
      </w:lvl>
    </w:lvlOverride>
    <w:lvlOverride w:ilvl="1">
      <w:startOverride w:val="1"/>
      <w:lvl w:ilvl="1" w:tentative="1">
        <w:start w:val="1"/>
        <w:numFmt w:val="decimal"/>
        <w:lvlText w:val="%2."/>
        <w:lvlJc w:val="left"/>
        <w:pPr>
          <w:tabs>
            <w:tab w:val="left" w:pos="360"/>
          </w:tabs>
          <w:ind w:left="0" w:firstLine="0"/>
        </w:pPr>
        <w:rPr>
          <w:rFonts w:hint="eastAsia"/>
        </w:rPr>
      </w:lvl>
    </w:lvlOverride>
    <w:lvlOverride w:ilvl="2">
      <w:startOverride w:val="1"/>
      <w:lvl w:ilvl="2" w:tentative="1">
        <w:start w:val="1"/>
        <w:numFmt w:val="decimal"/>
        <w:lvlText w:val="%2.%3."/>
        <w:lvlJc w:val="left"/>
        <w:pPr>
          <w:tabs>
            <w:tab w:val="left" w:pos="720"/>
          </w:tabs>
          <w:ind w:left="0" w:firstLine="0"/>
        </w:pPr>
        <w:rPr>
          <w:rFonts w:hint="eastAsia"/>
        </w:rPr>
      </w:lvl>
    </w:lvlOverride>
    <w:lvlOverride w:ilvl="3">
      <w:startOverride w:val="1"/>
      <w:lvl w:ilvl="3" w:tentative="1">
        <w:start w:val="1"/>
        <w:numFmt w:val="decimal"/>
        <w:lvlText w:val="%2.%3.%4."/>
        <w:lvlJc w:val="left"/>
        <w:pPr>
          <w:tabs>
            <w:tab w:val="left" w:pos="1080"/>
          </w:tabs>
          <w:ind w:left="0" w:firstLine="0"/>
        </w:pPr>
        <w:rPr>
          <w:rFonts w:hint="default" w:ascii="Times New Roman" w:hAnsi="Times New Roman" w:cs="Times New Roman"/>
          <w:sz w:val="28"/>
          <w:szCs w:val="28"/>
        </w:rPr>
      </w:lvl>
    </w:lvlOverride>
    <w:lvlOverride w:ilvl="4">
      <w:startOverride w:val="1"/>
      <w:lvl w:ilvl="4" w:tentative="1">
        <w:start w:val="1"/>
        <w:numFmt w:val="decimal"/>
        <w:lvlText w:val="%2.%3.%4.%5."/>
        <w:lvlJc w:val="left"/>
        <w:pPr>
          <w:tabs>
            <w:tab w:val="left" w:pos="1440"/>
          </w:tabs>
          <w:ind w:left="0" w:firstLine="0"/>
        </w:pPr>
        <w:rPr>
          <w:rFonts w:hint="default" w:ascii="Times New Roman" w:hAnsi="Times New Roman" w:cs="Times New Roman"/>
        </w:rPr>
      </w:lvl>
    </w:lvlOverride>
    <w:lvlOverride w:ilvl="5">
      <w:startOverride w:val="1"/>
      <w:lvl w:ilvl="5" w:tentative="1">
        <w:start w:val="1"/>
        <w:numFmt w:val="decimal"/>
        <w:lvlText w:val="%2.%3.%4.%5.%6."/>
        <w:lvlJc w:val="left"/>
        <w:pPr>
          <w:tabs>
            <w:tab w:val="left" w:pos="1440"/>
          </w:tabs>
          <w:ind w:left="0" w:firstLine="0"/>
        </w:pPr>
      </w:lvl>
    </w:lvlOverride>
    <w:lvlOverride w:ilvl="6">
      <w:startOverride w:val="1"/>
      <w:lvl w:ilvl="6" w:tentative="1">
        <w:start w:val="1"/>
        <w:numFmt w:val="decimal"/>
        <w:lvlText w:val="%2.%3.%4.%5.%6.%7."/>
        <w:lvlJc w:val="left"/>
        <w:pPr>
          <w:tabs>
            <w:tab w:val="left" w:pos="1800"/>
          </w:tabs>
          <w:ind w:left="0" w:firstLine="0"/>
        </w:pPr>
        <w:rPr>
          <w:rFonts w:hint="default" w:ascii="Times New Roman" w:hAnsi="Times New Roman" w:cs="Times New Roman"/>
        </w:rPr>
      </w:lvl>
    </w:lvlOverride>
    <w:lvlOverride w:ilvl="7">
      <w:startOverride w:val="1"/>
      <w:lvl w:ilvl="7" w:tentative="1">
        <w:start w:val="1"/>
        <w:numFmt w:val="decimal"/>
        <w:lvlRestart w:val="1"/>
        <w:isLgl/>
        <w:lvlText w:val="表%1.%2.%3-%8"/>
        <w:lvlJc w:val="left"/>
        <w:pPr>
          <w:tabs>
            <w:tab w:val="left" w:pos="5415"/>
          </w:tabs>
          <w:ind w:left="3255" w:firstLine="0"/>
        </w:pPr>
      </w:lvl>
    </w:lvlOverride>
    <w:lvlOverride w:ilvl="8">
      <w:startOverride w:val="1"/>
      <w:lvl w:ilvl="8" w:tentative="1">
        <w:start w:val="1"/>
        <w:numFmt w:val="decimal"/>
        <w:lvlRestart w:val="1"/>
        <w:isLgl/>
        <w:lvlText w:val="图%1.%2.%3-%9"/>
        <w:lvlJc w:val="left"/>
        <w:pPr>
          <w:tabs>
            <w:tab w:val="left" w:pos="2520"/>
          </w:tabs>
          <w:ind w:left="0" w:firstLine="0"/>
        </w:pPr>
        <w:rPr>
          <w:rFonts w:hint="default" w:ascii="Times New Roman" w:hAnsi="Times New Roman" w:cs="Times New Roman"/>
        </w:rPr>
      </w:lvl>
    </w:lvlOverride>
  </w:num>
  <w:num w:numId="20">
    <w:abstractNumId w:val="6"/>
    <w:lvlOverride w:ilvl="0">
      <w:startOverride w:val="1"/>
      <w:lvl w:ilvl="0" w:tentative="1">
        <w:start w:val="1"/>
        <w:numFmt w:val="chineseCountingThousand"/>
        <w:lvlText w:val="%1."/>
        <w:lvlJc w:val="left"/>
        <w:pPr>
          <w:tabs>
            <w:tab w:val="left" w:pos="360"/>
          </w:tabs>
          <w:ind w:left="0" w:firstLine="0"/>
        </w:pPr>
        <w:rPr>
          <w:rFonts w:hint="eastAsia"/>
        </w:rPr>
      </w:lvl>
    </w:lvlOverride>
    <w:lvlOverride w:ilvl="1">
      <w:startOverride w:val="1"/>
      <w:lvl w:ilvl="1" w:tentative="1">
        <w:start w:val="1"/>
        <w:numFmt w:val="decimal"/>
        <w:lvlText w:val="%2."/>
        <w:lvlJc w:val="left"/>
        <w:pPr>
          <w:tabs>
            <w:tab w:val="left" w:pos="360"/>
          </w:tabs>
          <w:ind w:left="0" w:firstLine="0"/>
        </w:pPr>
        <w:rPr>
          <w:rFonts w:hint="eastAsia"/>
        </w:rPr>
      </w:lvl>
    </w:lvlOverride>
    <w:lvlOverride w:ilvl="2">
      <w:startOverride w:val="1"/>
      <w:lvl w:ilvl="2" w:tentative="1">
        <w:start w:val="1"/>
        <w:numFmt w:val="decimal"/>
        <w:lvlText w:val="%2.%3."/>
        <w:lvlJc w:val="left"/>
        <w:pPr>
          <w:tabs>
            <w:tab w:val="left" w:pos="720"/>
          </w:tabs>
          <w:ind w:left="0" w:firstLine="0"/>
        </w:pPr>
        <w:rPr>
          <w:rFonts w:hint="eastAsia"/>
        </w:rPr>
      </w:lvl>
    </w:lvlOverride>
    <w:lvlOverride w:ilvl="3">
      <w:startOverride w:val="1"/>
      <w:lvl w:ilvl="3" w:tentative="1">
        <w:start w:val="1"/>
        <w:numFmt w:val="decimal"/>
        <w:lvlText w:val="%2.%3.%4."/>
        <w:lvlJc w:val="left"/>
        <w:pPr>
          <w:tabs>
            <w:tab w:val="left" w:pos="1080"/>
          </w:tabs>
          <w:ind w:left="0" w:firstLine="0"/>
        </w:pPr>
        <w:rPr>
          <w:rFonts w:hint="default" w:ascii="Times New Roman" w:hAnsi="Times New Roman" w:cs="Times New Roman"/>
          <w:sz w:val="28"/>
          <w:szCs w:val="28"/>
        </w:rPr>
      </w:lvl>
    </w:lvlOverride>
    <w:lvlOverride w:ilvl="4">
      <w:startOverride w:val="1"/>
      <w:lvl w:ilvl="4" w:tentative="1">
        <w:start w:val="1"/>
        <w:numFmt w:val="decimal"/>
        <w:lvlText w:val="%2.%3.%4.%5."/>
        <w:lvlJc w:val="left"/>
        <w:pPr>
          <w:tabs>
            <w:tab w:val="left" w:pos="1440"/>
          </w:tabs>
          <w:ind w:left="0" w:firstLine="0"/>
        </w:pPr>
        <w:rPr>
          <w:rFonts w:hint="default" w:ascii="Times New Roman" w:hAnsi="Times New Roman" w:cs="Times New Roman"/>
        </w:rPr>
      </w:lvl>
    </w:lvlOverride>
    <w:lvlOverride w:ilvl="5">
      <w:startOverride w:val="1"/>
      <w:lvl w:ilvl="5" w:tentative="1">
        <w:start w:val="1"/>
        <w:numFmt w:val="decimal"/>
        <w:lvlText w:val="%2.%3.%4.%5.%6."/>
        <w:lvlJc w:val="left"/>
        <w:pPr>
          <w:tabs>
            <w:tab w:val="left" w:pos="1440"/>
          </w:tabs>
          <w:ind w:left="0" w:firstLine="0"/>
        </w:pPr>
      </w:lvl>
    </w:lvlOverride>
    <w:lvlOverride w:ilvl="6">
      <w:startOverride w:val="1"/>
      <w:lvl w:ilvl="6" w:tentative="1">
        <w:start w:val="1"/>
        <w:numFmt w:val="decimal"/>
        <w:lvlText w:val="%2.%3.%4.%5.%6.%7."/>
        <w:lvlJc w:val="left"/>
        <w:pPr>
          <w:tabs>
            <w:tab w:val="left" w:pos="1800"/>
          </w:tabs>
          <w:ind w:left="0" w:firstLine="0"/>
        </w:pPr>
        <w:rPr>
          <w:rFonts w:hint="default" w:ascii="Times New Roman" w:hAnsi="Times New Roman" w:cs="Times New Roman"/>
        </w:rPr>
      </w:lvl>
    </w:lvlOverride>
    <w:lvlOverride w:ilvl="7">
      <w:startOverride w:val="1"/>
      <w:lvl w:ilvl="7" w:tentative="1">
        <w:start w:val="1"/>
        <w:numFmt w:val="decimal"/>
        <w:lvlRestart w:val="1"/>
        <w:isLgl/>
        <w:lvlText w:val="表%1.%2.%3-%8"/>
        <w:lvlJc w:val="left"/>
        <w:pPr>
          <w:tabs>
            <w:tab w:val="left" w:pos="5415"/>
          </w:tabs>
          <w:ind w:left="3255" w:firstLine="0"/>
        </w:pPr>
      </w:lvl>
    </w:lvlOverride>
    <w:lvlOverride w:ilvl="8">
      <w:startOverride w:val="1"/>
      <w:lvl w:ilvl="8" w:tentative="1">
        <w:start w:val="1"/>
        <w:numFmt w:val="decimal"/>
        <w:lvlRestart w:val="1"/>
        <w:isLgl/>
        <w:lvlText w:val="图%1.%2.%3-%9"/>
        <w:lvlJc w:val="left"/>
        <w:pPr>
          <w:tabs>
            <w:tab w:val="left" w:pos="2520"/>
          </w:tabs>
          <w:ind w:left="0" w:firstLine="0"/>
        </w:pPr>
        <w:rPr>
          <w:rFonts w:hint="default" w:ascii="Times New Roman" w:hAnsi="Times New Roman" w:cs="Times New Roman"/>
        </w:rPr>
      </w:lvl>
    </w:lvlOverride>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bordersDoNotSurroundHeader w:val="1"/>
  <w:bordersDoNotSurroundFooter w:val="1"/>
  <w:documentProtection w:enforcement="0"/>
  <w:defaultTabStop w:val="420"/>
  <w:drawingGridHorizontalSpacing w:val="120"/>
  <w:drawingGridVerticalSpacing w:val="163"/>
  <w:displayHorizontalDrawingGridEvery w:val="2"/>
  <w:displayVerticalDrawingGridEvery w:val="2"/>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A1ODE3NzE1YWI5ZGJiMGMxM2VmMTZkOTg2OWNiZDkifQ=="/>
  </w:docVars>
  <w:rsids>
    <w:rsidRoot w:val="00197901"/>
    <w:rsid w:val="000007D9"/>
    <w:rsid w:val="000008DF"/>
    <w:rsid w:val="00002BD0"/>
    <w:rsid w:val="00004123"/>
    <w:rsid w:val="00011E9D"/>
    <w:rsid w:val="00013585"/>
    <w:rsid w:val="00016347"/>
    <w:rsid w:val="00017181"/>
    <w:rsid w:val="00023877"/>
    <w:rsid w:val="00025449"/>
    <w:rsid w:val="000254A8"/>
    <w:rsid w:val="00026F7A"/>
    <w:rsid w:val="00033E42"/>
    <w:rsid w:val="00034222"/>
    <w:rsid w:val="00035FC8"/>
    <w:rsid w:val="00036390"/>
    <w:rsid w:val="000371F1"/>
    <w:rsid w:val="000379C9"/>
    <w:rsid w:val="00040EB8"/>
    <w:rsid w:val="000458A2"/>
    <w:rsid w:val="00055E86"/>
    <w:rsid w:val="000638DD"/>
    <w:rsid w:val="00067670"/>
    <w:rsid w:val="000736B2"/>
    <w:rsid w:val="00076DA0"/>
    <w:rsid w:val="0007791F"/>
    <w:rsid w:val="000809DE"/>
    <w:rsid w:val="00080E30"/>
    <w:rsid w:val="000910D4"/>
    <w:rsid w:val="00092BB5"/>
    <w:rsid w:val="000974A1"/>
    <w:rsid w:val="000A0342"/>
    <w:rsid w:val="000B7EA4"/>
    <w:rsid w:val="000C6BAE"/>
    <w:rsid w:val="000D0291"/>
    <w:rsid w:val="000D5F99"/>
    <w:rsid w:val="000D6D44"/>
    <w:rsid w:val="000E41E7"/>
    <w:rsid w:val="000E7F54"/>
    <w:rsid w:val="000F1F76"/>
    <w:rsid w:val="000F6004"/>
    <w:rsid w:val="000F6F78"/>
    <w:rsid w:val="00102445"/>
    <w:rsid w:val="00122522"/>
    <w:rsid w:val="00142C69"/>
    <w:rsid w:val="00143015"/>
    <w:rsid w:val="00146421"/>
    <w:rsid w:val="00157664"/>
    <w:rsid w:val="00157798"/>
    <w:rsid w:val="00161DDF"/>
    <w:rsid w:val="00173F53"/>
    <w:rsid w:val="00187EC2"/>
    <w:rsid w:val="00193321"/>
    <w:rsid w:val="00195CE7"/>
    <w:rsid w:val="00197901"/>
    <w:rsid w:val="001A1909"/>
    <w:rsid w:val="001A1970"/>
    <w:rsid w:val="001A2377"/>
    <w:rsid w:val="001A45D3"/>
    <w:rsid w:val="001B03AB"/>
    <w:rsid w:val="001B19A1"/>
    <w:rsid w:val="001B2F8C"/>
    <w:rsid w:val="001B3A61"/>
    <w:rsid w:val="001C0AD2"/>
    <w:rsid w:val="001D024B"/>
    <w:rsid w:val="001D6A96"/>
    <w:rsid w:val="001E04D6"/>
    <w:rsid w:val="001E0785"/>
    <w:rsid w:val="001E0F1B"/>
    <w:rsid w:val="001E25EF"/>
    <w:rsid w:val="001E303A"/>
    <w:rsid w:val="001E6FAC"/>
    <w:rsid w:val="001F16C5"/>
    <w:rsid w:val="001F7314"/>
    <w:rsid w:val="00204B71"/>
    <w:rsid w:val="0021230D"/>
    <w:rsid w:val="00212537"/>
    <w:rsid w:val="00212638"/>
    <w:rsid w:val="002145DC"/>
    <w:rsid w:val="002220D7"/>
    <w:rsid w:val="00226E24"/>
    <w:rsid w:val="00231246"/>
    <w:rsid w:val="002325F4"/>
    <w:rsid w:val="00242206"/>
    <w:rsid w:val="00243109"/>
    <w:rsid w:val="002473CF"/>
    <w:rsid w:val="00250143"/>
    <w:rsid w:val="002576CF"/>
    <w:rsid w:val="00260FEA"/>
    <w:rsid w:val="00262A1D"/>
    <w:rsid w:val="0026579C"/>
    <w:rsid w:val="00265E90"/>
    <w:rsid w:val="0027022C"/>
    <w:rsid w:val="002737E4"/>
    <w:rsid w:val="00275ED5"/>
    <w:rsid w:val="00276E66"/>
    <w:rsid w:val="00277F17"/>
    <w:rsid w:val="00284AC0"/>
    <w:rsid w:val="0028522E"/>
    <w:rsid w:val="0028583A"/>
    <w:rsid w:val="0028598F"/>
    <w:rsid w:val="002946BF"/>
    <w:rsid w:val="002961F3"/>
    <w:rsid w:val="002A16BC"/>
    <w:rsid w:val="002A2CA0"/>
    <w:rsid w:val="002A4337"/>
    <w:rsid w:val="002B38B3"/>
    <w:rsid w:val="002B798B"/>
    <w:rsid w:val="002C1F51"/>
    <w:rsid w:val="002C484A"/>
    <w:rsid w:val="002C5C0B"/>
    <w:rsid w:val="002C722D"/>
    <w:rsid w:val="002D377E"/>
    <w:rsid w:val="002E0530"/>
    <w:rsid w:val="002E0E6C"/>
    <w:rsid w:val="002E25A0"/>
    <w:rsid w:val="002E399D"/>
    <w:rsid w:val="002E4586"/>
    <w:rsid w:val="002E7CD4"/>
    <w:rsid w:val="002F1551"/>
    <w:rsid w:val="002F1A98"/>
    <w:rsid w:val="00302BB0"/>
    <w:rsid w:val="00305E2E"/>
    <w:rsid w:val="003061D3"/>
    <w:rsid w:val="00315431"/>
    <w:rsid w:val="00316150"/>
    <w:rsid w:val="0032039C"/>
    <w:rsid w:val="00321298"/>
    <w:rsid w:val="00327B4D"/>
    <w:rsid w:val="003315F6"/>
    <w:rsid w:val="00331B07"/>
    <w:rsid w:val="00331FD3"/>
    <w:rsid w:val="003406DC"/>
    <w:rsid w:val="00341625"/>
    <w:rsid w:val="0034241C"/>
    <w:rsid w:val="003454C3"/>
    <w:rsid w:val="0034606E"/>
    <w:rsid w:val="00346A66"/>
    <w:rsid w:val="00350FD6"/>
    <w:rsid w:val="00354DE5"/>
    <w:rsid w:val="00355BEB"/>
    <w:rsid w:val="00355FC0"/>
    <w:rsid w:val="00361F2A"/>
    <w:rsid w:val="00371132"/>
    <w:rsid w:val="00374588"/>
    <w:rsid w:val="003775B3"/>
    <w:rsid w:val="0038412D"/>
    <w:rsid w:val="003845C4"/>
    <w:rsid w:val="003957E1"/>
    <w:rsid w:val="003A5B9C"/>
    <w:rsid w:val="003B41AF"/>
    <w:rsid w:val="003C169C"/>
    <w:rsid w:val="003D092E"/>
    <w:rsid w:val="003D7723"/>
    <w:rsid w:val="003E0555"/>
    <w:rsid w:val="003E3DD1"/>
    <w:rsid w:val="003E3F71"/>
    <w:rsid w:val="003F1A95"/>
    <w:rsid w:val="003F229C"/>
    <w:rsid w:val="003F4885"/>
    <w:rsid w:val="003F54B3"/>
    <w:rsid w:val="00400E61"/>
    <w:rsid w:val="00402931"/>
    <w:rsid w:val="00404439"/>
    <w:rsid w:val="00411EC2"/>
    <w:rsid w:val="004129E5"/>
    <w:rsid w:val="004136D6"/>
    <w:rsid w:val="00421245"/>
    <w:rsid w:val="00422F93"/>
    <w:rsid w:val="00427E15"/>
    <w:rsid w:val="004305E3"/>
    <w:rsid w:val="0043092C"/>
    <w:rsid w:val="00434439"/>
    <w:rsid w:val="004345ED"/>
    <w:rsid w:val="00437489"/>
    <w:rsid w:val="004404D4"/>
    <w:rsid w:val="004421BE"/>
    <w:rsid w:val="00443D11"/>
    <w:rsid w:val="00446F84"/>
    <w:rsid w:val="00454B25"/>
    <w:rsid w:val="00461873"/>
    <w:rsid w:val="004620D5"/>
    <w:rsid w:val="00471F50"/>
    <w:rsid w:val="0047499A"/>
    <w:rsid w:val="00474E9E"/>
    <w:rsid w:val="00476085"/>
    <w:rsid w:val="00485262"/>
    <w:rsid w:val="00485AD1"/>
    <w:rsid w:val="00485E12"/>
    <w:rsid w:val="00490CC9"/>
    <w:rsid w:val="00491310"/>
    <w:rsid w:val="004945E5"/>
    <w:rsid w:val="00494F5A"/>
    <w:rsid w:val="004A01EB"/>
    <w:rsid w:val="004A03E8"/>
    <w:rsid w:val="004A5F53"/>
    <w:rsid w:val="004A6DBA"/>
    <w:rsid w:val="004A76FD"/>
    <w:rsid w:val="004B29FF"/>
    <w:rsid w:val="004B4C51"/>
    <w:rsid w:val="004B6AAA"/>
    <w:rsid w:val="004C51A2"/>
    <w:rsid w:val="004D1025"/>
    <w:rsid w:val="004D1EF6"/>
    <w:rsid w:val="004E4155"/>
    <w:rsid w:val="004E688B"/>
    <w:rsid w:val="004E7AC0"/>
    <w:rsid w:val="004F3447"/>
    <w:rsid w:val="005018A2"/>
    <w:rsid w:val="00503FB1"/>
    <w:rsid w:val="005129FD"/>
    <w:rsid w:val="005146AA"/>
    <w:rsid w:val="0051741D"/>
    <w:rsid w:val="0051787E"/>
    <w:rsid w:val="0052074E"/>
    <w:rsid w:val="00520DD5"/>
    <w:rsid w:val="00521E3C"/>
    <w:rsid w:val="00523157"/>
    <w:rsid w:val="005321E0"/>
    <w:rsid w:val="00532AB0"/>
    <w:rsid w:val="00534E03"/>
    <w:rsid w:val="00535F63"/>
    <w:rsid w:val="00536811"/>
    <w:rsid w:val="00545550"/>
    <w:rsid w:val="005457BD"/>
    <w:rsid w:val="00551035"/>
    <w:rsid w:val="005521FC"/>
    <w:rsid w:val="00552933"/>
    <w:rsid w:val="005539E3"/>
    <w:rsid w:val="00560325"/>
    <w:rsid w:val="00564132"/>
    <w:rsid w:val="005665BD"/>
    <w:rsid w:val="005714BB"/>
    <w:rsid w:val="00575DE7"/>
    <w:rsid w:val="0058051D"/>
    <w:rsid w:val="00595699"/>
    <w:rsid w:val="005A0460"/>
    <w:rsid w:val="005A38D1"/>
    <w:rsid w:val="005B0CAC"/>
    <w:rsid w:val="005B708D"/>
    <w:rsid w:val="005C0A2D"/>
    <w:rsid w:val="005C42AF"/>
    <w:rsid w:val="005C5093"/>
    <w:rsid w:val="005C6B74"/>
    <w:rsid w:val="005D3E3E"/>
    <w:rsid w:val="005D76A1"/>
    <w:rsid w:val="005E2956"/>
    <w:rsid w:val="005E5A22"/>
    <w:rsid w:val="005F08F3"/>
    <w:rsid w:val="005F3452"/>
    <w:rsid w:val="005F76E6"/>
    <w:rsid w:val="005F7B26"/>
    <w:rsid w:val="00600341"/>
    <w:rsid w:val="00605C7F"/>
    <w:rsid w:val="0060613C"/>
    <w:rsid w:val="00607F01"/>
    <w:rsid w:val="00616A28"/>
    <w:rsid w:val="00620A28"/>
    <w:rsid w:val="0063141D"/>
    <w:rsid w:val="0063268F"/>
    <w:rsid w:val="00633CC1"/>
    <w:rsid w:val="00634070"/>
    <w:rsid w:val="00635391"/>
    <w:rsid w:val="00635B56"/>
    <w:rsid w:val="00635E4B"/>
    <w:rsid w:val="0063698E"/>
    <w:rsid w:val="006430D7"/>
    <w:rsid w:val="00646D2E"/>
    <w:rsid w:val="00672584"/>
    <w:rsid w:val="00675DE4"/>
    <w:rsid w:val="00690EC0"/>
    <w:rsid w:val="006951E0"/>
    <w:rsid w:val="00696B96"/>
    <w:rsid w:val="0069742B"/>
    <w:rsid w:val="006A1B30"/>
    <w:rsid w:val="006A2A78"/>
    <w:rsid w:val="006A47F6"/>
    <w:rsid w:val="006B11A9"/>
    <w:rsid w:val="006B2317"/>
    <w:rsid w:val="006B2E47"/>
    <w:rsid w:val="006C1BCA"/>
    <w:rsid w:val="006C2641"/>
    <w:rsid w:val="006C27A0"/>
    <w:rsid w:val="006D1164"/>
    <w:rsid w:val="006D57CD"/>
    <w:rsid w:val="006D5F0F"/>
    <w:rsid w:val="006E1B9D"/>
    <w:rsid w:val="006E2027"/>
    <w:rsid w:val="006E5FCF"/>
    <w:rsid w:val="006F1571"/>
    <w:rsid w:val="006F418E"/>
    <w:rsid w:val="006F7B18"/>
    <w:rsid w:val="007030DB"/>
    <w:rsid w:val="00703D8D"/>
    <w:rsid w:val="00704B3E"/>
    <w:rsid w:val="007066B8"/>
    <w:rsid w:val="00711106"/>
    <w:rsid w:val="0072616E"/>
    <w:rsid w:val="0073368C"/>
    <w:rsid w:val="00747140"/>
    <w:rsid w:val="00753A9C"/>
    <w:rsid w:val="00756C0A"/>
    <w:rsid w:val="00757092"/>
    <w:rsid w:val="00760E38"/>
    <w:rsid w:val="007611D6"/>
    <w:rsid w:val="00763A43"/>
    <w:rsid w:val="007647A0"/>
    <w:rsid w:val="00773210"/>
    <w:rsid w:val="00773DBE"/>
    <w:rsid w:val="00784B21"/>
    <w:rsid w:val="007954A9"/>
    <w:rsid w:val="0079790F"/>
    <w:rsid w:val="00797E4D"/>
    <w:rsid w:val="007A09A8"/>
    <w:rsid w:val="007A62B1"/>
    <w:rsid w:val="007B1A5C"/>
    <w:rsid w:val="007B378B"/>
    <w:rsid w:val="007B440D"/>
    <w:rsid w:val="007B44CF"/>
    <w:rsid w:val="007B54C2"/>
    <w:rsid w:val="007C3F57"/>
    <w:rsid w:val="007C471F"/>
    <w:rsid w:val="007C5498"/>
    <w:rsid w:val="007D0A02"/>
    <w:rsid w:val="007D1670"/>
    <w:rsid w:val="007D39BA"/>
    <w:rsid w:val="007E10AF"/>
    <w:rsid w:val="007E5A8A"/>
    <w:rsid w:val="007E6CF5"/>
    <w:rsid w:val="007F04FB"/>
    <w:rsid w:val="007F1CC9"/>
    <w:rsid w:val="007F720B"/>
    <w:rsid w:val="0080317D"/>
    <w:rsid w:val="00812446"/>
    <w:rsid w:val="00812C26"/>
    <w:rsid w:val="00812E58"/>
    <w:rsid w:val="00813729"/>
    <w:rsid w:val="00821649"/>
    <w:rsid w:val="00826B39"/>
    <w:rsid w:val="00826CA4"/>
    <w:rsid w:val="00827F1A"/>
    <w:rsid w:val="008357ED"/>
    <w:rsid w:val="00843492"/>
    <w:rsid w:val="00844C5D"/>
    <w:rsid w:val="00851B4F"/>
    <w:rsid w:val="008524E1"/>
    <w:rsid w:val="00855174"/>
    <w:rsid w:val="00855A0B"/>
    <w:rsid w:val="0085737C"/>
    <w:rsid w:val="00860CF4"/>
    <w:rsid w:val="008631B0"/>
    <w:rsid w:val="008639BD"/>
    <w:rsid w:val="0086655F"/>
    <w:rsid w:val="0087081E"/>
    <w:rsid w:val="00873854"/>
    <w:rsid w:val="00874B78"/>
    <w:rsid w:val="008776AA"/>
    <w:rsid w:val="008801EF"/>
    <w:rsid w:val="00880E6B"/>
    <w:rsid w:val="00881F7F"/>
    <w:rsid w:val="008836DF"/>
    <w:rsid w:val="00884F18"/>
    <w:rsid w:val="008852D9"/>
    <w:rsid w:val="008864F7"/>
    <w:rsid w:val="00887FEA"/>
    <w:rsid w:val="0089297B"/>
    <w:rsid w:val="008A3281"/>
    <w:rsid w:val="008A4962"/>
    <w:rsid w:val="008A7646"/>
    <w:rsid w:val="008B2EC9"/>
    <w:rsid w:val="008C1650"/>
    <w:rsid w:val="008C266E"/>
    <w:rsid w:val="008D0DA6"/>
    <w:rsid w:val="008D16CD"/>
    <w:rsid w:val="008D438A"/>
    <w:rsid w:val="008D5214"/>
    <w:rsid w:val="008E63C1"/>
    <w:rsid w:val="008F18AD"/>
    <w:rsid w:val="008F771B"/>
    <w:rsid w:val="00902190"/>
    <w:rsid w:val="009059A2"/>
    <w:rsid w:val="009073F9"/>
    <w:rsid w:val="00912490"/>
    <w:rsid w:val="00912F74"/>
    <w:rsid w:val="009131A6"/>
    <w:rsid w:val="00914E02"/>
    <w:rsid w:val="009169F2"/>
    <w:rsid w:val="009225EE"/>
    <w:rsid w:val="00933D86"/>
    <w:rsid w:val="00934153"/>
    <w:rsid w:val="00944B2D"/>
    <w:rsid w:val="009503E3"/>
    <w:rsid w:val="00950CEA"/>
    <w:rsid w:val="009525FD"/>
    <w:rsid w:val="00952F6B"/>
    <w:rsid w:val="00953E34"/>
    <w:rsid w:val="00954320"/>
    <w:rsid w:val="009617F1"/>
    <w:rsid w:val="009655A3"/>
    <w:rsid w:val="0097290F"/>
    <w:rsid w:val="00975A5C"/>
    <w:rsid w:val="0098060A"/>
    <w:rsid w:val="00980D7B"/>
    <w:rsid w:val="00983C69"/>
    <w:rsid w:val="00985AC6"/>
    <w:rsid w:val="00987539"/>
    <w:rsid w:val="009942E3"/>
    <w:rsid w:val="0099549B"/>
    <w:rsid w:val="009A3988"/>
    <w:rsid w:val="009A50BF"/>
    <w:rsid w:val="009A5B03"/>
    <w:rsid w:val="009A5EB9"/>
    <w:rsid w:val="009B51A0"/>
    <w:rsid w:val="009C0302"/>
    <w:rsid w:val="009C4526"/>
    <w:rsid w:val="009C6916"/>
    <w:rsid w:val="009D2475"/>
    <w:rsid w:val="009D36AE"/>
    <w:rsid w:val="009D4933"/>
    <w:rsid w:val="009E1188"/>
    <w:rsid w:val="009E68A6"/>
    <w:rsid w:val="009E6B33"/>
    <w:rsid w:val="009E7E43"/>
    <w:rsid w:val="009F1D24"/>
    <w:rsid w:val="00A01473"/>
    <w:rsid w:val="00A078BB"/>
    <w:rsid w:val="00A07BE7"/>
    <w:rsid w:val="00A10E08"/>
    <w:rsid w:val="00A164E6"/>
    <w:rsid w:val="00A211F7"/>
    <w:rsid w:val="00A258EB"/>
    <w:rsid w:val="00A2703A"/>
    <w:rsid w:val="00A27CA5"/>
    <w:rsid w:val="00A300D1"/>
    <w:rsid w:val="00A305B0"/>
    <w:rsid w:val="00A32B9F"/>
    <w:rsid w:val="00A332D3"/>
    <w:rsid w:val="00A40860"/>
    <w:rsid w:val="00A4260B"/>
    <w:rsid w:val="00A4506D"/>
    <w:rsid w:val="00A46716"/>
    <w:rsid w:val="00A50AC6"/>
    <w:rsid w:val="00A53883"/>
    <w:rsid w:val="00A5683E"/>
    <w:rsid w:val="00A61C80"/>
    <w:rsid w:val="00A62953"/>
    <w:rsid w:val="00A67AAC"/>
    <w:rsid w:val="00A75217"/>
    <w:rsid w:val="00A76C3B"/>
    <w:rsid w:val="00A937ED"/>
    <w:rsid w:val="00A95893"/>
    <w:rsid w:val="00A95A38"/>
    <w:rsid w:val="00A95E57"/>
    <w:rsid w:val="00A97946"/>
    <w:rsid w:val="00AA1851"/>
    <w:rsid w:val="00AA555C"/>
    <w:rsid w:val="00AA5596"/>
    <w:rsid w:val="00AA7D1E"/>
    <w:rsid w:val="00AB12EE"/>
    <w:rsid w:val="00AB4271"/>
    <w:rsid w:val="00AB4F9E"/>
    <w:rsid w:val="00AB7AFE"/>
    <w:rsid w:val="00AC2E6D"/>
    <w:rsid w:val="00AD370D"/>
    <w:rsid w:val="00AD41AD"/>
    <w:rsid w:val="00AD4C60"/>
    <w:rsid w:val="00AD7160"/>
    <w:rsid w:val="00AE0925"/>
    <w:rsid w:val="00AE610E"/>
    <w:rsid w:val="00AE73A2"/>
    <w:rsid w:val="00AF3AC9"/>
    <w:rsid w:val="00B00E8A"/>
    <w:rsid w:val="00B067DA"/>
    <w:rsid w:val="00B07087"/>
    <w:rsid w:val="00B07F15"/>
    <w:rsid w:val="00B13337"/>
    <w:rsid w:val="00B13937"/>
    <w:rsid w:val="00B15501"/>
    <w:rsid w:val="00B209A5"/>
    <w:rsid w:val="00B23C9E"/>
    <w:rsid w:val="00B25002"/>
    <w:rsid w:val="00B270EF"/>
    <w:rsid w:val="00B27377"/>
    <w:rsid w:val="00B27D4F"/>
    <w:rsid w:val="00B36BD6"/>
    <w:rsid w:val="00B370CC"/>
    <w:rsid w:val="00B4441E"/>
    <w:rsid w:val="00B53AB2"/>
    <w:rsid w:val="00B54ABB"/>
    <w:rsid w:val="00B57428"/>
    <w:rsid w:val="00B617E3"/>
    <w:rsid w:val="00B656A1"/>
    <w:rsid w:val="00B67FA9"/>
    <w:rsid w:val="00B747FC"/>
    <w:rsid w:val="00B7693F"/>
    <w:rsid w:val="00B862F6"/>
    <w:rsid w:val="00BA142F"/>
    <w:rsid w:val="00BA63FF"/>
    <w:rsid w:val="00BA645C"/>
    <w:rsid w:val="00BA6765"/>
    <w:rsid w:val="00BB0F74"/>
    <w:rsid w:val="00BB2D27"/>
    <w:rsid w:val="00BC6EFE"/>
    <w:rsid w:val="00BE5EDF"/>
    <w:rsid w:val="00BF703B"/>
    <w:rsid w:val="00C04B6B"/>
    <w:rsid w:val="00C07D22"/>
    <w:rsid w:val="00C13DCE"/>
    <w:rsid w:val="00C14D7B"/>
    <w:rsid w:val="00C15FC5"/>
    <w:rsid w:val="00C25AA3"/>
    <w:rsid w:val="00C27323"/>
    <w:rsid w:val="00C33E1F"/>
    <w:rsid w:val="00C343C0"/>
    <w:rsid w:val="00C343C4"/>
    <w:rsid w:val="00C53C64"/>
    <w:rsid w:val="00C60474"/>
    <w:rsid w:val="00C640E3"/>
    <w:rsid w:val="00C72557"/>
    <w:rsid w:val="00C7402C"/>
    <w:rsid w:val="00C776D0"/>
    <w:rsid w:val="00C84CAB"/>
    <w:rsid w:val="00C9003B"/>
    <w:rsid w:val="00C913C0"/>
    <w:rsid w:val="00C921C9"/>
    <w:rsid w:val="00C924C0"/>
    <w:rsid w:val="00C94EDA"/>
    <w:rsid w:val="00C970D7"/>
    <w:rsid w:val="00CA0308"/>
    <w:rsid w:val="00CA2349"/>
    <w:rsid w:val="00CA3E8C"/>
    <w:rsid w:val="00CA4613"/>
    <w:rsid w:val="00CA673C"/>
    <w:rsid w:val="00CB05D8"/>
    <w:rsid w:val="00CB0C95"/>
    <w:rsid w:val="00CB1674"/>
    <w:rsid w:val="00CB7576"/>
    <w:rsid w:val="00CC18EE"/>
    <w:rsid w:val="00CC253C"/>
    <w:rsid w:val="00CD7148"/>
    <w:rsid w:val="00CD7F7A"/>
    <w:rsid w:val="00CE556C"/>
    <w:rsid w:val="00CE572A"/>
    <w:rsid w:val="00CE6509"/>
    <w:rsid w:val="00CE675D"/>
    <w:rsid w:val="00CF27C1"/>
    <w:rsid w:val="00CF4435"/>
    <w:rsid w:val="00CF4A5E"/>
    <w:rsid w:val="00D019F3"/>
    <w:rsid w:val="00D063F3"/>
    <w:rsid w:val="00D13307"/>
    <w:rsid w:val="00D23881"/>
    <w:rsid w:val="00D24750"/>
    <w:rsid w:val="00D248F7"/>
    <w:rsid w:val="00D37961"/>
    <w:rsid w:val="00D45E98"/>
    <w:rsid w:val="00D468A2"/>
    <w:rsid w:val="00D46C37"/>
    <w:rsid w:val="00D6173A"/>
    <w:rsid w:val="00D637F4"/>
    <w:rsid w:val="00D7008F"/>
    <w:rsid w:val="00D73EAD"/>
    <w:rsid w:val="00D74CBF"/>
    <w:rsid w:val="00D82E62"/>
    <w:rsid w:val="00D86BE1"/>
    <w:rsid w:val="00D87E14"/>
    <w:rsid w:val="00D90899"/>
    <w:rsid w:val="00D9495E"/>
    <w:rsid w:val="00D95961"/>
    <w:rsid w:val="00DB1BD0"/>
    <w:rsid w:val="00DB27F5"/>
    <w:rsid w:val="00DC407B"/>
    <w:rsid w:val="00DC6D4B"/>
    <w:rsid w:val="00DD1120"/>
    <w:rsid w:val="00DE2A11"/>
    <w:rsid w:val="00DE4B6D"/>
    <w:rsid w:val="00DE54E6"/>
    <w:rsid w:val="00DE650A"/>
    <w:rsid w:val="00DF0869"/>
    <w:rsid w:val="00DF0CAB"/>
    <w:rsid w:val="00DF1132"/>
    <w:rsid w:val="00DF6FFE"/>
    <w:rsid w:val="00DF736D"/>
    <w:rsid w:val="00E03532"/>
    <w:rsid w:val="00E038EE"/>
    <w:rsid w:val="00E04A0A"/>
    <w:rsid w:val="00E130A8"/>
    <w:rsid w:val="00E13F8F"/>
    <w:rsid w:val="00E16FDF"/>
    <w:rsid w:val="00E17436"/>
    <w:rsid w:val="00E25A24"/>
    <w:rsid w:val="00E26790"/>
    <w:rsid w:val="00E26A10"/>
    <w:rsid w:val="00E26C47"/>
    <w:rsid w:val="00E30102"/>
    <w:rsid w:val="00E30A80"/>
    <w:rsid w:val="00E35BFD"/>
    <w:rsid w:val="00E35FB0"/>
    <w:rsid w:val="00E45103"/>
    <w:rsid w:val="00E458E7"/>
    <w:rsid w:val="00E4698C"/>
    <w:rsid w:val="00E46D1E"/>
    <w:rsid w:val="00E505AC"/>
    <w:rsid w:val="00E567BB"/>
    <w:rsid w:val="00E60AF8"/>
    <w:rsid w:val="00E63474"/>
    <w:rsid w:val="00E6608F"/>
    <w:rsid w:val="00E67C97"/>
    <w:rsid w:val="00E72EE1"/>
    <w:rsid w:val="00E75C84"/>
    <w:rsid w:val="00E81134"/>
    <w:rsid w:val="00E81920"/>
    <w:rsid w:val="00E83928"/>
    <w:rsid w:val="00E8772E"/>
    <w:rsid w:val="00E87B45"/>
    <w:rsid w:val="00E87C4A"/>
    <w:rsid w:val="00E87C95"/>
    <w:rsid w:val="00E906E5"/>
    <w:rsid w:val="00E9608B"/>
    <w:rsid w:val="00EA00F1"/>
    <w:rsid w:val="00EA05DF"/>
    <w:rsid w:val="00EA4E07"/>
    <w:rsid w:val="00EA5AD1"/>
    <w:rsid w:val="00EB0C6B"/>
    <w:rsid w:val="00EB1727"/>
    <w:rsid w:val="00EC613D"/>
    <w:rsid w:val="00ED3959"/>
    <w:rsid w:val="00ED7D05"/>
    <w:rsid w:val="00EE0039"/>
    <w:rsid w:val="00EE3456"/>
    <w:rsid w:val="00EE6632"/>
    <w:rsid w:val="00EE6A3E"/>
    <w:rsid w:val="00EE7BAF"/>
    <w:rsid w:val="00EF3826"/>
    <w:rsid w:val="00F01344"/>
    <w:rsid w:val="00F01D08"/>
    <w:rsid w:val="00F05BE2"/>
    <w:rsid w:val="00F06F0C"/>
    <w:rsid w:val="00F07E8C"/>
    <w:rsid w:val="00F12BB8"/>
    <w:rsid w:val="00F13F1E"/>
    <w:rsid w:val="00F1472E"/>
    <w:rsid w:val="00F15CCF"/>
    <w:rsid w:val="00F25AC7"/>
    <w:rsid w:val="00F26642"/>
    <w:rsid w:val="00F31852"/>
    <w:rsid w:val="00F31B6E"/>
    <w:rsid w:val="00F364FC"/>
    <w:rsid w:val="00F40390"/>
    <w:rsid w:val="00F4657C"/>
    <w:rsid w:val="00F53893"/>
    <w:rsid w:val="00F53ACD"/>
    <w:rsid w:val="00F55744"/>
    <w:rsid w:val="00F57590"/>
    <w:rsid w:val="00F64FB4"/>
    <w:rsid w:val="00F65E03"/>
    <w:rsid w:val="00F669CF"/>
    <w:rsid w:val="00F70F33"/>
    <w:rsid w:val="00F759F4"/>
    <w:rsid w:val="00F809C3"/>
    <w:rsid w:val="00F826D7"/>
    <w:rsid w:val="00F86550"/>
    <w:rsid w:val="00F87FA4"/>
    <w:rsid w:val="00F947F9"/>
    <w:rsid w:val="00F94FE3"/>
    <w:rsid w:val="00F95E56"/>
    <w:rsid w:val="00F96A0F"/>
    <w:rsid w:val="00F97C5E"/>
    <w:rsid w:val="00FA5BCD"/>
    <w:rsid w:val="00FB2850"/>
    <w:rsid w:val="00FB3B0F"/>
    <w:rsid w:val="00FB3D26"/>
    <w:rsid w:val="00FB788B"/>
    <w:rsid w:val="00FC05D2"/>
    <w:rsid w:val="00FD0D19"/>
    <w:rsid w:val="00FD0D6A"/>
    <w:rsid w:val="00FD4945"/>
    <w:rsid w:val="00FD5E7A"/>
    <w:rsid w:val="00FF3988"/>
    <w:rsid w:val="00FF50AD"/>
    <w:rsid w:val="177E72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39" w:semiHidden="0" w:name="toc 3"/>
    <w:lsdException w:unhideWhenUsed="0" w:uiPriority="39" w:semiHidden="0" w:name="toc 4"/>
    <w:lsdException w:unhideWhenUsed="0" w:uiPriority="39" w:semiHidden="0" w:name="toc 5"/>
    <w:lsdException w:unhideWhenUsed="0" w:uiPriority="39" w:semiHidden="0" w:name="toc 6"/>
    <w:lsdException w:unhideWhenUsed="0" w:uiPriority="39" w:semiHidden="0" w:name="toc 7"/>
    <w:lsdException w:unhideWhenUsed="0" w:uiPriority="39" w:semiHidden="0" w:name="toc 8"/>
    <w:lsdException w:unhideWhenUsed="0" w:uiPriority="39" w:semiHidden="0" w:name="toc 9"/>
    <w:lsdException w:qFormat="1" w:uiPriority="0" w:semiHidden="0" w:name="Normal Indent"/>
    <w:lsdException w:uiPriority="99" w:name="footnote text"/>
    <w:lsdException w:qFormat="1" w:uiPriority="0" w:name="annotation text"/>
    <w:lsdException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pPr>
    <w:rPr>
      <w:rFonts w:ascii="Times New Roman" w:hAnsi="Times New Roman" w:eastAsia="宋体" w:cs="Times New Roman"/>
      <w:kern w:val="2"/>
      <w:sz w:val="24"/>
      <w:szCs w:val="24"/>
      <w:lang w:val="en-US" w:eastAsia="zh-CN" w:bidi="ar-SA"/>
    </w:rPr>
  </w:style>
  <w:style w:type="paragraph" w:styleId="2">
    <w:name w:val="heading 1"/>
    <w:basedOn w:val="1"/>
    <w:next w:val="1"/>
    <w:link w:val="46"/>
    <w:qFormat/>
    <w:uiPriority w:val="0"/>
    <w:pPr>
      <w:keepNext/>
      <w:keepLines/>
      <w:pageBreakBefore/>
      <w:widowControl/>
      <w:numPr>
        <w:ilvl w:val="0"/>
        <w:numId w:val="1"/>
      </w:numPr>
      <w:tabs>
        <w:tab w:val="left" w:pos="480"/>
      </w:tabs>
      <w:spacing w:before="120" w:after="120"/>
      <w:ind w:firstLineChars="0"/>
      <w:outlineLvl w:val="0"/>
    </w:pPr>
    <w:rPr>
      <w:rFonts w:eastAsia="黑体"/>
      <w:bCs/>
      <w:kern w:val="44"/>
      <w:sz w:val="28"/>
      <w:szCs w:val="28"/>
    </w:rPr>
  </w:style>
  <w:style w:type="paragraph" w:styleId="3">
    <w:name w:val="heading 2"/>
    <w:basedOn w:val="1"/>
    <w:next w:val="1"/>
    <w:link w:val="48"/>
    <w:qFormat/>
    <w:uiPriority w:val="0"/>
    <w:pPr>
      <w:keepNext/>
      <w:keepLines/>
      <w:widowControl/>
      <w:numPr>
        <w:ilvl w:val="1"/>
        <w:numId w:val="1"/>
      </w:numPr>
      <w:tabs>
        <w:tab w:val="left" w:pos="480"/>
      </w:tabs>
      <w:spacing w:before="120" w:after="120"/>
      <w:ind w:firstLineChars="0"/>
      <w:outlineLvl w:val="1"/>
    </w:pPr>
    <w:rPr>
      <w:rFonts w:eastAsia="黑体"/>
      <w:bCs/>
      <w:kern w:val="44"/>
      <w:sz w:val="28"/>
      <w:szCs w:val="28"/>
    </w:rPr>
  </w:style>
  <w:style w:type="paragraph" w:styleId="4">
    <w:name w:val="heading 3"/>
    <w:basedOn w:val="1"/>
    <w:next w:val="1"/>
    <w:link w:val="50"/>
    <w:qFormat/>
    <w:uiPriority w:val="0"/>
    <w:pPr>
      <w:keepNext/>
      <w:keepLines/>
      <w:widowControl/>
      <w:numPr>
        <w:ilvl w:val="2"/>
        <w:numId w:val="1"/>
      </w:numPr>
      <w:spacing w:before="120" w:after="120"/>
      <w:ind w:firstLineChars="0"/>
      <w:outlineLvl w:val="2"/>
    </w:pPr>
    <w:rPr>
      <w:rFonts w:eastAsia="黑体"/>
      <w:kern w:val="44"/>
      <w:sz w:val="28"/>
      <w:szCs w:val="28"/>
    </w:rPr>
  </w:style>
  <w:style w:type="paragraph" w:styleId="5">
    <w:name w:val="heading 4"/>
    <w:basedOn w:val="1"/>
    <w:next w:val="1"/>
    <w:link w:val="52"/>
    <w:qFormat/>
    <w:uiPriority w:val="0"/>
    <w:pPr>
      <w:keepNext/>
      <w:keepLines/>
      <w:widowControl/>
      <w:numPr>
        <w:ilvl w:val="3"/>
        <w:numId w:val="1"/>
      </w:numPr>
      <w:tabs>
        <w:tab w:val="left" w:pos="912"/>
      </w:tabs>
      <w:spacing w:before="120" w:after="120"/>
      <w:ind w:firstLineChars="0"/>
      <w:outlineLvl w:val="3"/>
    </w:pPr>
    <w:rPr>
      <w:rFonts w:eastAsia="黑体"/>
      <w:bCs/>
      <w:kern w:val="44"/>
      <w:sz w:val="28"/>
      <w:szCs w:val="28"/>
    </w:rPr>
  </w:style>
  <w:style w:type="paragraph" w:styleId="6">
    <w:name w:val="heading 5"/>
    <w:basedOn w:val="1"/>
    <w:next w:val="1"/>
    <w:link w:val="54"/>
    <w:qFormat/>
    <w:uiPriority w:val="0"/>
    <w:pPr>
      <w:keepNext/>
      <w:keepLines/>
      <w:widowControl/>
      <w:numPr>
        <w:ilvl w:val="4"/>
        <w:numId w:val="1"/>
      </w:numPr>
      <w:tabs>
        <w:tab w:val="left" w:pos="1080"/>
      </w:tabs>
      <w:spacing w:before="120" w:after="120"/>
      <w:ind w:firstLineChars="0"/>
      <w:outlineLvl w:val="4"/>
    </w:pPr>
    <w:rPr>
      <w:rFonts w:eastAsia="黑体"/>
      <w:bCs/>
      <w:kern w:val="44"/>
      <w:sz w:val="28"/>
      <w:szCs w:val="28"/>
    </w:rPr>
  </w:style>
  <w:style w:type="paragraph" w:styleId="7">
    <w:name w:val="heading 6"/>
    <w:basedOn w:val="1"/>
    <w:next w:val="1"/>
    <w:link w:val="56"/>
    <w:qFormat/>
    <w:uiPriority w:val="0"/>
    <w:pPr>
      <w:keepNext/>
      <w:keepLines/>
      <w:widowControl/>
      <w:numPr>
        <w:ilvl w:val="5"/>
        <w:numId w:val="1"/>
      </w:numPr>
      <w:tabs>
        <w:tab w:val="left" w:pos="1560"/>
      </w:tabs>
      <w:spacing w:before="120" w:after="120"/>
      <w:ind w:firstLineChars="0"/>
      <w:outlineLvl w:val="5"/>
    </w:pPr>
    <w:rPr>
      <w:rFonts w:eastAsia="黑体"/>
      <w:bCs/>
      <w:kern w:val="44"/>
      <w:sz w:val="28"/>
      <w:szCs w:val="28"/>
    </w:rPr>
  </w:style>
  <w:style w:type="paragraph" w:styleId="8">
    <w:name w:val="heading 7"/>
    <w:basedOn w:val="1"/>
    <w:next w:val="1"/>
    <w:link w:val="58"/>
    <w:qFormat/>
    <w:uiPriority w:val="0"/>
    <w:pPr>
      <w:keepNext/>
      <w:keepLines/>
      <w:widowControl/>
      <w:numPr>
        <w:ilvl w:val="6"/>
        <w:numId w:val="1"/>
      </w:numPr>
      <w:spacing w:before="120" w:after="120"/>
      <w:ind w:firstLineChars="0"/>
      <w:outlineLvl w:val="6"/>
    </w:pPr>
    <w:rPr>
      <w:rFonts w:eastAsia="黑体"/>
      <w:bCs/>
      <w:kern w:val="44"/>
      <w:sz w:val="28"/>
      <w:szCs w:val="28"/>
    </w:rPr>
  </w:style>
  <w:style w:type="paragraph" w:styleId="9">
    <w:name w:val="heading 8"/>
    <w:basedOn w:val="1"/>
    <w:next w:val="1"/>
    <w:link w:val="60"/>
    <w:qFormat/>
    <w:uiPriority w:val="0"/>
    <w:pPr>
      <w:keepNext/>
      <w:keepLines/>
      <w:widowControl/>
      <w:numPr>
        <w:ilvl w:val="7"/>
        <w:numId w:val="1"/>
      </w:numPr>
      <w:tabs>
        <w:tab w:val="clear" w:pos="5415"/>
      </w:tabs>
      <w:ind w:left="0" w:firstLineChars="0"/>
      <w:jc w:val="center"/>
      <w:outlineLvl w:val="7"/>
    </w:pPr>
    <w:rPr>
      <w:b/>
    </w:rPr>
  </w:style>
  <w:style w:type="paragraph" w:styleId="10">
    <w:name w:val="heading 9"/>
    <w:basedOn w:val="1"/>
    <w:next w:val="1"/>
    <w:link w:val="62"/>
    <w:qFormat/>
    <w:uiPriority w:val="0"/>
    <w:pPr>
      <w:keepLines/>
      <w:widowControl/>
      <w:numPr>
        <w:ilvl w:val="8"/>
        <w:numId w:val="1"/>
      </w:numPr>
      <w:tabs>
        <w:tab w:val="clear" w:pos="2520"/>
      </w:tabs>
      <w:ind w:firstLineChars="0"/>
      <w:jc w:val="center"/>
      <w:outlineLvl w:val="8"/>
    </w:pPr>
    <w:rPr>
      <w:b/>
    </w:rPr>
  </w:style>
  <w:style w:type="character" w:default="1" w:styleId="37">
    <w:name w:val="Default Paragraph Font"/>
    <w:semiHidden/>
    <w:unhideWhenUsed/>
    <w:uiPriority w:val="1"/>
  </w:style>
  <w:style w:type="table" w:default="1" w:styleId="35">
    <w:name w:val="Normal Table"/>
    <w:semiHidden/>
    <w:unhideWhenUsed/>
    <w:uiPriority w:val="99"/>
    <w:tblPr>
      <w:tblCellMar>
        <w:top w:w="0" w:type="dxa"/>
        <w:left w:w="108" w:type="dxa"/>
        <w:bottom w:w="0" w:type="dxa"/>
        <w:right w:w="108" w:type="dxa"/>
      </w:tblCellMar>
    </w:tblPr>
  </w:style>
  <w:style w:type="paragraph" w:styleId="11">
    <w:name w:val="toc 7"/>
    <w:basedOn w:val="1"/>
    <w:next w:val="1"/>
    <w:uiPriority w:val="39"/>
    <w:pPr>
      <w:ind w:left="2520" w:leftChars="1200" w:firstLine="200"/>
    </w:pPr>
    <w:rPr>
      <w:rFonts w:ascii="宋体"/>
    </w:rPr>
  </w:style>
  <w:style w:type="paragraph" w:styleId="12">
    <w:name w:val="Normal Indent"/>
    <w:basedOn w:val="1"/>
    <w:link w:val="125"/>
    <w:unhideWhenUsed/>
    <w:qFormat/>
    <w:uiPriority w:val="0"/>
    <w:pPr>
      <w:ind w:firstLine="420"/>
      <w:jc w:val="both"/>
    </w:pPr>
    <w:rPr>
      <w:szCs w:val="22"/>
    </w:rPr>
  </w:style>
  <w:style w:type="paragraph" w:styleId="13">
    <w:name w:val="caption"/>
    <w:basedOn w:val="1"/>
    <w:next w:val="1"/>
    <w:qFormat/>
    <w:uiPriority w:val="0"/>
    <w:pPr>
      <w:spacing w:before="152" w:after="160"/>
      <w:ind w:firstLine="200"/>
    </w:pPr>
    <w:rPr>
      <w:rFonts w:ascii="Arial" w:hAnsi="Arial" w:eastAsia="黑体" w:cs="Arial"/>
      <w:sz w:val="20"/>
      <w:szCs w:val="20"/>
    </w:rPr>
  </w:style>
  <w:style w:type="paragraph" w:styleId="14">
    <w:name w:val="annotation text"/>
    <w:basedOn w:val="1"/>
    <w:link w:val="138"/>
    <w:semiHidden/>
    <w:unhideWhenUsed/>
    <w:qFormat/>
    <w:uiPriority w:val="0"/>
  </w:style>
  <w:style w:type="paragraph" w:styleId="15">
    <w:name w:val="Body Text"/>
    <w:basedOn w:val="1"/>
    <w:link w:val="153"/>
    <w:semiHidden/>
    <w:unhideWhenUsed/>
    <w:uiPriority w:val="99"/>
    <w:pPr>
      <w:spacing w:after="120"/>
    </w:pPr>
  </w:style>
  <w:style w:type="paragraph" w:styleId="16">
    <w:name w:val="Body Text Indent"/>
    <w:basedOn w:val="1"/>
    <w:link w:val="151"/>
    <w:semiHidden/>
    <w:unhideWhenUsed/>
    <w:uiPriority w:val="99"/>
    <w:pPr>
      <w:spacing w:after="120"/>
      <w:ind w:left="420" w:leftChars="200"/>
    </w:pPr>
  </w:style>
  <w:style w:type="paragraph" w:styleId="17">
    <w:name w:val="toc 5"/>
    <w:basedOn w:val="1"/>
    <w:next w:val="1"/>
    <w:uiPriority w:val="39"/>
    <w:pPr>
      <w:ind w:left="1680" w:leftChars="800" w:firstLine="200"/>
    </w:pPr>
    <w:rPr>
      <w:rFonts w:ascii="宋体"/>
    </w:rPr>
  </w:style>
  <w:style w:type="paragraph" w:styleId="18">
    <w:name w:val="toc 3"/>
    <w:basedOn w:val="1"/>
    <w:next w:val="1"/>
    <w:uiPriority w:val="39"/>
    <w:pPr>
      <w:tabs>
        <w:tab w:val="left" w:pos="1155"/>
        <w:tab w:val="right" w:leader="dot" w:pos="9380"/>
      </w:tabs>
      <w:ind w:left="220" w:leftChars="220" w:firstLine="0" w:firstLineChars="0"/>
      <w:jc w:val="both"/>
    </w:pPr>
  </w:style>
  <w:style w:type="paragraph" w:styleId="19">
    <w:name w:val="toc 8"/>
    <w:basedOn w:val="1"/>
    <w:next w:val="1"/>
    <w:uiPriority w:val="39"/>
    <w:pPr>
      <w:ind w:left="2940" w:leftChars="1400" w:firstLine="200"/>
    </w:pPr>
    <w:rPr>
      <w:rFonts w:ascii="宋体"/>
    </w:rPr>
  </w:style>
  <w:style w:type="paragraph" w:styleId="20">
    <w:name w:val="Date"/>
    <w:basedOn w:val="1"/>
    <w:next w:val="1"/>
    <w:link w:val="71"/>
    <w:qFormat/>
    <w:uiPriority w:val="0"/>
    <w:pPr>
      <w:ind w:left="100" w:leftChars="2500"/>
    </w:pPr>
    <w:rPr>
      <w:rFonts w:ascii="仿宋_GB2312" w:eastAsia="仿宋_GB2312"/>
      <w:color w:val="FF0000"/>
      <w:kern w:val="0"/>
      <w:sz w:val="28"/>
      <w:szCs w:val="20"/>
    </w:rPr>
  </w:style>
  <w:style w:type="paragraph" w:styleId="21">
    <w:name w:val="Body Text Indent 2"/>
    <w:basedOn w:val="1"/>
    <w:link w:val="161"/>
    <w:semiHidden/>
    <w:unhideWhenUsed/>
    <w:uiPriority w:val="99"/>
    <w:pPr>
      <w:spacing w:after="120" w:line="480" w:lineRule="auto"/>
      <w:ind w:left="420" w:leftChars="200"/>
    </w:pPr>
  </w:style>
  <w:style w:type="paragraph" w:styleId="22">
    <w:name w:val="Balloon Text"/>
    <w:basedOn w:val="1"/>
    <w:link w:val="140"/>
    <w:semiHidden/>
    <w:unhideWhenUsed/>
    <w:uiPriority w:val="0"/>
    <w:pPr>
      <w:spacing w:line="240" w:lineRule="auto"/>
    </w:pPr>
    <w:rPr>
      <w:sz w:val="18"/>
      <w:szCs w:val="18"/>
    </w:rPr>
  </w:style>
  <w:style w:type="paragraph" w:styleId="23">
    <w:name w:val="footer"/>
    <w:basedOn w:val="1"/>
    <w:link w:val="75"/>
    <w:qFormat/>
    <w:uiPriority w:val="99"/>
    <w:pPr>
      <w:snapToGrid w:val="0"/>
      <w:spacing w:line="240" w:lineRule="auto"/>
      <w:ind w:firstLine="0" w:firstLineChars="0"/>
      <w:jc w:val="center"/>
    </w:pPr>
    <w:rPr>
      <w:sz w:val="18"/>
      <w:szCs w:val="18"/>
    </w:rPr>
  </w:style>
  <w:style w:type="paragraph" w:styleId="24">
    <w:name w:val="header"/>
    <w:basedOn w:val="1"/>
    <w:link w:val="76"/>
    <w:uiPriority w:val="0"/>
    <w:pPr>
      <w:pBdr>
        <w:bottom w:val="thickThinSmallGap" w:color="auto" w:sz="12" w:space="1"/>
      </w:pBdr>
      <w:snapToGrid w:val="0"/>
      <w:spacing w:after="100" w:afterLines="100"/>
      <w:ind w:firstLine="0" w:firstLineChars="0"/>
    </w:pPr>
    <w:rPr>
      <w:sz w:val="18"/>
      <w:szCs w:val="18"/>
    </w:rPr>
  </w:style>
  <w:style w:type="paragraph" w:styleId="25">
    <w:name w:val="toc 1"/>
    <w:basedOn w:val="1"/>
    <w:next w:val="1"/>
    <w:uiPriority w:val="39"/>
    <w:pPr>
      <w:keepLines/>
      <w:widowControl/>
      <w:tabs>
        <w:tab w:val="left" w:pos="552"/>
        <w:tab w:val="right" w:leader="dot" w:pos="9380"/>
      </w:tabs>
      <w:spacing w:before="50" w:beforeLines="50" w:after="50" w:afterLines="50"/>
      <w:ind w:firstLine="0" w:firstLineChars="0"/>
      <w:jc w:val="both"/>
    </w:pPr>
    <w:rPr>
      <w:rFonts w:eastAsia="黑体"/>
    </w:rPr>
  </w:style>
  <w:style w:type="paragraph" w:styleId="26">
    <w:name w:val="toc 4"/>
    <w:basedOn w:val="1"/>
    <w:next w:val="1"/>
    <w:uiPriority w:val="39"/>
    <w:pPr>
      <w:tabs>
        <w:tab w:val="left" w:pos="1785"/>
        <w:tab w:val="right" w:leader="dot" w:pos="9345"/>
      </w:tabs>
      <w:ind w:left="390" w:leftChars="390" w:firstLine="0" w:firstLineChars="0"/>
    </w:pPr>
    <w:rPr>
      <w:rFonts w:ascii="宋体"/>
    </w:rPr>
  </w:style>
  <w:style w:type="paragraph" w:styleId="27">
    <w:name w:val="Subtitle"/>
    <w:basedOn w:val="1"/>
    <w:next w:val="1"/>
    <w:link w:val="68"/>
    <w:qFormat/>
    <w:uiPriority w:val="11"/>
    <w:pPr>
      <w:spacing w:before="240" w:after="60" w:line="312" w:lineRule="auto"/>
      <w:jc w:val="center"/>
      <w:outlineLvl w:val="1"/>
    </w:pPr>
    <w:rPr>
      <w:rFonts w:ascii="Cambria" w:hAnsi="Cambria"/>
      <w:b/>
      <w:bCs/>
      <w:kern w:val="28"/>
      <w:sz w:val="32"/>
      <w:szCs w:val="32"/>
    </w:rPr>
  </w:style>
  <w:style w:type="paragraph" w:styleId="28">
    <w:name w:val="toc 6"/>
    <w:basedOn w:val="1"/>
    <w:next w:val="1"/>
    <w:uiPriority w:val="39"/>
    <w:pPr>
      <w:ind w:left="2100" w:leftChars="1000" w:firstLine="200"/>
    </w:pPr>
    <w:rPr>
      <w:rFonts w:ascii="宋体"/>
    </w:rPr>
  </w:style>
  <w:style w:type="paragraph" w:styleId="29">
    <w:name w:val="toc 2"/>
    <w:basedOn w:val="1"/>
    <w:next w:val="1"/>
    <w:uiPriority w:val="39"/>
    <w:pPr>
      <w:keepLines/>
      <w:widowControl/>
      <w:tabs>
        <w:tab w:val="left" w:pos="735"/>
        <w:tab w:val="right" w:leader="dot" w:pos="9380"/>
      </w:tabs>
      <w:ind w:left="130" w:leftChars="130" w:firstLine="0" w:firstLineChars="0"/>
      <w:jc w:val="both"/>
    </w:pPr>
  </w:style>
  <w:style w:type="paragraph" w:styleId="30">
    <w:name w:val="toc 9"/>
    <w:basedOn w:val="1"/>
    <w:next w:val="1"/>
    <w:uiPriority w:val="39"/>
    <w:pPr>
      <w:ind w:left="3360" w:leftChars="1600" w:firstLine="200"/>
    </w:pPr>
    <w:rPr>
      <w:rFonts w:ascii="宋体"/>
    </w:rPr>
  </w:style>
  <w:style w:type="paragraph" w:styleId="31">
    <w:name w:val="index 1"/>
    <w:basedOn w:val="1"/>
    <w:next w:val="1"/>
    <w:semiHidden/>
    <w:qFormat/>
    <w:uiPriority w:val="0"/>
    <w:pPr>
      <w:ind w:firstLine="0"/>
    </w:pPr>
  </w:style>
  <w:style w:type="paragraph" w:styleId="32">
    <w:name w:val="Title"/>
    <w:basedOn w:val="1"/>
    <w:next w:val="1"/>
    <w:link w:val="86"/>
    <w:uiPriority w:val="0"/>
    <w:pPr>
      <w:widowControl/>
      <w:spacing w:before="240" w:after="60" w:line="240" w:lineRule="auto"/>
      <w:ind w:left="50" w:leftChars="50" w:hanging="420" w:firstLineChars="0"/>
      <w:jc w:val="center"/>
      <w:outlineLvl w:val="0"/>
    </w:pPr>
    <w:rPr>
      <w:rFonts w:ascii="Cambria" w:hAnsi="Cambria"/>
      <w:b/>
      <w:bCs/>
      <w:kern w:val="28"/>
      <w:sz w:val="32"/>
      <w:szCs w:val="32"/>
      <w:lang w:eastAsia="en-US" w:bidi="en-US"/>
    </w:rPr>
  </w:style>
  <w:style w:type="paragraph" w:styleId="33">
    <w:name w:val="annotation subject"/>
    <w:basedOn w:val="14"/>
    <w:next w:val="14"/>
    <w:link w:val="139"/>
    <w:semiHidden/>
    <w:unhideWhenUsed/>
    <w:uiPriority w:val="0"/>
    <w:rPr>
      <w:b/>
      <w:bCs/>
    </w:rPr>
  </w:style>
  <w:style w:type="paragraph" w:styleId="34">
    <w:name w:val="Body Text First Indent 2"/>
    <w:basedOn w:val="16"/>
    <w:link w:val="152"/>
    <w:semiHidden/>
    <w:qFormat/>
    <w:uiPriority w:val="99"/>
    <w:pPr>
      <w:snapToGrid w:val="0"/>
      <w:spacing w:before="156"/>
      <w:ind w:right="240" w:firstLine="420"/>
      <w:jc w:val="both"/>
    </w:pPr>
    <w:rPr>
      <w:kern w:val="0"/>
      <w:sz w:val="20"/>
      <w:szCs w:val="20"/>
    </w:rPr>
  </w:style>
  <w:style w:type="table" w:styleId="36">
    <w:name w:val="Table Grid"/>
    <w:basedOn w:val="35"/>
    <w:qFormat/>
    <w:uiPriority w:val="3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bCs/>
    </w:rPr>
  </w:style>
  <w:style w:type="character" w:styleId="39">
    <w:name w:val="FollowedHyperlink"/>
    <w:basedOn w:val="37"/>
    <w:semiHidden/>
    <w:unhideWhenUsed/>
    <w:uiPriority w:val="99"/>
    <w:rPr>
      <w:color w:val="954F72"/>
      <w:u w:val="single"/>
    </w:rPr>
  </w:style>
  <w:style w:type="character" w:styleId="40">
    <w:name w:val="Hyperlink"/>
    <w:uiPriority w:val="99"/>
    <w:rPr>
      <w:color w:val="0000FF"/>
      <w:u w:val="single"/>
    </w:rPr>
  </w:style>
  <w:style w:type="character" w:styleId="41">
    <w:name w:val="annotation reference"/>
    <w:basedOn w:val="37"/>
    <w:semiHidden/>
    <w:unhideWhenUsed/>
    <w:qFormat/>
    <w:uiPriority w:val="0"/>
    <w:rPr>
      <w:sz w:val="21"/>
      <w:szCs w:val="21"/>
    </w:rPr>
  </w:style>
  <w:style w:type="character" w:customStyle="1" w:styleId="42">
    <w:name w:val="页眉 字符"/>
    <w:basedOn w:val="37"/>
    <w:qFormat/>
    <w:uiPriority w:val="0"/>
    <w:rPr>
      <w:rFonts w:ascii="Times New Roman" w:hAnsi="Times New Roman" w:eastAsia="宋体" w:cs="Times New Roman"/>
      <w:sz w:val="18"/>
      <w:szCs w:val="18"/>
    </w:rPr>
  </w:style>
  <w:style w:type="character" w:customStyle="1" w:styleId="43">
    <w:name w:val="页脚 字符"/>
    <w:basedOn w:val="37"/>
    <w:qFormat/>
    <w:uiPriority w:val="99"/>
    <w:rPr>
      <w:rFonts w:ascii="Times New Roman" w:hAnsi="Times New Roman" w:eastAsia="宋体" w:cs="Times New Roman"/>
      <w:sz w:val="18"/>
      <w:szCs w:val="18"/>
    </w:rPr>
  </w:style>
  <w:style w:type="character" w:customStyle="1" w:styleId="44">
    <w:name w:val="Char Char"/>
    <w:qFormat/>
    <w:uiPriority w:val="0"/>
    <w:rPr>
      <w:rFonts w:eastAsia="宋体"/>
      <w:kern w:val="2"/>
      <w:sz w:val="18"/>
      <w:szCs w:val="18"/>
      <w:lang w:val="en-US" w:eastAsia="zh-CN" w:bidi="ar-SA"/>
    </w:rPr>
  </w:style>
  <w:style w:type="character" w:customStyle="1" w:styleId="45">
    <w:name w:val="标题 1 字符"/>
    <w:basedOn w:val="37"/>
    <w:qFormat/>
    <w:uiPriority w:val="0"/>
    <w:rPr>
      <w:rFonts w:ascii="Times New Roman" w:hAnsi="Times New Roman" w:eastAsia="宋体" w:cs="Times New Roman"/>
      <w:b/>
      <w:bCs/>
      <w:kern w:val="44"/>
      <w:sz w:val="44"/>
      <w:szCs w:val="44"/>
    </w:rPr>
  </w:style>
  <w:style w:type="character" w:customStyle="1" w:styleId="46">
    <w:name w:val="标题 1 字符1"/>
    <w:link w:val="2"/>
    <w:uiPriority w:val="0"/>
    <w:rPr>
      <w:rFonts w:ascii="Times New Roman" w:hAnsi="Times New Roman" w:eastAsia="黑体" w:cs="Times New Roman"/>
      <w:bCs/>
      <w:kern w:val="44"/>
      <w:sz w:val="28"/>
      <w:szCs w:val="28"/>
    </w:rPr>
  </w:style>
  <w:style w:type="character" w:customStyle="1" w:styleId="47">
    <w:name w:val="标题 2 字符"/>
    <w:basedOn w:val="37"/>
    <w:qFormat/>
    <w:uiPriority w:val="0"/>
    <w:rPr>
      <w:rFonts w:asciiTheme="majorHAnsi" w:hAnsiTheme="majorHAnsi" w:eastAsiaTheme="majorEastAsia" w:cstheme="majorBidi"/>
      <w:b/>
      <w:bCs/>
      <w:sz w:val="32"/>
      <w:szCs w:val="32"/>
    </w:rPr>
  </w:style>
  <w:style w:type="character" w:customStyle="1" w:styleId="48">
    <w:name w:val="标题 2 字符1"/>
    <w:link w:val="3"/>
    <w:qFormat/>
    <w:uiPriority w:val="0"/>
    <w:rPr>
      <w:rFonts w:ascii="Times New Roman" w:hAnsi="Times New Roman" w:eastAsia="黑体" w:cs="Times New Roman"/>
      <w:bCs/>
      <w:kern w:val="44"/>
      <w:sz w:val="28"/>
      <w:szCs w:val="28"/>
    </w:rPr>
  </w:style>
  <w:style w:type="character" w:customStyle="1" w:styleId="49">
    <w:name w:val="标题 3 字符"/>
    <w:basedOn w:val="37"/>
    <w:qFormat/>
    <w:uiPriority w:val="0"/>
    <w:rPr>
      <w:rFonts w:ascii="Times New Roman" w:hAnsi="Times New Roman" w:eastAsia="宋体" w:cs="Times New Roman"/>
      <w:b/>
      <w:bCs/>
      <w:sz w:val="32"/>
      <w:szCs w:val="32"/>
    </w:rPr>
  </w:style>
  <w:style w:type="character" w:customStyle="1" w:styleId="50">
    <w:name w:val="标题 3 字符1"/>
    <w:link w:val="4"/>
    <w:qFormat/>
    <w:uiPriority w:val="0"/>
    <w:rPr>
      <w:rFonts w:ascii="Times New Roman" w:hAnsi="Times New Roman" w:eastAsia="黑体" w:cs="Times New Roman"/>
      <w:kern w:val="44"/>
      <w:sz w:val="28"/>
      <w:szCs w:val="28"/>
    </w:rPr>
  </w:style>
  <w:style w:type="character" w:customStyle="1" w:styleId="51">
    <w:name w:val="标题 4 字符"/>
    <w:basedOn w:val="37"/>
    <w:qFormat/>
    <w:uiPriority w:val="0"/>
    <w:rPr>
      <w:rFonts w:asciiTheme="majorHAnsi" w:hAnsiTheme="majorHAnsi" w:eastAsiaTheme="majorEastAsia" w:cstheme="majorBidi"/>
      <w:b/>
      <w:bCs/>
      <w:sz w:val="28"/>
      <w:szCs w:val="28"/>
    </w:rPr>
  </w:style>
  <w:style w:type="character" w:customStyle="1" w:styleId="52">
    <w:name w:val="标题 4 字符1"/>
    <w:link w:val="5"/>
    <w:qFormat/>
    <w:uiPriority w:val="0"/>
    <w:rPr>
      <w:rFonts w:ascii="Times New Roman" w:hAnsi="Times New Roman" w:eastAsia="黑体" w:cs="Times New Roman"/>
      <w:bCs/>
      <w:kern w:val="44"/>
      <w:sz w:val="28"/>
      <w:szCs w:val="28"/>
    </w:rPr>
  </w:style>
  <w:style w:type="character" w:customStyle="1" w:styleId="53">
    <w:name w:val="标题 5 字符"/>
    <w:basedOn w:val="37"/>
    <w:qFormat/>
    <w:uiPriority w:val="0"/>
    <w:rPr>
      <w:rFonts w:ascii="Times New Roman" w:hAnsi="Times New Roman" w:eastAsia="宋体" w:cs="Times New Roman"/>
      <w:b/>
      <w:bCs/>
      <w:sz w:val="28"/>
      <w:szCs w:val="28"/>
    </w:rPr>
  </w:style>
  <w:style w:type="character" w:customStyle="1" w:styleId="54">
    <w:name w:val="标题 5 字符1"/>
    <w:link w:val="6"/>
    <w:qFormat/>
    <w:uiPriority w:val="0"/>
    <w:rPr>
      <w:rFonts w:ascii="Times New Roman" w:hAnsi="Times New Roman" w:eastAsia="黑体" w:cs="Times New Roman"/>
      <w:bCs/>
      <w:kern w:val="44"/>
      <w:sz w:val="28"/>
      <w:szCs w:val="28"/>
    </w:rPr>
  </w:style>
  <w:style w:type="character" w:customStyle="1" w:styleId="55">
    <w:name w:val="标题 6 字符"/>
    <w:basedOn w:val="37"/>
    <w:qFormat/>
    <w:uiPriority w:val="0"/>
    <w:rPr>
      <w:rFonts w:asciiTheme="majorHAnsi" w:hAnsiTheme="majorHAnsi" w:eastAsiaTheme="majorEastAsia" w:cstheme="majorBidi"/>
      <w:b/>
      <w:bCs/>
      <w:sz w:val="24"/>
      <w:szCs w:val="24"/>
    </w:rPr>
  </w:style>
  <w:style w:type="character" w:customStyle="1" w:styleId="56">
    <w:name w:val="标题 6 字符1"/>
    <w:link w:val="7"/>
    <w:qFormat/>
    <w:uiPriority w:val="0"/>
    <w:rPr>
      <w:rFonts w:ascii="Times New Roman" w:hAnsi="Times New Roman" w:eastAsia="黑体" w:cs="Times New Roman"/>
      <w:bCs/>
      <w:kern w:val="44"/>
      <w:sz w:val="28"/>
      <w:szCs w:val="28"/>
    </w:rPr>
  </w:style>
  <w:style w:type="character" w:customStyle="1" w:styleId="57">
    <w:name w:val="标题 7 字符"/>
    <w:basedOn w:val="37"/>
    <w:uiPriority w:val="0"/>
    <w:rPr>
      <w:rFonts w:ascii="Times New Roman" w:hAnsi="Times New Roman" w:eastAsia="宋体" w:cs="Times New Roman"/>
      <w:b/>
      <w:bCs/>
      <w:sz w:val="24"/>
      <w:szCs w:val="24"/>
    </w:rPr>
  </w:style>
  <w:style w:type="character" w:customStyle="1" w:styleId="58">
    <w:name w:val="标题 7 字符1"/>
    <w:link w:val="8"/>
    <w:uiPriority w:val="0"/>
    <w:rPr>
      <w:rFonts w:ascii="Times New Roman" w:hAnsi="Times New Roman" w:eastAsia="黑体" w:cs="Times New Roman"/>
      <w:bCs/>
      <w:kern w:val="44"/>
      <w:sz w:val="28"/>
      <w:szCs w:val="28"/>
    </w:rPr>
  </w:style>
  <w:style w:type="character" w:customStyle="1" w:styleId="59">
    <w:name w:val="标题 8 字符"/>
    <w:basedOn w:val="37"/>
    <w:uiPriority w:val="0"/>
    <w:rPr>
      <w:rFonts w:asciiTheme="majorHAnsi" w:hAnsiTheme="majorHAnsi" w:eastAsiaTheme="majorEastAsia" w:cstheme="majorBidi"/>
      <w:sz w:val="24"/>
      <w:szCs w:val="24"/>
    </w:rPr>
  </w:style>
  <w:style w:type="character" w:customStyle="1" w:styleId="60">
    <w:name w:val="标题 8 字符1"/>
    <w:link w:val="9"/>
    <w:uiPriority w:val="0"/>
    <w:rPr>
      <w:rFonts w:ascii="Times New Roman" w:hAnsi="Times New Roman" w:eastAsia="宋体" w:cs="Times New Roman"/>
      <w:b/>
      <w:sz w:val="24"/>
      <w:szCs w:val="24"/>
    </w:rPr>
  </w:style>
  <w:style w:type="character" w:customStyle="1" w:styleId="61">
    <w:name w:val="标题 9 字符"/>
    <w:basedOn w:val="37"/>
    <w:uiPriority w:val="0"/>
    <w:rPr>
      <w:rFonts w:asciiTheme="majorHAnsi" w:hAnsiTheme="majorHAnsi" w:eastAsiaTheme="majorEastAsia" w:cstheme="majorBidi"/>
      <w:szCs w:val="21"/>
    </w:rPr>
  </w:style>
  <w:style w:type="character" w:customStyle="1" w:styleId="62">
    <w:name w:val="标题 9 字符1"/>
    <w:link w:val="10"/>
    <w:uiPriority w:val="0"/>
    <w:rPr>
      <w:rFonts w:ascii="Times New Roman" w:hAnsi="Times New Roman" w:eastAsia="宋体" w:cs="Times New Roman"/>
      <w:b/>
      <w:sz w:val="24"/>
      <w:szCs w:val="24"/>
    </w:rPr>
  </w:style>
  <w:style w:type="paragraph" w:customStyle="1" w:styleId="63">
    <w:name w:val="表格"/>
    <w:basedOn w:val="1"/>
    <w:semiHidden/>
    <w:uiPriority w:val="0"/>
    <w:pPr>
      <w:widowControl/>
      <w:tabs>
        <w:tab w:val="left" w:pos="960"/>
        <w:tab w:val="left" w:pos="3828"/>
      </w:tabs>
      <w:overflowPunct w:val="0"/>
      <w:autoSpaceDE w:val="0"/>
      <w:autoSpaceDN w:val="0"/>
      <w:adjustRightInd w:val="0"/>
      <w:spacing w:line="400" w:lineRule="atLeast"/>
      <w:ind w:right="-108"/>
      <w:jc w:val="center"/>
      <w:textAlignment w:val="baseline"/>
    </w:pPr>
    <w:rPr>
      <w:rFonts w:ascii="宋体"/>
      <w:color w:val="000000"/>
      <w:kern w:val="0"/>
      <w:szCs w:val="20"/>
    </w:rPr>
  </w:style>
  <w:style w:type="table" w:customStyle="1" w:styleId="64">
    <w:name w:val="表格边框(V1)"/>
    <w:basedOn w:val="35"/>
    <w:uiPriority w:val="0"/>
    <w:rPr>
      <w:rFonts w:ascii="Times New Roman" w:hAnsi="Times New Roman" w:eastAsia="宋体" w:cs="Times New Roman"/>
      <w:kern w:val="0"/>
      <w:sz w:val="20"/>
      <w:szCs w:val="20"/>
    </w:rPr>
    <w:tblPr>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
    <w:trPr>
      <w:cantSplit/>
      <w:jc w:val="center"/>
    </w:trPr>
    <w:tcPr>
      <w:vAlign w:val="center"/>
    </w:tcPr>
  </w:style>
  <w:style w:type="paragraph" w:customStyle="1" w:styleId="65">
    <w:name w:val="表格内容五号(V1)"/>
    <w:basedOn w:val="1"/>
    <w:uiPriority w:val="0"/>
    <w:pPr>
      <w:spacing w:line="240" w:lineRule="auto"/>
      <w:ind w:firstLine="0" w:firstLineChars="0"/>
      <w:jc w:val="center"/>
    </w:pPr>
    <w:rPr>
      <w:rFonts w:cs="Arial Unicode MS"/>
      <w:kern w:val="0"/>
      <w:sz w:val="21"/>
      <w:szCs w:val="21"/>
    </w:rPr>
  </w:style>
  <w:style w:type="paragraph" w:customStyle="1" w:styleId="66">
    <w:name w:val="表格内容小五(V1)"/>
    <w:basedOn w:val="65"/>
    <w:uiPriority w:val="0"/>
    <w:rPr>
      <w:sz w:val="18"/>
      <w:szCs w:val="18"/>
    </w:rPr>
  </w:style>
  <w:style w:type="character" w:customStyle="1" w:styleId="67">
    <w:name w:val="副标题 字符"/>
    <w:basedOn w:val="37"/>
    <w:uiPriority w:val="11"/>
    <w:rPr>
      <w:b/>
      <w:bCs/>
      <w:kern w:val="28"/>
      <w:sz w:val="32"/>
      <w:szCs w:val="32"/>
    </w:rPr>
  </w:style>
  <w:style w:type="character" w:customStyle="1" w:styleId="68">
    <w:name w:val="副标题 字符1"/>
    <w:link w:val="27"/>
    <w:uiPriority w:val="11"/>
    <w:rPr>
      <w:rFonts w:ascii="Cambria" w:hAnsi="Cambria" w:eastAsia="宋体" w:cs="Times New Roman"/>
      <w:b/>
      <w:bCs/>
      <w:kern w:val="28"/>
      <w:sz w:val="32"/>
      <w:szCs w:val="32"/>
    </w:rPr>
  </w:style>
  <w:style w:type="paragraph" w:customStyle="1" w:styleId="69">
    <w:name w:val="目录标题(V1)"/>
    <w:basedOn w:val="1"/>
    <w:uiPriority w:val="0"/>
    <w:pPr>
      <w:keepNext/>
      <w:keepLines/>
      <w:widowControl/>
      <w:spacing w:before="240" w:beforeLines="100" w:after="240" w:afterLines="100" w:line="240" w:lineRule="auto"/>
      <w:ind w:firstLine="0" w:firstLineChars="0"/>
      <w:jc w:val="center"/>
    </w:pPr>
    <w:rPr>
      <w:rFonts w:eastAsia="黑体" w:cs="宋体"/>
      <w:color w:val="000000"/>
      <w:spacing w:val="200"/>
      <w:kern w:val="0"/>
      <w:sz w:val="32"/>
      <w:szCs w:val="32"/>
    </w:rPr>
  </w:style>
  <w:style w:type="character" w:customStyle="1" w:styleId="70">
    <w:name w:val="日期 字符"/>
    <w:basedOn w:val="37"/>
    <w:qFormat/>
    <w:uiPriority w:val="0"/>
    <w:rPr>
      <w:rFonts w:ascii="Times New Roman" w:hAnsi="Times New Roman" w:eastAsia="宋体" w:cs="Times New Roman"/>
      <w:sz w:val="24"/>
      <w:szCs w:val="24"/>
    </w:rPr>
  </w:style>
  <w:style w:type="character" w:customStyle="1" w:styleId="71">
    <w:name w:val="日期 字符1"/>
    <w:link w:val="20"/>
    <w:semiHidden/>
    <w:qFormat/>
    <w:uiPriority w:val="0"/>
    <w:rPr>
      <w:rFonts w:ascii="仿宋_GB2312" w:hAnsi="Times New Roman" w:eastAsia="仿宋_GB2312" w:cs="Times New Roman"/>
      <w:color w:val="FF0000"/>
      <w:kern w:val="0"/>
      <w:sz w:val="28"/>
      <w:szCs w:val="20"/>
    </w:rPr>
  </w:style>
  <w:style w:type="paragraph" w:customStyle="1" w:styleId="72">
    <w:name w:val="图纸目录(V1)"/>
    <w:basedOn w:val="1"/>
    <w:link w:val="73"/>
    <w:qFormat/>
    <w:uiPriority w:val="0"/>
    <w:pPr>
      <w:numPr>
        <w:ilvl w:val="0"/>
        <w:numId w:val="2"/>
      </w:numPr>
      <w:tabs>
        <w:tab w:val="left" w:pos="840"/>
        <w:tab w:val="left" w:pos="960"/>
        <w:tab w:val="left" w:pos="1080"/>
        <w:tab w:val="right" w:pos="9379"/>
      </w:tabs>
      <w:adjustRightInd w:val="0"/>
      <w:ind w:firstLine="0" w:firstLineChars="0"/>
      <w:jc w:val="both"/>
    </w:pPr>
  </w:style>
  <w:style w:type="character" w:customStyle="1" w:styleId="73">
    <w:name w:val="图纸目录(V1) Char Char"/>
    <w:link w:val="72"/>
    <w:qFormat/>
    <w:uiPriority w:val="0"/>
    <w:rPr>
      <w:rFonts w:ascii="Times New Roman" w:hAnsi="Times New Roman" w:eastAsia="宋体" w:cs="Times New Roman"/>
      <w:sz w:val="24"/>
      <w:szCs w:val="24"/>
    </w:rPr>
  </w:style>
  <w:style w:type="paragraph" w:customStyle="1" w:styleId="74">
    <w:name w:val="图纸编号(V1)"/>
    <w:basedOn w:val="72"/>
    <w:qFormat/>
    <w:uiPriority w:val="0"/>
    <w:pPr>
      <w:numPr>
        <w:numId w:val="0"/>
      </w:numPr>
      <w:ind w:firstLine="482"/>
      <w:jc w:val="right"/>
    </w:pPr>
    <w:rPr>
      <w:rFonts w:cs="宋体"/>
    </w:rPr>
  </w:style>
  <w:style w:type="character" w:customStyle="1" w:styleId="75">
    <w:name w:val="页脚 字符1"/>
    <w:link w:val="23"/>
    <w:qFormat/>
    <w:uiPriority w:val="0"/>
    <w:rPr>
      <w:rFonts w:ascii="Times New Roman" w:hAnsi="Times New Roman" w:eastAsia="宋体" w:cs="Times New Roman"/>
      <w:sz w:val="18"/>
      <w:szCs w:val="18"/>
    </w:rPr>
  </w:style>
  <w:style w:type="character" w:customStyle="1" w:styleId="76">
    <w:name w:val="页眉 字符1"/>
    <w:link w:val="24"/>
    <w:qFormat/>
    <w:uiPriority w:val="0"/>
    <w:rPr>
      <w:rFonts w:ascii="Times New Roman" w:hAnsi="Times New Roman" w:eastAsia="宋体" w:cs="Times New Roman"/>
      <w:sz w:val="18"/>
      <w:szCs w:val="18"/>
    </w:rPr>
  </w:style>
  <w:style w:type="paragraph" w:customStyle="1" w:styleId="77">
    <w:name w:val="正文二级项目列(V1)"/>
    <w:basedOn w:val="1"/>
    <w:uiPriority w:val="0"/>
    <w:pPr>
      <w:numPr>
        <w:ilvl w:val="0"/>
        <w:numId w:val="3"/>
      </w:numPr>
      <w:tabs>
        <w:tab w:val="left" w:pos="840"/>
      </w:tabs>
      <w:ind w:firstLine="0" w:firstLineChars="0"/>
    </w:pPr>
  </w:style>
  <w:style w:type="paragraph" w:customStyle="1" w:styleId="78">
    <w:name w:val="正文三级项目列(V1)"/>
    <w:basedOn w:val="1"/>
    <w:uiPriority w:val="0"/>
    <w:pPr>
      <w:numPr>
        <w:ilvl w:val="0"/>
        <w:numId w:val="4"/>
      </w:numPr>
      <w:tabs>
        <w:tab w:val="left" w:pos="840"/>
      </w:tabs>
      <w:ind w:firstLine="0" w:firstLineChars="0"/>
    </w:pPr>
  </w:style>
  <w:style w:type="paragraph" w:customStyle="1" w:styleId="79">
    <w:name w:val="正文一级项目列(V1)"/>
    <w:basedOn w:val="1"/>
    <w:link w:val="167"/>
    <w:uiPriority w:val="0"/>
    <w:pPr>
      <w:numPr>
        <w:ilvl w:val="0"/>
        <w:numId w:val="5"/>
      </w:numPr>
      <w:tabs>
        <w:tab w:val="left" w:pos="840"/>
      </w:tabs>
      <w:ind w:firstLine="0" w:firstLineChars="0"/>
    </w:pPr>
  </w:style>
  <w:style w:type="character" w:customStyle="1" w:styleId="80">
    <w:name w:val="fontstyle01"/>
    <w:basedOn w:val="37"/>
    <w:uiPriority w:val="0"/>
    <w:rPr>
      <w:rFonts w:hint="eastAsia" w:ascii="宋体" w:hAnsi="宋体" w:eastAsia="宋体"/>
      <w:color w:val="000000"/>
      <w:sz w:val="38"/>
      <w:szCs w:val="38"/>
    </w:rPr>
  </w:style>
  <w:style w:type="character" w:customStyle="1" w:styleId="81">
    <w:name w:val="fontstyle11"/>
    <w:basedOn w:val="37"/>
    <w:uiPriority w:val="0"/>
    <w:rPr>
      <w:rFonts w:hint="default" w:ascii="DejaVuSans" w:hAnsi="DejaVuSans"/>
      <w:color w:val="000000"/>
      <w:sz w:val="30"/>
      <w:szCs w:val="30"/>
    </w:rPr>
  </w:style>
  <w:style w:type="character" w:customStyle="1" w:styleId="82">
    <w:name w:val="页眉 Char"/>
    <w:uiPriority w:val="0"/>
    <w:rPr>
      <w:rFonts w:eastAsia="宋体"/>
      <w:kern w:val="2"/>
      <w:sz w:val="18"/>
      <w:szCs w:val="18"/>
      <w:lang w:val="en-US" w:eastAsia="zh-CN" w:bidi="ar-SA"/>
    </w:rPr>
  </w:style>
  <w:style w:type="paragraph" w:customStyle="1" w:styleId="83">
    <w:name w:val="注×："/>
    <w:uiPriority w:val="0"/>
    <w:pPr>
      <w:widowControl w:val="0"/>
      <w:numPr>
        <w:ilvl w:val="0"/>
        <w:numId w:val="6"/>
      </w:numPr>
      <w:tabs>
        <w:tab w:val="left" w:pos="630"/>
      </w:tabs>
      <w:autoSpaceDE w:val="0"/>
      <w:autoSpaceDN w:val="0"/>
      <w:jc w:val="both"/>
    </w:pPr>
    <w:rPr>
      <w:rFonts w:ascii="宋体" w:hAnsi="Times New Roman" w:eastAsia="宋体" w:cs="Times New Roman"/>
      <w:kern w:val="0"/>
      <w:sz w:val="18"/>
      <w:szCs w:val="20"/>
      <w:lang w:val="en-US" w:eastAsia="zh-CN" w:bidi="ar-SA"/>
    </w:rPr>
  </w:style>
  <w:style w:type="paragraph" w:customStyle="1" w:styleId="84">
    <w:name w:val="01正文"/>
    <w:basedOn w:val="1"/>
    <w:link w:val="85"/>
    <w:uiPriority w:val="0"/>
    <w:pPr>
      <w:spacing w:line="580" w:lineRule="exact"/>
      <w:ind w:firstLine="560"/>
      <w:jc w:val="both"/>
    </w:pPr>
    <w:rPr>
      <w:rFonts w:eastAsia="仿宋"/>
      <w:sz w:val="28"/>
      <w:szCs w:val="21"/>
    </w:rPr>
  </w:style>
  <w:style w:type="character" w:customStyle="1" w:styleId="85">
    <w:name w:val="01正文 Char"/>
    <w:basedOn w:val="37"/>
    <w:link w:val="84"/>
    <w:qFormat/>
    <w:uiPriority w:val="0"/>
    <w:rPr>
      <w:rFonts w:ascii="Times New Roman" w:hAnsi="Times New Roman" w:eastAsia="仿宋" w:cs="Times New Roman"/>
      <w:sz w:val="28"/>
      <w:szCs w:val="21"/>
    </w:rPr>
  </w:style>
  <w:style w:type="character" w:customStyle="1" w:styleId="86">
    <w:name w:val="标题 字符"/>
    <w:basedOn w:val="37"/>
    <w:link w:val="32"/>
    <w:uiPriority w:val="0"/>
    <w:rPr>
      <w:rFonts w:ascii="Cambria" w:hAnsi="Cambria" w:eastAsia="宋体" w:cs="Times New Roman"/>
      <w:b/>
      <w:bCs/>
      <w:kern w:val="28"/>
      <w:sz w:val="32"/>
      <w:szCs w:val="32"/>
      <w:lang w:eastAsia="en-US" w:bidi="en-US"/>
    </w:rPr>
  </w:style>
  <w:style w:type="paragraph" w:customStyle="1" w:styleId="87">
    <w:name w:val="font5"/>
    <w:basedOn w:val="1"/>
    <w:uiPriority w:val="0"/>
    <w:pPr>
      <w:widowControl/>
      <w:spacing w:before="100" w:beforeAutospacing="1" w:after="100" w:afterAutospacing="1" w:line="240" w:lineRule="auto"/>
      <w:ind w:firstLine="0" w:firstLineChars="0"/>
    </w:pPr>
    <w:rPr>
      <w:rFonts w:ascii="等线" w:hAnsi="等线" w:eastAsia="等线" w:cs="宋体"/>
      <w:kern w:val="0"/>
      <w:sz w:val="18"/>
      <w:szCs w:val="18"/>
    </w:rPr>
  </w:style>
  <w:style w:type="character" w:customStyle="1" w:styleId="88">
    <w:name w:val="未处理的提及1"/>
    <w:basedOn w:val="37"/>
    <w:semiHidden/>
    <w:unhideWhenUsed/>
    <w:uiPriority w:val="99"/>
    <w:rPr>
      <w:color w:val="605E5C"/>
      <w:shd w:val="clear" w:color="auto" w:fill="E1DFDD"/>
    </w:rPr>
  </w:style>
  <w:style w:type="paragraph" w:customStyle="1" w:styleId="89">
    <w:name w:val="xl65"/>
    <w:basedOn w:val="1"/>
    <w:uiPriority w:val="0"/>
    <w:pPr>
      <w:widowControl/>
      <w:spacing w:before="100" w:beforeAutospacing="1" w:after="100" w:afterAutospacing="1" w:line="240" w:lineRule="auto"/>
      <w:ind w:firstLine="0" w:firstLineChars="0"/>
      <w:jc w:val="center"/>
    </w:pPr>
    <w:rPr>
      <w:rFonts w:ascii="宋体" w:hAnsi="宋体" w:cs="宋体"/>
      <w:kern w:val="0"/>
    </w:rPr>
  </w:style>
  <w:style w:type="paragraph" w:customStyle="1" w:styleId="90">
    <w:name w:val="xl6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rPr>
  </w:style>
  <w:style w:type="paragraph" w:customStyle="1" w:styleId="91">
    <w:name w:val="xl67"/>
    <w:basedOn w:val="1"/>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rPr>
  </w:style>
  <w:style w:type="paragraph" w:customStyle="1" w:styleId="92">
    <w:name w:val="xl68"/>
    <w:basedOn w:val="1"/>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rPr>
  </w:style>
  <w:style w:type="paragraph" w:customStyle="1" w:styleId="93">
    <w:name w:val="xl69"/>
    <w:basedOn w:val="1"/>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rPr>
  </w:style>
  <w:style w:type="paragraph" w:customStyle="1" w:styleId="94">
    <w:name w:val="xl7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95">
    <w:name w:val="xl71"/>
    <w:basedOn w:val="1"/>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rPr>
  </w:style>
  <w:style w:type="paragraph" w:customStyle="1" w:styleId="96">
    <w:name w:val="xl72"/>
    <w:basedOn w:val="1"/>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rPr>
  </w:style>
  <w:style w:type="paragraph" w:customStyle="1" w:styleId="97">
    <w:name w:val="xl73"/>
    <w:basedOn w:val="1"/>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rPr>
  </w:style>
  <w:style w:type="paragraph" w:customStyle="1" w:styleId="98">
    <w:name w:val="xl74"/>
    <w:basedOn w:val="1"/>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rPr>
  </w:style>
  <w:style w:type="paragraph" w:customStyle="1" w:styleId="99">
    <w:name w:val="xl75"/>
    <w:basedOn w:val="1"/>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rPr>
  </w:style>
  <w:style w:type="paragraph" w:customStyle="1" w:styleId="100">
    <w:name w:val="表格(五号)"/>
    <w:basedOn w:val="1"/>
    <w:link w:val="101"/>
    <w:qFormat/>
    <w:uiPriority w:val="99"/>
    <w:pPr>
      <w:adjustRightInd w:val="0"/>
      <w:snapToGrid w:val="0"/>
      <w:spacing w:before="60" w:after="60" w:line="240" w:lineRule="auto"/>
      <w:ind w:left="11" w:firstLine="0" w:firstLineChars="0"/>
      <w:jc w:val="center"/>
    </w:pPr>
    <w:rPr>
      <w:snapToGrid w:val="0"/>
      <w:kern w:val="0"/>
      <w:sz w:val="21"/>
      <w:szCs w:val="20"/>
    </w:rPr>
  </w:style>
  <w:style w:type="character" w:customStyle="1" w:styleId="101">
    <w:name w:val="表格(五号) Char"/>
    <w:link w:val="100"/>
    <w:qFormat/>
    <w:uiPriority w:val="99"/>
    <w:rPr>
      <w:rFonts w:ascii="Times New Roman" w:hAnsi="Times New Roman" w:eastAsia="宋体" w:cs="Times New Roman"/>
      <w:snapToGrid w:val="0"/>
      <w:kern w:val="0"/>
      <w:szCs w:val="20"/>
    </w:rPr>
  </w:style>
  <w:style w:type="table" w:customStyle="1" w:styleId="102">
    <w:name w:val="表格边框"/>
    <w:basedOn w:val="35"/>
    <w:uiPriority w:val="0"/>
    <w:rPr>
      <w:rFonts w:ascii="Times New Roman" w:hAnsi="Times New Roman" w:eastAsia="宋体" w:cs="Times New Roman"/>
      <w:kern w:val="0"/>
      <w:sz w:val="20"/>
      <w:szCs w:val="20"/>
    </w:rPr>
    <w:tblPr>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
    <w:trPr>
      <w:cantSplit/>
      <w:jc w:val="center"/>
    </w:trPr>
    <w:tcPr>
      <w:vAlign w:val="center"/>
    </w:tcPr>
  </w:style>
  <w:style w:type="paragraph" w:customStyle="1" w:styleId="103">
    <w:name w:val="表格内容五号"/>
    <w:basedOn w:val="1"/>
    <w:link w:val="104"/>
    <w:qFormat/>
    <w:uiPriority w:val="0"/>
    <w:pPr>
      <w:spacing w:line="240" w:lineRule="auto"/>
      <w:ind w:firstLine="0" w:firstLineChars="0"/>
      <w:jc w:val="center"/>
    </w:pPr>
    <w:rPr>
      <w:rFonts w:cs="Arial Unicode MS"/>
      <w:kern w:val="0"/>
      <w:sz w:val="21"/>
      <w:szCs w:val="21"/>
    </w:rPr>
  </w:style>
  <w:style w:type="character" w:customStyle="1" w:styleId="104">
    <w:name w:val="表格内容五号 Char"/>
    <w:link w:val="103"/>
    <w:qFormat/>
    <w:uiPriority w:val="0"/>
    <w:rPr>
      <w:rFonts w:ascii="Times New Roman" w:hAnsi="Times New Roman" w:eastAsia="宋体" w:cs="Arial Unicode MS"/>
      <w:kern w:val="0"/>
      <w:szCs w:val="21"/>
    </w:rPr>
  </w:style>
  <w:style w:type="paragraph" w:customStyle="1" w:styleId="105">
    <w:name w:val="表格内容小五"/>
    <w:basedOn w:val="103"/>
    <w:uiPriority w:val="0"/>
    <w:rPr>
      <w:sz w:val="18"/>
      <w:szCs w:val="18"/>
    </w:rPr>
  </w:style>
  <w:style w:type="paragraph" w:styleId="106">
    <w:name w:val="List Paragraph"/>
    <w:basedOn w:val="1"/>
    <w:link w:val="143"/>
    <w:unhideWhenUsed/>
    <w:qFormat/>
    <w:uiPriority w:val="34"/>
    <w:pPr>
      <w:ind w:firstLine="420"/>
    </w:pPr>
  </w:style>
  <w:style w:type="paragraph" w:customStyle="1" w:styleId="107">
    <w:name w:val="目录标题"/>
    <w:basedOn w:val="1"/>
    <w:uiPriority w:val="0"/>
    <w:pPr>
      <w:keepNext/>
      <w:keepLines/>
      <w:widowControl/>
      <w:spacing w:before="240" w:beforeLines="100" w:after="240" w:afterLines="100" w:line="240" w:lineRule="auto"/>
      <w:ind w:firstLine="0" w:firstLineChars="0"/>
      <w:jc w:val="center"/>
    </w:pPr>
    <w:rPr>
      <w:rFonts w:eastAsia="黑体" w:cs="宋体"/>
      <w:color w:val="000000"/>
      <w:spacing w:val="200"/>
      <w:kern w:val="0"/>
      <w:sz w:val="32"/>
      <w:szCs w:val="32"/>
    </w:rPr>
  </w:style>
  <w:style w:type="paragraph" w:customStyle="1" w:styleId="108">
    <w:name w:val="目录二级"/>
    <w:basedOn w:val="29"/>
    <w:uiPriority w:val="0"/>
    <w:rPr>
      <w:rFonts w:cs="宋体"/>
    </w:rPr>
  </w:style>
  <w:style w:type="paragraph" w:customStyle="1" w:styleId="109">
    <w:name w:val="目录三级"/>
    <w:basedOn w:val="18"/>
    <w:uiPriority w:val="0"/>
    <w:rPr>
      <w:rFonts w:cs="宋体"/>
    </w:rPr>
  </w:style>
  <w:style w:type="paragraph" w:customStyle="1" w:styleId="110">
    <w:name w:val="目录一级"/>
    <w:basedOn w:val="25"/>
    <w:uiPriority w:val="0"/>
  </w:style>
  <w:style w:type="paragraph" w:customStyle="1" w:styleId="111">
    <w:name w:val="排版"/>
    <w:basedOn w:val="1"/>
    <w:link w:val="112"/>
    <w:uiPriority w:val="0"/>
    <w:rPr>
      <w:rFonts w:eastAsia="黑体"/>
    </w:rPr>
  </w:style>
  <w:style w:type="character" w:customStyle="1" w:styleId="112">
    <w:name w:val="排版 Char"/>
    <w:link w:val="111"/>
    <w:uiPriority w:val="0"/>
    <w:rPr>
      <w:rFonts w:ascii="Times New Roman" w:hAnsi="Times New Roman" w:eastAsia="黑体" w:cs="Times New Roman"/>
      <w:sz w:val="24"/>
      <w:szCs w:val="24"/>
    </w:rPr>
  </w:style>
  <w:style w:type="paragraph" w:customStyle="1" w:styleId="113">
    <w:name w:val="图纸目录"/>
    <w:basedOn w:val="1"/>
    <w:link w:val="114"/>
    <w:uiPriority w:val="0"/>
    <w:pPr>
      <w:tabs>
        <w:tab w:val="left" w:pos="840"/>
        <w:tab w:val="left" w:pos="960"/>
        <w:tab w:val="left" w:pos="1080"/>
        <w:tab w:val="right" w:pos="9379"/>
      </w:tabs>
      <w:adjustRightInd w:val="0"/>
      <w:ind w:firstLine="0" w:firstLineChars="0"/>
      <w:jc w:val="both"/>
    </w:pPr>
  </w:style>
  <w:style w:type="character" w:customStyle="1" w:styleId="114">
    <w:name w:val="图纸目录 Char Char"/>
    <w:link w:val="113"/>
    <w:uiPriority w:val="0"/>
    <w:rPr>
      <w:rFonts w:ascii="Times New Roman" w:hAnsi="Times New Roman" w:eastAsia="宋体" w:cs="Times New Roman"/>
      <w:sz w:val="24"/>
      <w:szCs w:val="24"/>
    </w:rPr>
  </w:style>
  <w:style w:type="paragraph" w:customStyle="1" w:styleId="115">
    <w:name w:val="图纸编号"/>
    <w:basedOn w:val="113"/>
    <w:uiPriority w:val="0"/>
  </w:style>
  <w:style w:type="paragraph" w:customStyle="1" w:styleId="116">
    <w:name w:val="样式 目录 2 + 左侧:  1.3 字符"/>
    <w:basedOn w:val="29"/>
    <w:uiPriority w:val="0"/>
    <w:pPr>
      <w:ind w:left="312"/>
    </w:pPr>
    <w:rPr>
      <w:rFonts w:cs="宋体"/>
      <w:szCs w:val="20"/>
    </w:rPr>
  </w:style>
  <w:style w:type="character" w:customStyle="1" w:styleId="117">
    <w:name w:val="页眉 Char1"/>
    <w:basedOn w:val="37"/>
    <w:uiPriority w:val="0"/>
    <w:rPr>
      <w:kern w:val="2"/>
      <w:sz w:val="18"/>
      <w:szCs w:val="18"/>
    </w:rPr>
  </w:style>
  <w:style w:type="paragraph" w:customStyle="1" w:styleId="118">
    <w:name w:val="正文2"/>
    <w:basedOn w:val="1"/>
    <w:link w:val="119"/>
    <w:qFormat/>
    <w:uiPriority w:val="0"/>
    <w:pPr>
      <w:ind w:firstLine="420"/>
      <w:jc w:val="both"/>
    </w:pPr>
    <w:rPr>
      <w:sz w:val="21"/>
    </w:rPr>
  </w:style>
  <w:style w:type="character" w:customStyle="1" w:styleId="119">
    <w:name w:val="正文2 字符"/>
    <w:link w:val="118"/>
    <w:qFormat/>
    <w:uiPriority w:val="0"/>
    <w:rPr>
      <w:rFonts w:ascii="Times New Roman" w:hAnsi="Times New Roman" w:eastAsia="宋体" w:cs="Times New Roman"/>
      <w:szCs w:val="24"/>
    </w:rPr>
  </w:style>
  <w:style w:type="paragraph" w:customStyle="1" w:styleId="120">
    <w:name w:val="正文二级项目列"/>
    <w:basedOn w:val="1"/>
    <w:uiPriority w:val="0"/>
    <w:pPr>
      <w:tabs>
        <w:tab w:val="left" w:pos="0"/>
        <w:tab w:val="left" w:pos="840"/>
      </w:tabs>
      <w:ind w:firstLine="0" w:firstLineChars="0"/>
    </w:pPr>
  </w:style>
  <w:style w:type="paragraph" w:customStyle="1" w:styleId="121">
    <w:name w:val="正文三级项目列"/>
    <w:basedOn w:val="1"/>
    <w:uiPriority w:val="0"/>
    <w:pPr>
      <w:tabs>
        <w:tab w:val="left" w:pos="0"/>
        <w:tab w:val="left" w:pos="840"/>
      </w:tabs>
      <w:ind w:firstLine="0" w:firstLineChars="0"/>
    </w:pPr>
  </w:style>
  <w:style w:type="paragraph" w:customStyle="1" w:styleId="122">
    <w:name w:val="正文一级项目列"/>
    <w:basedOn w:val="1"/>
    <w:link w:val="162"/>
    <w:qFormat/>
    <w:uiPriority w:val="0"/>
    <w:pPr>
      <w:tabs>
        <w:tab w:val="left" w:pos="0"/>
        <w:tab w:val="left" w:pos="840"/>
      </w:tabs>
      <w:ind w:firstLine="0" w:firstLineChars="0"/>
    </w:pPr>
  </w:style>
  <w:style w:type="character" w:customStyle="1" w:styleId="123">
    <w:name w:val="标题 4 Char1"/>
    <w:uiPriority w:val="0"/>
    <w:rPr>
      <w:rFonts w:eastAsia="黑体"/>
      <w:bCs/>
      <w:kern w:val="44"/>
      <w:sz w:val="28"/>
      <w:szCs w:val="28"/>
    </w:rPr>
  </w:style>
  <w:style w:type="paragraph" w:customStyle="1" w:styleId="124">
    <w:name w:val="z-窗体底端1"/>
    <w:basedOn w:val="1"/>
    <w:next w:val="1"/>
    <w:hidden/>
    <w:uiPriority w:val="0"/>
    <w:pPr>
      <w:widowControl/>
      <w:pBdr>
        <w:top w:val="single" w:color="auto" w:sz="6" w:space="1"/>
      </w:pBdr>
      <w:spacing w:line="240" w:lineRule="auto"/>
      <w:ind w:firstLine="0" w:firstLineChars="0"/>
      <w:jc w:val="center"/>
    </w:pPr>
    <w:rPr>
      <w:rFonts w:ascii="Arial" w:hAnsi="Arial" w:cs="Arial"/>
      <w:vanish/>
      <w:kern w:val="0"/>
      <w:sz w:val="16"/>
      <w:szCs w:val="16"/>
    </w:rPr>
  </w:style>
  <w:style w:type="character" w:customStyle="1" w:styleId="125">
    <w:name w:val="正文缩进 字符"/>
    <w:link w:val="12"/>
    <w:qFormat/>
    <w:uiPriority w:val="0"/>
    <w:rPr>
      <w:rFonts w:ascii="Times New Roman" w:hAnsi="Times New Roman" w:eastAsia="宋体" w:cs="Times New Roman"/>
      <w:sz w:val="24"/>
    </w:rPr>
  </w:style>
  <w:style w:type="paragraph" w:customStyle="1" w:styleId="126">
    <w:name w:val="方案正文"/>
    <w:basedOn w:val="1"/>
    <w:qFormat/>
    <w:uiPriority w:val="0"/>
    <w:pPr>
      <w:ind w:firstLine="200"/>
      <w:jc w:val="both"/>
    </w:pPr>
    <w:rPr>
      <w:rFonts w:eastAsia="仿宋"/>
      <w:color w:val="000000"/>
      <w:spacing w:val="4"/>
      <w:sz w:val="28"/>
      <w:szCs w:val="22"/>
    </w:rPr>
  </w:style>
  <w:style w:type="table" w:customStyle="1" w:styleId="127">
    <w:name w:val="网格型4"/>
    <w:basedOn w:val="35"/>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8">
    <w:name w:val="标题 8 Char2"/>
    <w:uiPriority w:val="0"/>
    <w:rPr>
      <w:b/>
      <w:kern w:val="2"/>
      <w:sz w:val="24"/>
      <w:szCs w:val="24"/>
    </w:rPr>
  </w:style>
  <w:style w:type="character" w:customStyle="1" w:styleId="129">
    <w:name w:val="标题 9 Char1"/>
    <w:uiPriority w:val="0"/>
    <w:rPr>
      <w:b/>
      <w:kern w:val="2"/>
      <w:sz w:val="24"/>
      <w:szCs w:val="24"/>
    </w:rPr>
  </w:style>
  <w:style w:type="character" w:customStyle="1" w:styleId="130">
    <w:name w:val="标题 7 Char1"/>
    <w:uiPriority w:val="0"/>
    <w:rPr>
      <w:rFonts w:eastAsia="黑体"/>
      <w:bCs/>
      <w:kern w:val="44"/>
      <w:sz w:val="28"/>
      <w:szCs w:val="28"/>
    </w:rPr>
  </w:style>
  <w:style w:type="paragraph" w:customStyle="1" w:styleId="131">
    <w:name w:val="HTML Top of Form"/>
    <w:basedOn w:val="1"/>
    <w:next w:val="1"/>
    <w:link w:val="132"/>
    <w:uiPriority w:val="0"/>
    <w:pPr>
      <w:widowControl/>
      <w:pBdr>
        <w:bottom w:val="single" w:color="auto" w:sz="6" w:space="1"/>
      </w:pBdr>
      <w:spacing w:line="240" w:lineRule="auto"/>
      <w:ind w:firstLine="0" w:firstLineChars="0"/>
      <w:jc w:val="center"/>
    </w:pPr>
    <w:rPr>
      <w:rFonts w:ascii="Arial" w:hAnsi="Arial"/>
      <w:vanish/>
      <w:kern w:val="0"/>
      <w:sz w:val="16"/>
      <w:szCs w:val="16"/>
    </w:rPr>
  </w:style>
  <w:style w:type="character" w:customStyle="1" w:styleId="132">
    <w:name w:val="z-窗体顶端 字符"/>
    <w:basedOn w:val="37"/>
    <w:link w:val="131"/>
    <w:uiPriority w:val="0"/>
    <w:rPr>
      <w:rFonts w:ascii="Arial" w:hAnsi="Arial" w:eastAsia="宋体" w:cs="Times New Roman"/>
      <w:vanish/>
      <w:kern w:val="0"/>
      <w:sz w:val="16"/>
      <w:szCs w:val="16"/>
    </w:rPr>
  </w:style>
  <w:style w:type="paragraph" w:customStyle="1" w:styleId="133">
    <w:name w:val="HTML Bottom of Form"/>
    <w:basedOn w:val="1"/>
    <w:next w:val="1"/>
    <w:link w:val="134"/>
    <w:uiPriority w:val="0"/>
    <w:pPr>
      <w:widowControl/>
      <w:pBdr>
        <w:top w:val="single" w:color="auto" w:sz="6" w:space="1"/>
      </w:pBdr>
      <w:spacing w:line="240" w:lineRule="auto"/>
      <w:ind w:firstLine="0" w:firstLineChars="0"/>
      <w:jc w:val="center"/>
    </w:pPr>
    <w:rPr>
      <w:rFonts w:ascii="Arial" w:hAnsi="Arial"/>
      <w:vanish/>
      <w:kern w:val="0"/>
      <w:sz w:val="16"/>
      <w:szCs w:val="16"/>
    </w:rPr>
  </w:style>
  <w:style w:type="character" w:customStyle="1" w:styleId="134">
    <w:name w:val="z-窗体底端 字符"/>
    <w:basedOn w:val="37"/>
    <w:link w:val="133"/>
    <w:uiPriority w:val="0"/>
    <w:rPr>
      <w:rFonts w:ascii="Arial" w:hAnsi="Arial" w:eastAsia="宋体" w:cs="Times New Roman"/>
      <w:vanish/>
      <w:kern w:val="0"/>
      <w:sz w:val="16"/>
      <w:szCs w:val="16"/>
    </w:rPr>
  </w:style>
  <w:style w:type="paragraph" w:customStyle="1" w:styleId="135">
    <w:name w:val="Revision"/>
    <w:hidden/>
    <w:semiHidden/>
    <w:uiPriority w:val="99"/>
    <w:rPr>
      <w:rFonts w:ascii="Times New Roman" w:hAnsi="Times New Roman" w:eastAsia="宋体" w:cs="Times New Roman"/>
      <w:kern w:val="2"/>
      <w:sz w:val="24"/>
      <w:szCs w:val="24"/>
      <w:lang w:val="en-US" w:eastAsia="zh-CN" w:bidi="ar-SA"/>
    </w:rPr>
  </w:style>
  <w:style w:type="paragraph" w:customStyle="1" w:styleId="136">
    <w:name w:val="中等深浅列表 2 - 着色 21"/>
    <w:hidden/>
    <w:semiHidden/>
    <w:uiPriority w:val="99"/>
    <w:rPr>
      <w:rFonts w:ascii="Times New Roman" w:hAnsi="Times New Roman" w:eastAsia="宋体" w:cs="Times New Roman"/>
      <w:kern w:val="2"/>
      <w:sz w:val="21"/>
      <w:szCs w:val="24"/>
      <w:lang w:val="en-US" w:eastAsia="zh-CN" w:bidi="ar-SA"/>
    </w:rPr>
  </w:style>
  <w:style w:type="paragraph" w:customStyle="1" w:styleId="137">
    <w:name w:val="彩色底纹 - 强调文字颜色 11"/>
    <w:hidden/>
    <w:semiHidden/>
    <w:uiPriority w:val="99"/>
    <w:rPr>
      <w:rFonts w:ascii="Times New Roman" w:hAnsi="Times New Roman" w:eastAsia="宋体" w:cs="Times New Roman"/>
      <w:kern w:val="2"/>
      <w:sz w:val="21"/>
      <w:szCs w:val="24"/>
      <w:lang w:val="en-US" w:eastAsia="zh-CN" w:bidi="ar-SA"/>
    </w:rPr>
  </w:style>
  <w:style w:type="character" w:customStyle="1" w:styleId="138">
    <w:name w:val="批注文字 字符"/>
    <w:basedOn w:val="37"/>
    <w:link w:val="14"/>
    <w:semiHidden/>
    <w:qFormat/>
    <w:uiPriority w:val="0"/>
    <w:rPr>
      <w:rFonts w:ascii="Times New Roman" w:hAnsi="Times New Roman" w:eastAsia="宋体" w:cs="Times New Roman"/>
      <w:sz w:val="24"/>
      <w:szCs w:val="24"/>
    </w:rPr>
  </w:style>
  <w:style w:type="character" w:customStyle="1" w:styleId="139">
    <w:name w:val="批注主题 字符"/>
    <w:basedOn w:val="138"/>
    <w:link w:val="33"/>
    <w:semiHidden/>
    <w:uiPriority w:val="0"/>
    <w:rPr>
      <w:rFonts w:ascii="Times New Roman" w:hAnsi="Times New Roman" w:eastAsia="宋体" w:cs="Times New Roman"/>
      <w:b/>
      <w:bCs/>
      <w:sz w:val="24"/>
      <w:szCs w:val="24"/>
    </w:rPr>
  </w:style>
  <w:style w:type="character" w:customStyle="1" w:styleId="140">
    <w:name w:val="批注框文本 字符"/>
    <w:basedOn w:val="37"/>
    <w:link w:val="22"/>
    <w:semiHidden/>
    <w:uiPriority w:val="0"/>
    <w:rPr>
      <w:rFonts w:ascii="Times New Roman" w:hAnsi="Times New Roman" w:eastAsia="宋体" w:cs="Times New Roman"/>
      <w:sz w:val="18"/>
      <w:szCs w:val="18"/>
    </w:rPr>
  </w:style>
  <w:style w:type="paragraph" w:customStyle="1" w:styleId="141">
    <w:name w:val="cdr"/>
    <w:basedOn w:val="1"/>
    <w:link w:val="142"/>
    <w:uiPriority w:val="0"/>
    <w:pPr>
      <w:ind w:firstLine="420" w:firstLineChars="0"/>
      <w:jc w:val="both"/>
    </w:pPr>
    <w:rPr>
      <w:bCs/>
      <w:szCs w:val="28"/>
      <w:lang w:val="zh-CN" w:eastAsia="zh-CN"/>
    </w:rPr>
  </w:style>
  <w:style w:type="character" w:customStyle="1" w:styleId="142">
    <w:name w:val="cdr Char"/>
    <w:link w:val="141"/>
    <w:uiPriority w:val="0"/>
    <w:rPr>
      <w:rFonts w:ascii="Times New Roman" w:hAnsi="Times New Roman" w:eastAsia="宋体" w:cs="Times New Roman"/>
      <w:bCs/>
      <w:sz w:val="24"/>
      <w:szCs w:val="28"/>
      <w:lang w:val="zh-CN" w:eastAsia="zh-CN"/>
    </w:rPr>
  </w:style>
  <w:style w:type="character" w:customStyle="1" w:styleId="143">
    <w:name w:val="列表段落 字符"/>
    <w:link w:val="106"/>
    <w:qFormat/>
    <w:uiPriority w:val="34"/>
    <w:rPr>
      <w:rFonts w:ascii="Times New Roman" w:hAnsi="Times New Roman" w:eastAsia="宋体" w:cs="Times New Roman"/>
      <w:sz w:val="24"/>
      <w:szCs w:val="24"/>
    </w:rPr>
  </w:style>
  <w:style w:type="paragraph" w:customStyle="1" w:styleId="144">
    <w:name w:val="段"/>
    <w:semiHidden/>
    <w:qFormat/>
    <w:uiPriority w:val="0"/>
    <w:pPr>
      <w:numPr>
        <w:ilvl w:val="0"/>
        <w:numId w:val="7"/>
      </w:numPr>
      <w:autoSpaceDE w:val="0"/>
      <w:autoSpaceDN w:val="0"/>
      <w:jc w:val="both"/>
    </w:pPr>
    <w:rPr>
      <w:rFonts w:ascii="宋体" w:hAnsi="Times New Roman" w:eastAsia="宋体" w:cs="Times New Roman"/>
      <w:kern w:val="0"/>
      <w:sz w:val="21"/>
      <w:szCs w:val="20"/>
      <w:lang w:val="en-US" w:eastAsia="zh-CN" w:bidi="ar-SA"/>
    </w:rPr>
  </w:style>
  <w:style w:type="paragraph" w:customStyle="1" w:styleId="145">
    <w:name w:val="二级条标题"/>
    <w:basedOn w:val="1"/>
    <w:next w:val="144"/>
    <w:semiHidden/>
    <w:qFormat/>
    <w:uiPriority w:val="0"/>
    <w:pPr>
      <w:widowControl/>
      <w:numPr>
        <w:ilvl w:val="2"/>
        <w:numId w:val="7"/>
      </w:numPr>
      <w:ind w:left="0"/>
      <w:jc w:val="both"/>
      <w:outlineLvl w:val="3"/>
    </w:pPr>
    <w:rPr>
      <w:rFonts w:ascii="黑体" w:eastAsia="黑体"/>
      <w:color w:val="000000"/>
      <w:kern w:val="0"/>
      <w:szCs w:val="20"/>
    </w:rPr>
  </w:style>
  <w:style w:type="paragraph" w:customStyle="1" w:styleId="146">
    <w:name w:val="章标题"/>
    <w:next w:val="144"/>
    <w:semiHidden/>
    <w:qFormat/>
    <w:uiPriority w:val="0"/>
    <w:pPr>
      <w:numPr>
        <w:ilvl w:val="1"/>
        <w:numId w:val="7"/>
      </w:numPr>
      <w:spacing w:beforeLines="50" w:afterLines="50"/>
      <w:jc w:val="both"/>
      <w:outlineLvl w:val="1"/>
    </w:pPr>
    <w:rPr>
      <w:rFonts w:ascii="黑体" w:hAnsi="宋体" w:eastAsia="黑体" w:cs="Times New Roman"/>
      <w:color w:val="000000"/>
      <w:kern w:val="0"/>
      <w:sz w:val="21"/>
      <w:szCs w:val="20"/>
      <w:lang w:val="en-US" w:eastAsia="zh-CN" w:bidi="ar-SA"/>
    </w:rPr>
  </w:style>
  <w:style w:type="paragraph" w:customStyle="1" w:styleId="147">
    <w:name w:val="a)编号正文"/>
    <w:basedOn w:val="1"/>
    <w:semiHidden/>
    <w:qFormat/>
    <w:uiPriority w:val="0"/>
    <w:pPr>
      <w:widowControl/>
      <w:numPr>
        <w:ilvl w:val="6"/>
        <w:numId w:val="7"/>
      </w:numPr>
      <w:tabs>
        <w:tab w:val="left" w:pos="420"/>
      </w:tabs>
      <w:spacing w:afterLines="50"/>
      <w:ind w:left="420" w:hanging="420"/>
      <w:jc w:val="both"/>
    </w:pPr>
    <w:rPr>
      <w:rFonts w:ascii="Book Antiqua" w:hAnsi="Book Antiqua"/>
      <w:kern w:val="0"/>
      <w:szCs w:val="21"/>
      <w:lang w:eastAsia="en-US"/>
    </w:rPr>
  </w:style>
  <w:style w:type="paragraph" w:customStyle="1" w:styleId="148">
    <w:name w:val="四级条标题"/>
    <w:basedOn w:val="149"/>
    <w:next w:val="144"/>
    <w:semiHidden/>
    <w:qFormat/>
    <w:uiPriority w:val="0"/>
    <w:pPr>
      <w:numPr>
        <w:ilvl w:val="4"/>
      </w:numPr>
      <w:outlineLvl w:val="5"/>
    </w:pPr>
  </w:style>
  <w:style w:type="paragraph" w:customStyle="1" w:styleId="149">
    <w:name w:val="三级条标题"/>
    <w:basedOn w:val="145"/>
    <w:next w:val="144"/>
    <w:semiHidden/>
    <w:qFormat/>
    <w:uiPriority w:val="0"/>
    <w:pPr>
      <w:numPr>
        <w:ilvl w:val="3"/>
      </w:numPr>
      <w:outlineLvl w:val="4"/>
    </w:pPr>
  </w:style>
  <w:style w:type="paragraph" w:customStyle="1" w:styleId="150">
    <w:name w:val="五级条标题"/>
    <w:basedOn w:val="148"/>
    <w:next w:val="144"/>
    <w:semiHidden/>
    <w:qFormat/>
    <w:uiPriority w:val="0"/>
    <w:pPr>
      <w:numPr>
        <w:ilvl w:val="5"/>
      </w:numPr>
      <w:outlineLvl w:val="6"/>
    </w:pPr>
  </w:style>
  <w:style w:type="character" w:customStyle="1" w:styleId="151">
    <w:name w:val="正文文本缩进 字符"/>
    <w:basedOn w:val="37"/>
    <w:link w:val="16"/>
    <w:semiHidden/>
    <w:uiPriority w:val="99"/>
    <w:rPr>
      <w:rFonts w:ascii="Times New Roman" w:hAnsi="Times New Roman" w:eastAsia="宋体" w:cs="Times New Roman"/>
      <w:sz w:val="24"/>
      <w:szCs w:val="24"/>
    </w:rPr>
  </w:style>
  <w:style w:type="character" w:customStyle="1" w:styleId="152">
    <w:name w:val="正文文本首行缩进 2 字符"/>
    <w:basedOn w:val="151"/>
    <w:link w:val="34"/>
    <w:semiHidden/>
    <w:qFormat/>
    <w:uiPriority w:val="99"/>
    <w:rPr>
      <w:rFonts w:ascii="Times New Roman" w:hAnsi="Times New Roman" w:eastAsia="宋体" w:cs="Times New Roman"/>
      <w:kern w:val="0"/>
      <w:sz w:val="20"/>
      <w:szCs w:val="20"/>
    </w:rPr>
  </w:style>
  <w:style w:type="character" w:customStyle="1" w:styleId="153">
    <w:name w:val="正文文本 字符"/>
    <w:basedOn w:val="37"/>
    <w:link w:val="15"/>
    <w:semiHidden/>
    <w:uiPriority w:val="99"/>
    <w:rPr>
      <w:rFonts w:ascii="Times New Roman" w:hAnsi="Times New Roman" w:eastAsia="宋体" w:cs="Times New Roman"/>
      <w:sz w:val="24"/>
      <w:szCs w:val="24"/>
    </w:rPr>
  </w:style>
  <w:style w:type="table" w:customStyle="1" w:styleId="154">
    <w:name w:val="Table Style"/>
    <w:basedOn w:val="35"/>
    <w:qFormat/>
    <w:uiPriority w:val="0"/>
    <w:pPr>
      <w:jc w:val="both"/>
    </w:pPr>
    <w:rPr>
      <w:rFonts w:ascii="Times New Roman" w:hAnsi="Times New Roman" w:eastAsia="宋体" w:cs="Times New Roman"/>
      <w:kern w:val="0"/>
      <w:sz w:val="1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vAlign w:val="center"/>
    </w:tcPr>
  </w:style>
  <w:style w:type="paragraph" w:customStyle="1" w:styleId="155">
    <w:name w:val="T-表格正文"/>
    <w:basedOn w:val="1"/>
    <w:link w:val="157"/>
    <w:uiPriority w:val="0"/>
    <w:pPr>
      <w:spacing w:line="240" w:lineRule="auto"/>
      <w:ind w:firstLine="0" w:firstLineChars="0"/>
      <w:jc w:val="both"/>
    </w:pPr>
    <w:rPr>
      <w:sz w:val="21"/>
    </w:rPr>
  </w:style>
  <w:style w:type="paragraph" w:customStyle="1" w:styleId="156">
    <w:name w:val="T-题注正文"/>
    <w:basedOn w:val="1"/>
    <w:link w:val="158"/>
    <w:uiPriority w:val="0"/>
    <w:pPr>
      <w:spacing w:before="160" w:after="120" w:line="240" w:lineRule="auto"/>
      <w:ind w:firstLine="0" w:firstLineChars="0"/>
      <w:jc w:val="center"/>
    </w:pPr>
    <w:rPr>
      <w:sz w:val="21"/>
    </w:rPr>
  </w:style>
  <w:style w:type="character" w:customStyle="1" w:styleId="157">
    <w:name w:val="T-表格正文 Char"/>
    <w:basedOn w:val="37"/>
    <w:link w:val="155"/>
    <w:qFormat/>
    <w:uiPriority w:val="0"/>
    <w:rPr>
      <w:rFonts w:ascii="Times New Roman" w:hAnsi="Times New Roman" w:eastAsia="宋体" w:cs="Times New Roman"/>
      <w:szCs w:val="24"/>
    </w:rPr>
  </w:style>
  <w:style w:type="character" w:customStyle="1" w:styleId="158">
    <w:name w:val="T-题注正文 Char"/>
    <w:basedOn w:val="37"/>
    <w:link w:val="156"/>
    <w:qFormat/>
    <w:uiPriority w:val="0"/>
    <w:rPr>
      <w:rFonts w:ascii="Times New Roman" w:hAnsi="Times New Roman" w:eastAsia="宋体" w:cs="Times New Roman"/>
      <w:szCs w:val="24"/>
    </w:rPr>
  </w:style>
  <w:style w:type="paragraph" w:customStyle="1" w:styleId="159">
    <w:name w:val="正文（深信服）"/>
    <w:uiPriority w:val="0"/>
    <w:pPr>
      <w:spacing w:line="300" w:lineRule="auto"/>
    </w:pPr>
    <w:rPr>
      <w:rFonts w:ascii="Arial" w:hAnsi="Arial" w:eastAsia="宋体" w:cs="Times New Roman"/>
      <w:kern w:val="0"/>
      <w:sz w:val="24"/>
      <w:szCs w:val="21"/>
      <w:lang w:val="en-US" w:eastAsia="zh-CN" w:bidi="ar-SA"/>
    </w:rPr>
  </w:style>
  <w:style w:type="paragraph" w:customStyle="1" w:styleId="160">
    <w:name w:val="文档正文"/>
    <w:basedOn w:val="1"/>
    <w:uiPriority w:val="0"/>
    <w:pPr>
      <w:adjustRightInd w:val="0"/>
      <w:spacing w:before="60" w:after="60" w:line="360" w:lineRule="atLeast"/>
      <w:ind w:firstLine="482"/>
      <w:jc w:val="both"/>
      <w:textAlignment w:val="baseline"/>
    </w:pPr>
    <w:rPr>
      <w:rFonts w:cs="宋体"/>
      <w:szCs w:val="20"/>
    </w:rPr>
  </w:style>
  <w:style w:type="character" w:customStyle="1" w:styleId="161">
    <w:name w:val="正文文本缩进 2 字符"/>
    <w:basedOn w:val="37"/>
    <w:link w:val="21"/>
    <w:semiHidden/>
    <w:uiPriority w:val="99"/>
    <w:rPr>
      <w:rFonts w:ascii="Times New Roman" w:hAnsi="Times New Roman" w:eastAsia="宋体" w:cs="Times New Roman"/>
      <w:sz w:val="24"/>
      <w:szCs w:val="24"/>
    </w:rPr>
  </w:style>
  <w:style w:type="character" w:customStyle="1" w:styleId="162">
    <w:name w:val="正文一级项目列 Char"/>
    <w:link w:val="122"/>
    <w:uiPriority w:val="0"/>
    <w:rPr>
      <w:rFonts w:ascii="Times New Roman" w:hAnsi="Times New Roman" w:eastAsia="宋体" w:cs="Times New Roman"/>
      <w:sz w:val="24"/>
      <w:szCs w:val="24"/>
    </w:rPr>
  </w:style>
  <w:style w:type="paragraph" w:styleId="163">
    <w:name w:val="No Spacing"/>
    <w:link w:val="164"/>
    <w:qFormat/>
    <w:uiPriority w:val="1"/>
    <w:rPr>
      <w:rFonts w:ascii="Calibri" w:hAnsi="Calibri" w:eastAsia="宋体" w:cs="Times New Roman"/>
      <w:kern w:val="0"/>
      <w:sz w:val="22"/>
      <w:szCs w:val="22"/>
      <w:lang w:val="en-US" w:eastAsia="zh-CN" w:bidi="ar-SA"/>
    </w:rPr>
  </w:style>
  <w:style w:type="character" w:customStyle="1" w:styleId="164">
    <w:name w:val="无间隔 字符"/>
    <w:link w:val="163"/>
    <w:uiPriority w:val="1"/>
    <w:rPr>
      <w:rFonts w:ascii="Calibri" w:hAnsi="Calibri" w:eastAsia="宋体" w:cs="Times New Roman"/>
      <w:kern w:val="0"/>
      <w:sz w:val="22"/>
    </w:rPr>
  </w:style>
  <w:style w:type="character" w:customStyle="1" w:styleId="165">
    <w:name w:val="标题 3 Char"/>
    <w:uiPriority w:val="0"/>
    <w:rPr>
      <w:rFonts w:eastAsia="黑体"/>
      <w:kern w:val="44"/>
      <w:sz w:val="28"/>
      <w:szCs w:val="28"/>
      <w:lang w:val="zh-CN" w:eastAsia="zh-CN"/>
    </w:rPr>
  </w:style>
  <w:style w:type="character" w:customStyle="1" w:styleId="166">
    <w:name w:val="标题 4 Char"/>
    <w:uiPriority w:val="0"/>
    <w:rPr>
      <w:rFonts w:eastAsia="黑体"/>
      <w:bCs/>
      <w:kern w:val="44"/>
      <w:sz w:val="28"/>
      <w:szCs w:val="28"/>
      <w:lang w:val="zh-CN" w:eastAsia="zh-CN"/>
    </w:rPr>
  </w:style>
  <w:style w:type="character" w:customStyle="1" w:styleId="167">
    <w:name w:val="正文一级项目列(V1) Char"/>
    <w:link w:val="79"/>
    <w:uiPriority w:val="0"/>
    <w:rPr>
      <w:rFonts w:ascii="Times New Roman" w:hAnsi="Times New Roman" w:eastAsia="宋体" w:cs="Times New Roman"/>
      <w:sz w:val="24"/>
      <w:szCs w:val="24"/>
    </w:rPr>
  </w:style>
  <w:style w:type="character" w:customStyle="1" w:styleId="168">
    <w:name w:val="Unresolved Mention"/>
    <w:basedOn w:val="37"/>
    <w:semiHidden/>
    <w:unhideWhenUsed/>
    <w:uiPriority w:val="99"/>
    <w:rPr>
      <w:color w:val="605E5C"/>
      <w:shd w:val="clear" w:color="auto" w:fill="E1DFDD"/>
    </w:rPr>
  </w:style>
  <w:style w:type="paragraph" w:customStyle="1" w:styleId="169">
    <w:name w:val="msonormal"/>
    <w:basedOn w:val="1"/>
    <w:uiPriority w:val="0"/>
    <w:pPr>
      <w:widowControl/>
      <w:spacing w:before="100" w:beforeAutospacing="1" w:after="100" w:afterAutospacing="1" w:line="240" w:lineRule="auto"/>
      <w:ind w:firstLine="0" w:firstLineChars="0"/>
    </w:pPr>
    <w:rPr>
      <w:rFonts w:ascii="宋体" w:hAnsi="宋体" w:cs="宋体"/>
      <w:kern w:val="0"/>
    </w:rPr>
  </w:style>
  <w:style w:type="paragraph" w:customStyle="1" w:styleId="170">
    <w:name w:val="xl7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宋体" w:hAnsi="宋体" w:cs="宋体"/>
      <w:kern w:val="0"/>
      <w:sz w:val="20"/>
      <w:szCs w:val="20"/>
    </w:rPr>
  </w:style>
  <w:style w:type="paragraph" w:customStyle="1" w:styleId="171">
    <w:name w:val="xl7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宋体" w:hAnsi="宋体" w:cs="宋体"/>
      <w:kern w:val="0"/>
      <w:sz w:val="20"/>
      <w:szCs w:val="20"/>
    </w:rPr>
  </w:style>
  <w:style w:type="paragraph" w:customStyle="1" w:styleId="172">
    <w:name w:val="xl7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173">
    <w:name w:val="xl7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174">
    <w:name w:val="xl8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175">
    <w:name w:val="xl8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宋体" w:hAnsi="宋体" w:cs="宋体"/>
      <w:b/>
      <w:bCs/>
      <w:kern w:val="0"/>
      <w:sz w:val="20"/>
      <w:szCs w:val="20"/>
    </w:rPr>
  </w:style>
  <w:style w:type="paragraph" w:customStyle="1" w:styleId="176">
    <w:name w:val="xl8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top"/>
    </w:pPr>
    <w:rPr>
      <w:rFonts w:ascii="宋体" w:hAnsi="宋体" w:cs="宋体"/>
      <w:kern w:val="0"/>
      <w:sz w:val="20"/>
      <w:szCs w:val="20"/>
    </w:rPr>
  </w:style>
  <w:style w:type="paragraph" w:customStyle="1" w:styleId="177">
    <w:name w:val="xl8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top"/>
    </w:pPr>
    <w:rPr>
      <w:rFonts w:ascii="宋体" w:hAnsi="宋体" w:cs="宋体"/>
      <w:color w:val="000000"/>
      <w:kern w:val="0"/>
      <w:sz w:val="20"/>
      <w:szCs w:val="20"/>
    </w:rPr>
  </w:style>
  <w:style w:type="paragraph" w:customStyle="1" w:styleId="178">
    <w:name w:val="xl8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rPr>
  </w:style>
  <w:style w:type="paragraph" w:customStyle="1" w:styleId="179">
    <w:name w:val="xl8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180">
    <w:name w:val="xl8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181">
    <w:name w:val="xl8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宋体" w:hAnsi="宋体" w:cs="宋体"/>
      <w:b/>
      <w:bCs/>
      <w:kern w:val="0"/>
      <w:sz w:val="20"/>
      <w:szCs w:val="20"/>
    </w:rPr>
  </w:style>
  <w:style w:type="paragraph" w:customStyle="1" w:styleId="182">
    <w:name w:val="xl8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rPr>
  </w:style>
  <w:style w:type="paragraph" w:customStyle="1" w:styleId="183">
    <w:name w:val="xl8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184">
    <w:name w:val="xl9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宋体" w:hAnsi="宋体" w:cs="宋体"/>
      <w:b/>
      <w:bCs/>
      <w:kern w:val="0"/>
      <w:sz w:val="20"/>
      <w:szCs w:val="20"/>
    </w:rPr>
  </w:style>
  <w:style w:type="paragraph" w:customStyle="1" w:styleId="185">
    <w:name w:val="xl9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186">
    <w:name w:val="xl9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宋体" w:hAnsi="宋体" w:cs="宋体"/>
      <w:kern w:val="0"/>
      <w:sz w:val="20"/>
      <w:szCs w:val="20"/>
    </w:rPr>
  </w:style>
  <w:style w:type="paragraph" w:customStyle="1" w:styleId="187">
    <w:name w:val="xl9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宋体" w:hAnsi="宋体" w:cs="宋体"/>
      <w:kern w:val="0"/>
      <w:sz w:val="20"/>
      <w:szCs w:val="20"/>
    </w:rPr>
  </w:style>
  <w:style w:type="paragraph" w:customStyle="1" w:styleId="188">
    <w:name w:val="xl6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color w:val="000000"/>
      <w:kern w:val="0"/>
    </w:rPr>
  </w:style>
  <w:style w:type="paragraph" w:customStyle="1" w:styleId="189">
    <w:name w:val="xl6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color w:val="000000"/>
      <w:kern w:val="0"/>
    </w:rPr>
  </w:style>
  <w:style w:type="paragraph" w:customStyle="1" w:styleId="190">
    <w:name w:val="列出段落12"/>
    <w:basedOn w:val="1"/>
    <w:next w:val="106"/>
    <w:link w:val="191"/>
    <w:qFormat/>
    <w:uiPriority w:val="34"/>
    <w:pPr>
      <w:ind w:firstLine="420"/>
      <w:jc w:val="both"/>
    </w:pPr>
    <w:rPr>
      <w:rFonts w:ascii="宋体" w:hAnsi="宋体" w:eastAsia="华文宋体" w:cs="宋体"/>
      <w:lang w:eastAsia="en-US" w:bidi="en-US"/>
    </w:rPr>
  </w:style>
  <w:style w:type="character" w:customStyle="1" w:styleId="191">
    <w:name w:val="列出段落 Char"/>
    <w:link w:val="190"/>
    <w:uiPriority w:val="34"/>
    <w:rPr>
      <w:rFonts w:ascii="宋体" w:hAnsi="宋体" w:eastAsia="华文宋体" w:cs="宋体"/>
      <w:kern w:val="2"/>
      <w:sz w:val="24"/>
      <w:szCs w:val="24"/>
      <w:lang w:eastAsia="en-US" w:bidi="en-US"/>
    </w:rPr>
  </w:style>
  <w:style w:type="paragraph" w:customStyle="1" w:styleId="192">
    <w:name w:val="font6"/>
    <w:basedOn w:val="1"/>
    <w:uiPriority w:val="0"/>
    <w:pPr>
      <w:widowControl/>
      <w:spacing w:before="100" w:beforeAutospacing="1" w:after="100" w:afterAutospacing="1" w:line="240" w:lineRule="auto"/>
      <w:ind w:firstLine="0" w:firstLineChars="0"/>
    </w:pPr>
    <w:rPr>
      <w:rFonts w:ascii="宋体" w:hAnsi="宋体" w:cs="宋体"/>
      <w:color w:val="000000"/>
      <w:kern w:val="0"/>
      <w:sz w:val="20"/>
      <w:szCs w:val="20"/>
    </w:rPr>
  </w:style>
  <w:style w:type="paragraph" w:customStyle="1" w:styleId="193">
    <w:name w:val="font7"/>
    <w:basedOn w:val="1"/>
    <w:uiPriority w:val="0"/>
    <w:pPr>
      <w:widowControl/>
      <w:spacing w:before="100" w:beforeAutospacing="1" w:after="100" w:afterAutospacing="1" w:line="240" w:lineRule="auto"/>
      <w:ind w:firstLine="0" w:firstLineChars="0"/>
    </w:pPr>
    <w:rPr>
      <w:color w:val="000000"/>
      <w:kern w:val="0"/>
      <w:sz w:val="21"/>
      <w:szCs w:val="21"/>
    </w:rPr>
  </w:style>
  <w:style w:type="paragraph" w:customStyle="1" w:styleId="194">
    <w:name w:val="font8"/>
    <w:basedOn w:val="1"/>
    <w:uiPriority w:val="0"/>
    <w:pPr>
      <w:widowControl/>
      <w:spacing w:before="100" w:beforeAutospacing="1" w:after="100" w:afterAutospacing="1" w:line="240" w:lineRule="auto"/>
      <w:ind w:firstLine="0" w:firstLineChars="0"/>
    </w:pPr>
    <w:rPr>
      <w:rFonts w:ascii="宋体" w:hAnsi="宋体" w:cs="宋体"/>
      <w:color w:val="000000"/>
      <w:kern w:val="0"/>
      <w:sz w:val="21"/>
      <w:szCs w:val="21"/>
    </w:rPr>
  </w:style>
  <w:style w:type="paragraph" w:customStyle="1" w:styleId="195">
    <w:name w:val="font9"/>
    <w:basedOn w:val="1"/>
    <w:uiPriority w:val="0"/>
    <w:pPr>
      <w:widowControl/>
      <w:spacing w:before="100" w:beforeAutospacing="1" w:after="100" w:afterAutospacing="1" w:line="240" w:lineRule="auto"/>
      <w:ind w:firstLine="0" w:firstLineChars="0"/>
    </w:pPr>
    <w:rPr>
      <w:rFonts w:ascii="宋体" w:hAnsi="宋体" w:cs="宋体"/>
      <w:color w:val="000000"/>
      <w:kern w:val="0"/>
      <w:sz w:val="21"/>
      <w:szCs w:val="21"/>
    </w:rPr>
  </w:style>
  <w:style w:type="paragraph" w:customStyle="1" w:styleId="196">
    <w:name w:val="font10"/>
    <w:basedOn w:val="1"/>
    <w:uiPriority w:val="0"/>
    <w:pPr>
      <w:widowControl/>
      <w:spacing w:before="100" w:beforeAutospacing="1" w:after="100" w:afterAutospacing="1" w:line="240" w:lineRule="auto"/>
      <w:ind w:firstLine="0" w:firstLineChars="0"/>
    </w:pPr>
    <w:rPr>
      <w:color w:val="000000"/>
      <w:kern w:val="0"/>
      <w:sz w:val="21"/>
      <w:szCs w:val="21"/>
    </w:rPr>
  </w:style>
  <w:style w:type="paragraph" w:customStyle="1" w:styleId="197">
    <w:name w:val="font11"/>
    <w:basedOn w:val="1"/>
    <w:uiPriority w:val="0"/>
    <w:pPr>
      <w:widowControl/>
      <w:spacing w:before="100" w:beforeAutospacing="1" w:after="100" w:afterAutospacing="1" w:line="240" w:lineRule="auto"/>
      <w:ind w:firstLine="0" w:firstLineChars="0"/>
    </w:pPr>
    <w:rPr>
      <w:rFonts w:ascii="宋体" w:hAnsi="宋体" w:cs="宋体"/>
      <w:kern w:val="0"/>
      <w:sz w:val="18"/>
      <w:szCs w:val="18"/>
    </w:rPr>
  </w:style>
  <w:style w:type="paragraph" w:customStyle="1" w:styleId="198">
    <w:name w:val="xl9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color w:val="000000"/>
      <w:kern w:val="0"/>
      <w:sz w:val="20"/>
      <w:szCs w:val="20"/>
    </w:rPr>
  </w:style>
  <w:style w:type="paragraph" w:customStyle="1" w:styleId="199">
    <w:name w:val="xl9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color w:val="000000"/>
      <w:kern w:val="0"/>
      <w:sz w:val="20"/>
      <w:szCs w:val="20"/>
    </w:rPr>
  </w:style>
  <w:style w:type="paragraph" w:customStyle="1" w:styleId="200">
    <w:name w:val="xl9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201">
    <w:name w:val="xl9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宋体" w:hAnsi="宋体" w:cs="宋体"/>
      <w:kern w:val="0"/>
      <w:sz w:val="20"/>
      <w:szCs w:val="20"/>
    </w:rPr>
  </w:style>
  <w:style w:type="paragraph" w:customStyle="1" w:styleId="202">
    <w:name w:val="xl9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03">
    <w:name w:val="xl9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04">
    <w:name w:val="xl10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宋体" w:hAnsi="宋体" w:cs="宋体"/>
      <w:kern w:val="0"/>
      <w:sz w:val="20"/>
      <w:szCs w:val="20"/>
    </w:rPr>
  </w:style>
  <w:style w:type="paragraph" w:customStyle="1" w:styleId="205">
    <w:name w:val="xl10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06">
    <w:name w:val="xl10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宋体" w:hAnsi="宋体" w:cs="宋体"/>
      <w:kern w:val="0"/>
      <w:sz w:val="20"/>
      <w:szCs w:val="20"/>
    </w:rPr>
  </w:style>
  <w:style w:type="paragraph" w:customStyle="1" w:styleId="207">
    <w:name w:val="xl10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08">
    <w:name w:val="xl10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09">
    <w:name w:val="xl10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宋体" w:hAnsi="宋体" w:cs="宋体"/>
      <w:kern w:val="0"/>
      <w:sz w:val="20"/>
      <w:szCs w:val="20"/>
    </w:rPr>
  </w:style>
  <w:style w:type="paragraph" w:customStyle="1" w:styleId="210">
    <w:name w:val="xl10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宋体" w:hAnsi="宋体" w:cs="宋体"/>
      <w:kern w:val="0"/>
      <w:sz w:val="20"/>
      <w:szCs w:val="20"/>
    </w:rPr>
  </w:style>
  <w:style w:type="paragraph" w:customStyle="1" w:styleId="211">
    <w:name w:val="xl10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宋体" w:hAnsi="宋体" w:cs="宋体"/>
      <w:kern w:val="0"/>
      <w:sz w:val="20"/>
      <w:szCs w:val="20"/>
    </w:rPr>
  </w:style>
  <w:style w:type="paragraph" w:customStyle="1" w:styleId="212">
    <w:name w:val="xl10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13">
    <w:name w:val="xl10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rPr>
  </w:style>
  <w:style w:type="paragraph" w:customStyle="1" w:styleId="214">
    <w:name w:val="xl11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rPr>
  </w:style>
  <w:style w:type="paragraph" w:customStyle="1" w:styleId="215">
    <w:name w:val="xl11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rPr>
  </w:style>
  <w:style w:type="paragraph" w:customStyle="1" w:styleId="216">
    <w:name w:val="xl11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217">
    <w:name w:val="xl11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宋体" w:hAnsi="宋体" w:cs="宋体"/>
      <w:b/>
      <w:bCs/>
      <w:kern w:val="0"/>
      <w:sz w:val="20"/>
      <w:szCs w:val="20"/>
    </w:rPr>
  </w:style>
  <w:style w:type="paragraph" w:customStyle="1" w:styleId="218">
    <w:name w:val="xl11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219">
    <w:name w:val="xl11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both"/>
      <w:textAlignment w:val="center"/>
    </w:pPr>
    <w:rPr>
      <w:rFonts w:ascii="宋体" w:hAnsi="宋体" w:cs="宋体"/>
      <w:kern w:val="0"/>
      <w:sz w:val="21"/>
      <w:szCs w:val="21"/>
    </w:rPr>
  </w:style>
  <w:style w:type="paragraph" w:customStyle="1" w:styleId="220">
    <w:name w:val="xl11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rPr>
  </w:style>
  <w:style w:type="paragraph" w:customStyle="1" w:styleId="221">
    <w:name w:val="xl11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both"/>
      <w:textAlignment w:val="center"/>
    </w:pPr>
    <w:rPr>
      <w:kern w:val="0"/>
      <w:sz w:val="21"/>
      <w:szCs w:val="21"/>
    </w:rPr>
  </w:style>
  <w:style w:type="paragraph" w:customStyle="1" w:styleId="222">
    <w:name w:val="xl11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b/>
      <w:bCs/>
      <w:kern w:val="0"/>
    </w:rPr>
  </w:style>
  <w:style w:type="paragraph" w:customStyle="1" w:styleId="223">
    <w:name w:val="xl11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b/>
      <w:bCs/>
      <w:kern w:val="0"/>
    </w:rPr>
  </w:style>
  <w:style w:type="paragraph" w:customStyle="1" w:styleId="224">
    <w:name w:val="xl120"/>
    <w:basedOn w:val="1"/>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225">
    <w:name w:val="xl121"/>
    <w:basedOn w:val="1"/>
    <w:uiPriority w:val="0"/>
    <w:pPr>
      <w:widowControl/>
      <w:pBdr>
        <w:top w:val="single" w:color="auto" w:sz="4" w:space="0"/>
        <w:bottom w:val="single" w:color="auto" w:sz="4" w:space="0"/>
      </w:pBdr>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226">
    <w:name w:val="xl122"/>
    <w:basedOn w:val="1"/>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227">
    <w:name w:val="xl12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宋体" w:hAnsi="宋体" w:cs="宋体"/>
      <w:b/>
      <w:bCs/>
      <w:kern w:val="0"/>
      <w:sz w:val="20"/>
      <w:szCs w:val="20"/>
    </w:rPr>
  </w:style>
  <w:style w:type="table" w:customStyle="1" w:styleId="228">
    <w:name w:val="样式1"/>
    <w:basedOn w:val="35"/>
    <w:uiPriority w:val="0"/>
    <w:pPr>
      <w:jc w:val="center"/>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paragraph" w:customStyle="1" w:styleId="229">
    <w:name w:val="font12"/>
    <w:basedOn w:val="1"/>
    <w:uiPriority w:val="0"/>
    <w:pPr>
      <w:widowControl/>
      <w:spacing w:before="100" w:beforeAutospacing="1" w:after="100" w:afterAutospacing="1" w:line="240" w:lineRule="auto"/>
      <w:ind w:firstLine="0" w:firstLineChars="0"/>
    </w:pPr>
    <w:rPr>
      <w:b/>
      <w:bCs/>
      <w:color w:val="000000"/>
      <w:kern w:val="0"/>
      <w:sz w:val="21"/>
      <w:szCs w:val="21"/>
    </w:rPr>
  </w:style>
  <w:style w:type="paragraph" w:customStyle="1" w:styleId="230">
    <w:name w:val="font13"/>
    <w:basedOn w:val="1"/>
    <w:uiPriority w:val="0"/>
    <w:pPr>
      <w:widowControl/>
      <w:spacing w:before="100" w:beforeAutospacing="1" w:after="100" w:afterAutospacing="1" w:line="240" w:lineRule="auto"/>
      <w:ind w:firstLine="0" w:firstLineChars="0"/>
    </w:pPr>
    <w:rPr>
      <w:color w:val="000000"/>
      <w:kern w:val="0"/>
      <w:sz w:val="20"/>
      <w:szCs w:val="20"/>
    </w:rPr>
  </w:style>
  <w:style w:type="paragraph" w:customStyle="1" w:styleId="231">
    <w:name w:val="font14"/>
    <w:basedOn w:val="1"/>
    <w:uiPriority w:val="0"/>
    <w:pPr>
      <w:widowControl/>
      <w:spacing w:before="100" w:beforeAutospacing="1" w:after="100" w:afterAutospacing="1" w:line="240" w:lineRule="auto"/>
      <w:ind w:firstLine="0" w:firstLineChars="0"/>
    </w:pPr>
    <w:rPr>
      <w:color w:val="000000"/>
      <w:kern w:val="0"/>
      <w:sz w:val="22"/>
      <w:szCs w:val="22"/>
    </w:rPr>
  </w:style>
  <w:style w:type="paragraph" w:customStyle="1" w:styleId="232">
    <w:name w:val="font15"/>
    <w:basedOn w:val="1"/>
    <w:uiPriority w:val="0"/>
    <w:pPr>
      <w:widowControl/>
      <w:spacing w:before="100" w:beforeAutospacing="1" w:after="100" w:afterAutospacing="1" w:line="240" w:lineRule="auto"/>
      <w:ind w:firstLine="0" w:firstLineChars="0"/>
    </w:pPr>
    <w:rPr>
      <w:rFonts w:ascii="宋体" w:hAnsi="宋体" w:cs="宋体"/>
      <w:color w:val="000000"/>
      <w:kern w:val="0"/>
      <w:sz w:val="22"/>
      <w:szCs w:val="22"/>
    </w:rPr>
  </w:style>
  <w:style w:type="paragraph" w:customStyle="1" w:styleId="233">
    <w:name w:val="font16"/>
    <w:basedOn w:val="1"/>
    <w:uiPriority w:val="0"/>
    <w:pPr>
      <w:widowControl/>
      <w:spacing w:before="100" w:beforeAutospacing="1" w:after="100" w:afterAutospacing="1" w:line="240" w:lineRule="auto"/>
      <w:ind w:firstLine="0" w:firstLineChars="0"/>
    </w:pPr>
    <w:rPr>
      <w:rFonts w:ascii="宋体" w:hAnsi="宋体" w:cs="宋体"/>
      <w:b/>
      <w:bCs/>
      <w:color w:val="000000"/>
      <w:kern w:val="0"/>
      <w:sz w:val="21"/>
      <w:szCs w:val="21"/>
    </w:rPr>
  </w:style>
  <w:style w:type="paragraph" w:customStyle="1" w:styleId="234">
    <w:name w:val="xl124"/>
    <w:basedOn w:val="1"/>
    <w:uiPriority w:val="0"/>
    <w:pPr>
      <w:widowControl/>
      <w:pBdr>
        <w:top w:val="single" w:color="auto" w:sz="8" w:space="0"/>
        <w:left w:val="single" w:color="auto" w:sz="8" w:space="0"/>
        <w:bottom w:val="single" w:color="auto" w:sz="8" w:space="0"/>
      </w:pBdr>
      <w:spacing w:before="100" w:beforeAutospacing="1" w:after="100" w:afterAutospacing="1" w:line="240" w:lineRule="auto"/>
      <w:ind w:firstLine="0" w:firstLineChars="0"/>
      <w:jc w:val="center"/>
      <w:textAlignment w:val="center"/>
    </w:pPr>
    <w:rPr>
      <w:b/>
      <w:bCs/>
      <w:kern w:val="0"/>
      <w:sz w:val="21"/>
      <w:szCs w:val="21"/>
    </w:rPr>
  </w:style>
  <w:style w:type="paragraph" w:customStyle="1" w:styleId="235">
    <w:name w:val="xl125"/>
    <w:basedOn w:val="1"/>
    <w:uiPriority w:val="0"/>
    <w:pPr>
      <w:widowControl/>
      <w:pBdr>
        <w:top w:val="single" w:color="auto" w:sz="8" w:space="0"/>
        <w:bottom w:val="single" w:color="auto" w:sz="8" w:space="0"/>
      </w:pBdr>
      <w:spacing w:before="100" w:beforeAutospacing="1" w:after="100" w:afterAutospacing="1" w:line="240" w:lineRule="auto"/>
      <w:ind w:firstLine="0" w:firstLineChars="0"/>
      <w:jc w:val="center"/>
      <w:textAlignment w:val="center"/>
    </w:pPr>
    <w:rPr>
      <w:b/>
      <w:bCs/>
      <w:kern w:val="0"/>
      <w:sz w:val="21"/>
      <w:szCs w:val="21"/>
    </w:rPr>
  </w:style>
  <w:style w:type="paragraph" w:customStyle="1" w:styleId="236">
    <w:name w:val="xl126"/>
    <w:basedOn w:val="1"/>
    <w:uiPriority w:val="0"/>
    <w:pPr>
      <w:widowControl/>
      <w:pBdr>
        <w:top w:val="single" w:color="auto" w:sz="8" w:space="0"/>
        <w:bottom w:val="single" w:color="auto" w:sz="8" w:space="0"/>
        <w:right w:val="single" w:color="auto" w:sz="8" w:space="0"/>
      </w:pBdr>
      <w:spacing w:before="100" w:beforeAutospacing="1" w:after="100" w:afterAutospacing="1" w:line="240" w:lineRule="auto"/>
      <w:ind w:firstLine="0" w:firstLineChars="0"/>
      <w:jc w:val="center"/>
      <w:textAlignment w:val="center"/>
    </w:pPr>
    <w:rPr>
      <w:b/>
      <w:bCs/>
      <w:kern w:val="0"/>
      <w:sz w:val="21"/>
      <w:szCs w:val="21"/>
    </w:rPr>
  </w:style>
  <w:style w:type="paragraph" w:customStyle="1" w:styleId="237">
    <w:name w:val="xl127"/>
    <w:basedOn w:val="1"/>
    <w:uiPriority w:val="0"/>
    <w:pPr>
      <w:widowControl/>
      <w:pBdr>
        <w:top w:val="single" w:color="auto" w:sz="8" w:space="0"/>
        <w:bottom w:val="single" w:color="auto" w:sz="8" w:space="0"/>
        <w:right w:val="single" w:color="auto" w:sz="8" w:space="0"/>
      </w:pBdr>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238">
    <w:name w:val="xl128"/>
    <w:basedOn w:val="1"/>
    <w:uiPriority w:val="0"/>
    <w:pPr>
      <w:widowControl/>
      <w:spacing w:before="100" w:beforeAutospacing="1" w:after="100" w:afterAutospacing="1" w:line="240" w:lineRule="auto"/>
      <w:ind w:firstLine="0" w:firstLineChars="0"/>
    </w:pPr>
    <w:rPr>
      <w:rFonts w:ascii="宋体" w:hAnsi="宋体" w:cs="宋体"/>
      <w:kern w:val="0"/>
    </w:rPr>
  </w:style>
  <w:style w:type="paragraph" w:customStyle="1" w:styleId="239">
    <w:name w:val="font17"/>
    <w:basedOn w:val="1"/>
    <w:uiPriority w:val="0"/>
    <w:pPr>
      <w:widowControl/>
      <w:spacing w:before="100" w:beforeAutospacing="1" w:after="100" w:afterAutospacing="1" w:line="240" w:lineRule="auto"/>
      <w:ind w:firstLine="0" w:firstLineChars="0"/>
    </w:pPr>
    <w:rPr>
      <w:rFonts w:ascii="宋体" w:hAnsi="宋体" w:cs="宋体"/>
      <w:b/>
      <w:bCs/>
      <w:color w:val="000000"/>
      <w:kern w:val="0"/>
      <w:sz w:val="21"/>
      <w:szCs w:val="21"/>
    </w:rPr>
  </w:style>
  <w:style w:type="paragraph" w:customStyle="1" w:styleId="240">
    <w:name w:val="font18"/>
    <w:basedOn w:val="1"/>
    <w:uiPriority w:val="0"/>
    <w:pPr>
      <w:widowControl/>
      <w:spacing w:before="100" w:beforeAutospacing="1" w:after="100" w:afterAutospacing="1" w:line="240" w:lineRule="auto"/>
      <w:ind w:firstLine="0" w:firstLineChars="0"/>
    </w:pPr>
    <w:rPr>
      <w:rFonts w:ascii="Cambria Math" w:hAnsi="Cambria Math" w:cs="宋体"/>
      <w:color w:val="000000"/>
      <w:kern w:val="0"/>
      <w:sz w:val="20"/>
      <w:szCs w:val="20"/>
    </w:rPr>
  </w:style>
  <w:style w:type="paragraph" w:customStyle="1" w:styleId="241">
    <w:name w:val="font19"/>
    <w:basedOn w:val="1"/>
    <w:uiPriority w:val="0"/>
    <w:pPr>
      <w:widowControl/>
      <w:spacing w:before="100" w:beforeAutospacing="1" w:after="100" w:afterAutospacing="1" w:line="240" w:lineRule="auto"/>
      <w:ind w:firstLine="0" w:firstLineChars="0"/>
    </w:pPr>
    <w:rPr>
      <w:color w:val="000000"/>
      <w:kern w:val="0"/>
      <w:sz w:val="20"/>
      <w:szCs w:val="20"/>
    </w:rPr>
  </w:style>
  <w:style w:type="paragraph" w:customStyle="1" w:styleId="242">
    <w:name w:val="font20"/>
    <w:basedOn w:val="1"/>
    <w:uiPriority w:val="0"/>
    <w:pPr>
      <w:widowControl/>
      <w:spacing w:before="100" w:beforeAutospacing="1" w:after="100" w:afterAutospacing="1" w:line="240" w:lineRule="auto"/>
      <w:ind w:firstLine="0" w:firstLineChars="0"/>
    </w:pPr>
    <w:rPr>
      <w:rFonts w:ascii="宋体" w:hAnsi="宋体" w:cs="宋体"/>
      <w:color w:val="000000"/>
      <w:kern w:val="0"/>
      <w:sz w:val="20"/>
      <w:szCs w:val="20"/>
    </w:rPr>
  </w:style>
  <w:style w:type="paragraph" w:customStyle="1" w:styleId="243">
    <w:name w:val="font21"/>
    <w:basedOn w:val="1"/>
    <w:uiPriority w:val="0"/>
    <w:pPr>
      <w:widowControl/>
      <w:spacing w:before="100" w:beforeAutospacing="1" w:after="100" w:afterAutospacing="1" w:line="240" w:lineRule="auto"/>
      <w:ind w:firstLine="0" w:firstLineChars="0"/>
    </w:pPr>
    <w:rPr>
      <w:rFonts w:ascii="Cambria Math" w:hAnsi="Cambria Math" w:cs="宋体"/>
      <w:color w:val="000000"/>
      <w:kern w:val="0"/>
      <w:sz w:val="20"/>
      <w:szCs w:val="20"/>
    </w:rPr>
  </w:style>
  <w:style w:type="paragraph" w:customStyle="1" w:styleId="244">
    <w:name w:val="font22"/>
    <w:basedOn w:val="1"/>
    <w:uiPriority w:val="0"/>
    <w:pPr>
      <w:widowControl/>
      <w:spacing w:before="100" w:beforeAutospacing="1" w:after="100" w:afterAutospacing="1" w:line="240" w:lineRule="auto"/>
      <w:ind w:firstLine="0" w:firstLineChars="0"/>
    </w:pPr>
    <w:rPr>
      <w:color w:val="000000"/>
      <w:kern w:val="0"/>
      <w:sz w:val="20"/>
      <w:szCs w:val="20"/>
    </w:rPr>
  </w:style>
  <w:style w:type="paragraph" w:customStyle="1" w:styleId="245">
    <w:name w:val="font23"/>
    <w:basedOn w:val="1"/>
    <w:uiPriority w:val="0"/>
    <w:pPr>
      <w:widowControl/>
      <w:spacing w:before="100" w:beforeAutospacing="1" w:after="100" w:afterAutospacing="1" w:line="240" w:lineRule="auto"/>
      <w:ind w:firstLine="0" w:firstLineChars="0"/>
    </w:pPr>
    <w:rPr>
      <w:rFonts w:ascii="Calibri" w:hAnsi="Calibri" w:cs="Calibri"/>
      <w:kern w:val="0"/>
      <w:sz w:val="21"/>
      <w:szCs w:val="21"/>
    </w:rPr>
  </w:style>
  <w:style w:type="paragraph" w:customStyle="1" w:styleId="246">
    <w:name w:val="font24"/>
    <w:basedOn w:val="1"/>
    <w:uiPriority w:val="0"/>
    <w:pPr>
      <w:widowControl/>
      <w:spacing w:before="100" w:beforeAutospacing="1" w:after="100" w:afterAutospacing="1" w:line="240" w:lineRule="auto"/>
      <w:ind w:firstLine="0" w:firstLineChars="0"/>
    </w:pPr>
    <w:rPr>
      <w:rFonts w:ascii="宋体" w:hAnsi="宋体" w:cs="宋体"/>
      <w:kern w:val="0"/>
      <w:sz w:val="21"/>
      <w:szCs w:val="21"/>
    </w:rPr>
  </w:style>
  <w:style w:type="paragraph" w:customStyle="1" w:styleId="247">
    <w:name w:val="font25"/>
    <w:basedOn w:val="1"/>
    <w:uiPriority w:val="0"/>
    <w:pPr>
      <w:widowControl/>
      <w:spacing w:before="100" w:beforeAutospacing="1" w:after="100" w:afterAutospacing="1" w:line="240" w:lineRule="auto"/>
      <w:ind w:firstLine="0" w:firstLineChars="0"/>
    </w:pPr>
    <w:rPr>
      <w:kern w:val="0"/>
      <w:sz w:val="14"/>
      <w:szCs w:val="14"/>
    </w:rPr>
  </w:style>
  <w:style w:type="paragraph" w:customStyle="1" w:styleId="248">
    <w:name w:val="font26"/>
    <w:basedOn w:val="1"/>
    <w:uiPriority w:val="0"/>
    <w:pPr>
      <w:widowControl/>
      <w:spacing w:before="100" w:beforeAutospacing="1" w:after="100" w:afterAutospacing="1" w:line="240" w:lineRule="auto"/>
      <w:ind w:firstLine="0" w:firstLineChars="0"/>
    </w:pPr>
    <w:rPr>
      <w:rFonts w:ascii="Calibri" w:hAnsi="Calibri" w:cs="Calibri"/>
      <w:color w:val="000000"/>
      <w:kern w:val="0"/>
      <w:sz w:val="21"/>
      <w:szCs w:val="21"/>
    </w:rPr>
  </w:style>
  <w:style w:type="paragraph" w:customStyle="1" w:styleId="249">
    <w:name w:val="font27"/>
    <w:basedOn w:val="1"/>
    <w:uiPriority w:val="0"/>
    <w:pPr>
      <w:widowControl/>
      <w:spacing w:before="100" w:beforeAutospacing="1" w:after="100" w:afterAutospacing="1" w:line="240" w:lineRule="auto"/>
      <w:ind w:firstLine="0" w:firstLineChars="0"/>
    </w:pPr>
    <w:rPr>
      <w:kern w:val="0"/>
      <w:sz w:val="21"/>
      <w:szCs w:val="21"/>
    </w:rPr>
  </w:style>
  <w:style w:type="paragraph" w:customStyle="1" w:styleId="250">
    <w:name w:val="font28"/>
    <w:basedOn w:val="1"/>
    <w:uiPriority w:val="0"/>
    <w:pPr>
      <w:widowControl/>
      <w:spacing w:before="100" w:beforeAutospacing="1" w:after="100" w:afterAutospacing="1" w:line="240" w:lineRule="auto"/>
      <w:ind w:firstLine="0" w:firstLineChars="0"/>
    </w:pPr>
    <w:rPr>
      <w:rFonts w:ascii="等线" w:hAnsi="等线" w:eastAsia="等线" w:cs="宋体"/>
      <w:kern w:val="0"/>
      <w:sz w:val="21"/>
      <w:szCs w:val="21"/>
    </w:rPr>
  </w:style>
  <w:style w:type="paragraph" w:customStyle="1" w:styleId="251">
    <w:name w:val="xl129"/>
    <w:basedOn w:val="1"/>
    <w:uiPriority w:val="0"/>
    <w:pPr>
      <w:widowControl/>
      <w:pBdr>
        <w:top w:val="single" w:color="auto" w:sz="8" w:space="0"/>
        <w:bottom w:val="single" w:color="auto" w:sz="8" w:space="0"/>
        <w:right w:val="single" w:color="000000" w:sz="8" w:space="0"/>
      </w:pBdr>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252">
    <w:name w:val="xl130"/>
    <w:basedOn w:val="1"/>
    <w:uiPriority w:val="0"/>
    <w:pPr>
      <w:widowControl/>
      <w:pBdr>
        <w:top w:val="single" w:color="auto" w:sz="8" w:space="0"/>
        <w:left w:val="single" w:color="auto" w:sz="8" w:space="0"/>
        <w:right w:val="single" w:color="auto" w:sz="8" w:space="0"/>
      </w:pBdr>
      <w:spacing w:before="100" w:beforeAutospacing="1" w:after="100" w:afterAutospacing="1" w:line="240" w:lineRule="auto"/>
      <w:ind w:firstLine="0" w:firstLineChars="0"/>
      <w:jc w:val="center"/>
      <w:textAlignment w:val="center"/>
    </w:pPr>
    <w:rPr>
      <w:kern w:val="0"/>
      <w:sz w:val="20"/>
      <w:szCs w:val="20"/>
    </w:rPr>
  </w:style>
  <w:style w:type="paragraph" w:customStyle="1" w:styleId="253">
    <w:name w:val="xl131"/>
    <w:basedOn w:val="1"/>
    <w:uiPriority w:val="0"/>
    <w:pPr>
      <w:widowControl/>
      <w:pBdr>
        <w:top w:val="single" w:color="auto" w:sz="8" w:space="0"/>
        <w:left w:val="single" w:color="auto" w:sz="8" w:space="0"/>
        <w:bottom w:val="single" w:color="auto" w:sz="8" w:space="0"/>
      </w:pBdr>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254">
    <w:name w:val="xl132"/>
    <w:basedOn w:val="1"/>
    <w:uiPriority w:val="0"/>
    <w:pPr>
      <w:widowControl/>
      <w:pBdr>
        <w:top w:val="single" w:color="auto" w:sz="8" w:space="0"/>
        <w:bottom w:val="single" w:color="auto" w:sz="8" w:space="0"/>
      </w:pBdr>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255">
    <w:name w:val="xl133"/>
    <w:basedOn w:val="1"/>
    <w:uiPriority w:val="0"/>
    <w:pPr>
      <w:widowControl/>
      <w:pBdr>
        <w:top w:val="single" w:color="auto" w:sz="8" w:space="0"/>
        <w:bottom w:val="single" w:color="auto" w:sz="8" w:space="0"/>
        <w:right w:val="single" w:color="auto" w:sz="8" w:space="0"/>
      </w:pBdr>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256">
    <w:name w:val="xl134"/>
    <w:basedOn w:val="1"/>
    <w:uiPriority w:val="0"/>
    <w:pPr>
      <w:widowControl/>
      <w:pBdr>
        <w:top w:val="single" w:color="auto" w:sz="8" w:space="0"/>
        <w:left w:val="single" w:color="auto" w:sz="8" w:space="0"/>
        <w:right w:val="single" w:color="auto" w:sz="8"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57">
    <w:name w:val="xl135"/>
    <w:basedOn w:val="1"/>
    <w:uiPriority w:val="0"/>
    <w:pPr>
      <w:widowControl/>
      <w:pBdr>
        <w:left w:val="single" w:color="auto" w:sz="8" w:space="0"/>
        <w:right w:val="single" w:color="auto" w:sz="8"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58">
    <w:name w:val="xl136"/>
    <w:basedOn w:val="1"/>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259">
    <w:name w:val="xl137"/>
    <w:basedOn w:val="1"/>
    <w:uiPriority w:val="0"/>
    <w:pPr>
      <w:widowControl/>
      <w:pBdr>
        <w:left w:val="single" w:color="auto" w:sz="8" w:space="0"/>
        <w:right w:val="single" w:color="auto" w:sz="8" w:space="0"/>
      </w:pBdr>
      <w:spacing w:before="100" w:beforeAutospacing="1" w:after="100" w:afterAutospacing="1" w:line="240" w:lineRule="auto"/>
      <w:ind w:firstLine="0" w:firstLineChars="0"/>
      <w:jc w:val="center"/>
      <w:textAlignment w:val="center"/>
    </w:pPr>
    <w:rPr>
      <w:kern w:val="0"/>
      <w:sz w:val="20"/>
      <w:szCs w:val="20"/>
    </w:rPr>
  </w:style>
  <w:style w:type="paragraph" w:customStyle="1" w:styleId="260">
    <w:name w:val="xl138"/>
    <w:basedOn w:val="1"/>
    <w:uiPriority w:val="0"/>
    <w:pPr>
      <w:widowControl/>
      <w:pBdr>
        <w:top w:val="single" w:color="auto" w:sz="8" w:space="0"/>
        <w:left w:val="single" w:color="auto" w:sz="8" w:space="0"/>
        <w:right w:val="single" w:color="auto" w:sz="8" w:space="0"/>
      </w:pBdr>
      <w:spacing w:before="100" w:beforeAutospacing="1" w:after="100" w:afterAutospacing="1" w:line="240" w:lineRule="auto"/>
      <w:ind w:firstLine="0" w:firstLineChars="0"/>
      <w:jc w:val="center"/>
      <w:textAlignment w:val="center"/>
    </w:pPr>
    <w:rPr>
      <w:kern w:val="0"/>
      <w:sz w:val="21"/>
      <w:szCs w:val="21"/>
    </w:rPr>
  </w:style>
  <w:style w:type="paragraph" w:customStyle="1" w:styleId="261">
    <w:name w:val="xl139"/>
    <w:basedOn w:val="1"/>
    <w:uiPriority w:val="0"/>
    <w:pPr>
      <w:widowControl/>
      <w:pBdr>
        <w:left w:val="single" w:color="auto" w:sz="8" w:space="0"/>
        <w:right w:val="single" w:color="auto" w:sz="8" w:space="0"/>
      </w:pBdr>
      <w:spacing w:before="100" w:beforeAutospacing="1" w:after="100" w:afterAutospacing="1" w:line="240" w:lineRule="auto"/>
      <w:ind w:firstLine="0" w:firstLineChars="0"/>
      <w:jc w:val="center"/>
      <w:textAlignment w:val="center"/>
    </w:pPr>
    <w:rPr>
      <w:kern w:val="0"/>
      <w:sz w:val="21"/>
      <w:szCs w:val="21"/>
    </w:rPr>
  </w:style>
  <w:style w:type="paragraph" w:customStyle="1" w:styleId="262">
    <w:name w:val="xl140"/>
    <w:basedOn w:val="1"/>
    <w:uiPriority w:val="0"/>
    <w:pPr>
      <w:widowControl/>
      <w:pBdr>
        <w:top w:val="single" w:color="auto" w:sz="8" w:space="0"/>
        <w:left w:val="single" w:color="auto" w:sz="8" w:space="0"/>
        <w:right w:val="single" w:color="auto" w:sz="8" w:space="0"/>
      </w:pBdr>
      <w:shd w:val="clear" w:color="000000" w:fill="FFFF00"/>
      <w:spacing w:before="100" w:beforeAutospacing="1" w:after="100" w:afterAutospacing="1" w:line="240" w:lineRule="auto"/>
      <w:ind w:firstLine="0" w:firstLineChars="0"/>
      <w:jc w:val="center"/>
      <w:textAlignment w:val="center"/>
    </w:pPr>
    <w:rPr>
      <w:kern w:val="0"/>
      <w:sz w:val="21"/>
      <w:szCs w:val="21"/>
    </w:rPr>
  </w:style>
  <w:style w:type="paragraph" w:customStyle="1" w:styleId="263">
    <w:name w:val="xl141"/>
    <w:basedOn w:val="1"/>
    <w:uiPriority w:val="0"/>
    <w:pPr>
      <w:widowControl/>
      <w:pBdr>
        <w:left w:val="single" w:color="auto" w:sz="8" w:space="0"/>
        <w:right w:val="single" w:color="auto" w:sz="8" w:space="0"/>
      </w:pBdr>
      <w:shd w:val="clear" w:color="000000" w:fill="FFFF00"/>
      <w:spacing w:before="100" w:beforeAutospacing="1" w:after="100" w:afterAutospacing="1" w:line="240" w:lineRule="auto"/>
      <w:ind w:firstLine="0" w:firstLineChars="0"/>
      <w:jc w:val="center"/>
      <w:textAlignment w:val="center"/>
    </w:pPr>
    <w:rPr>
      <w:kern w:val="0"/>
      <w:sz w:val="21"/>
      <w:szCs w:val="21"/>
    </w:rPr>
  </w:style>
  <w:style w:type="paragraph" w:customStyle="1" w:styleId="264">
    <w:name w:val="xl142"/>
    <w:basedOn w:val="1"/>
    <w:uiPriority w:val="0"/>
    <w:pPr>
      <w:widowControl/>
      <w:pBdr>
        <w:top w:val="single" w:color="auto" w:sz="8" w:space="0"/>
        <w:left w:val="single" w:color="auto" w:sz="8" w:space="0"/>
        <w:right w:val="single" w:color="auto" w:sz="8" w:space="0"/>
      </w:pBdr>
      <w:shd w:val="clear" w:color="000000" w:fill="FFFF00"/>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265">
    <w:name w:val="xl143"/>
    <w:basedOn w:val="1"/>
    <w:uiPriority w:val="0"/>
    <w:pPr>
      <w:widowControl/>
      <w:pBdr>
        <w:left w:val="single" w:color="auto" w:sz="8" w:space="0"/>
        <w:right w:val="single" w:color="auto" w:sz="8" w:space="0"/>
      </w:pBdr>
      <w:shd w:val="clear" w:color="000000" w:fill="FFFF00"/>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266">
    <w:name w:val="xl144"/>
    <w:basedOn w:val="1"/>
    <w:uiPriority w:val="0"/>
    <w:pPr>
      <w:widowControl/>
      <w:pBdr>
        <w:left w:val="single" w:color="auto" w:sz="8" w:space="0"/>
        <w:bottom w:val="single" w:color="auto" w:sz="8" w:space="0"/>
        <w:right w:val="single" w:color="auto" w:sz="8" w:space="0"/>
      </w:pBdr>
      <w:shd w:val="clear" w:color="000000" w:fill="FFFF00"/>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267">
    <w:name w:val="xl145"/>
    <w:basedOn w:val="1"/>
    <w:uiPriority w:val="0"/>
    <w:pPr>
      <w:widowControl/>
      <w:pBdr>
        <w:top w:val="single" w:color="auto" w:sz="8" w:space="0"/>
        <w:left w:val="single" w:color="auto" w:sz="8" w:space="0"/>
        <w:right w:val="single" w:color="auto" w:sz="8" w:space="0"/>
      </w:pBdr>
      <w:shd w:val="clear" w:color="000000" w:fill="FFFF00"/>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268">
    <w:name w:val="xl146"/>
    <w:basedOn w:val="1"/>
    <w:uiPriority w:val="0"/>
    <w:pPr>
      <w:widowControl/>
      <w:pBdr>
        <w:left w:val="single" w:color="auto" w:sz="8" w:space="0"/>
        <w:right w:val="single" w:color="auto" w:sz="8" w:space="0"/>
      </w:pBdr>
      <w:shd w:val="clear" w:color="000000" w:fill="FFFF00"/>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269">
    <w:name w:val="xl147"/>
    <w:basedOn w:val="1"/>
    <w:uiPriority w:val="0"/>
    <w:pPr>
      <w:widowControl/>
      <w:pBdr>
        <w:left w:val="single" w:color="auto" w:sz="8" w:space="0"/>
        <w:bottom w:val="single" w:color="auto" w:sz="8" w:space="0"/>
        <w:right w:val="single" w:color="auto" w:sz="8" w:space="0"/>
      </w:pBdr>
      <w:shd w:val="clear" w:color="000000" w:fill="FFFF00"/>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270">
    <w:name w:val="xl148"/>
    <w:basedOn w:val="1"/>
    <w:uiPriority w:val="0"/>
    <w:pPr>
      <w:widowControl/>
      <w:pBdr>
        <w:top w:val="single" w:color="auto" w:sz="8" w:space="0"/>
        <w:left w:val="single" w:color="auto" w:sz="8" w:space="0"/>
        <w:right w:val="single" w:color="auto" w:sz="8" w:space="0"/>
      </w:pBdr>
      <w:shd w:val="clear" w:color="000000" w:fill="FFFF00"/>
      <w:spacing w:before="100" w:beforeAutospacing="1" w:after="100" w:afterAutospacing="1" w:line="240" w:lineRule="auto"/>
      <w:ind w:firstLine="0" w:firstLineChars="0"/>
      <w:jc w:val="center"/>
      <w:textAlignment w:val="center"/>
    </w:pPr>
    <w:rPr>
      <w:kern w:val="0"/>
      <w:sz w:val="20"/>
      <w:szCs w:val="20"/>
    </w:rPr>
  </w:style>
  <w:style w:type="paragraph" w:customStyle="1" w:styleId="271">
    <w:name w:val="xl149"/>
    <w:basedOn w:val="1"/>
    <w:uiPriority w:val="0"/>
    <w:pPr>
      <w:widowControl/>
      <w:pBdr>
        <w:left w:val="single" w:color="auto" w:sz="8" w:space="0"/>
        <w:right w:val="single" w:color="auto" w:sz="8" w:space="0"/>
      </w:pBdr>
      <w:shd w:val="clear" w:color="000000" w:fill="FFFF00"/>
      <w:spacing w:before="100" w:beforeAutospacing="1" w:after="100" w:afterAutospacing="1" w:line="240" w:lineRule="auto"/>
      <w:ind w:firstLine="0" w:firstLineChars="0"/>
      <w:jc w:val="center"/>
      <w:textAlignment w:val="center"/>
    </w:pPr>
    <w:rPr>
      <w:kern w:val="0"/>
      <w:sz w:val="20"/>
      <w:szCs w:val="20"/>
    </w:rPr>
  </w:style>
  <w:style w:type="paragraph" w:customStyle="1" w:styleId="272">
    <w:name w:val="xl150"/>
    <w:basedOn w:val="1"/>
    <w:uiPriority w:val="0"/>
    <w:pPr>
      <w:widowControl/>
      <w:pBdr>
        <w:left w:val="single" w:color="auto" w:sz="8" w:space="0"/>
        <w:bottom w:val="single" w:color="auto" w:sz="8" w:space="0"/>
        <w:right w:val="single" w:color="auto" w:sz="8" w:space="0"/>
      </w:pBdr>
      <w:shd w:val="clear" w:color="000000" w:fill="FFFF00"/>
      <w:spacing w:before="100" w:beforeAutospacing="1" w:after="100" w:afterAutospacing="1" w:line="240" w:lineRule="auto"/>
      <w:ind w:firstLine="0" w:firstLineChars="0"/>
      <w:jc w:val="center"/>
      <w:textAlignment w:val="center"/>
    </w:pPr>
    <w:rPr>
      <w:kern w:val="0"/>
      <w:sz w:val="20"/>
      <w:szCs w:val="20"/>
    </w:rPr>
  </w:style>
  <w:style w:type="paragraph" w:customStyle="1" w:styleId="273">
    <w:name w:val="xl151"/>
    <w:basedOn w:val="1"/>
    <w:uiPriority w:val="0"/>
    <w:pPr>
      <w:widowControl/>
      <w:pBdr>
        <w:left w:val="single" w:color="auto" w:sz="8" w:space="0"/>
        <w:bottom w:val="single" w:color="auto" w:sz="4" w:space="0"/>
        <w:right w:val="single" w:color="auto" w:sz="8" w:space="0"/>
      </w:pBdr>
      <w:spacing w:before="100" w:beforeAutospacing="1" w:after="100" w:afterAutospacing="1" w:line="240" w:lineRule="auto"/>
      <w:ind w:firstLine="0" w:firstLineChars="0"/>
      <w:jc w:val="center"/>
      <w:textAlignment w:val="center"/>
    </w:pPr>
    <w:rPr>
      <w:kern w:val="0"/>
      <w:sz w:val="20"/>
      <w:szCs w:val="20"/>
    </w:rPr>
  </w:style>
  <w:style w:type="paragraph" w:customStyle="1" w:styleId="274">
    <w:name w:val="xl152"/>
    <w:basedOn w:val="1"/>
    <w:uiPriority w:val="0"/>
    <w:pPr>
      <w:widowControl/>
      <w:pBdr>
        <w:left w:val="single" w:color="auto" w:sz="8" w:space="0"/>
        <w:bottom w:val="single" w:color="auto" w:sz="8" w:space="0"/>
        <w:right w:val="single" w:color="auto" w:sz="8" w:space="0"/>
      </w:pBdr>
      <w:shd w:val="clear" w:color="000000" w:fill="FFFF00"/>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275">
    <w:name w:val="xl153"/>
    <w:basedOn w:val="1"/>
    <w:uiPriority w:val="0"/>
    <w:pPr>
      <w:widowControl/>
      <w:pBdr>
        <w:top w:val="single" w:color="auto" w:sz="8" w:space="0"/>
        <w:left w:val="single" w:color="auto" w:sz="8" w:space="0"/>
        <w:bottom w:val="single" w:color="auto" w:sz="8" w:space="0"/>
      </w:pBdr>
      <w:shd w:val="clear" w:color="000000" w:fill="FFFF00"/>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276">
    <w:name w:val="xl154"/>
    <w:basedOn w:val="1"/>
    <w:uiPriority w:val="0"/>
    <w:pPr>
      <w:widowControl/>
      <w:pBdr>
        <w:top w:val="single" w:color="auto" w:sz="8" w:space="0"/>
        <w:bottom w:val="single" w:color="auto" w:sz="8" w:space="0"/>
      </w:pBdr>
      <w:shd w:val="clear" w:color="000000" w:fill="FFFF00"/>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277">
    <w:name w:val="xl155"/>
    <w:basedOn w:val="1"/>
    <w:uiPriority w:val="0"/>
    <w:pPr>
      <w:widowControl/>
      <w:pBdr>
        <w:top w:val="single" w:color="auto" w:sz="8" w:space="0"/>
        <w:bottom w:val="single" w:color="auto" w:sz="8" w:space="0"/>
        <w:right w:val="single" w:color="auto" w:sz="8" w:space="0"/>
      </w:pBdr>
      <w:shd w:val="clear" w:color="000000" w:fill="FFFF00"/>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278">
    <w:name w:val="xl156"/>
    <w:basedOn w:val="1"/>
    <w:uiPriority w:val="0"/>
    <w:pPr>
      <w:widowControl/>
      <w:pBdr>
        <w:top w:val="single" w:color="auto" w:sz="8" w:space="0"/>
        <w:left w:val="single" w:color="auto" w:sz="8" w:space="0"/>
        <w:right w:val="single" w:color="auto" w:sz="8" w:space="0"/>
      </w:pBdr>
      <w:shd w:val="clear" w:color="000000" w:fill="FFFF00"/>
      <w:spacing w:before="100" w:beforeAutospacing="1" w:after="100" w:afterAutospacing="1" w:line="240" w:lineRule="auto"/>
      <w:ind w:firstLine="0" w:firstLineChars="0"/>
      <w:jc w:val="both"/>
      <w:textAlignment w:val="center"/>
    </w:pPr>
    <w:rPr>
      <w:rFonts w:ascii="Calibri" w:hAnsi="Calibri" w:cs="Calibri"/>
      <w:kern w:val="0"/>
      <w:sz w:val="21"/>
      <w:szCs w:val="21"/>
    </w:rPr>
  </w:style>
  <w:style w:type="paragraph" w:customStyle="1" w:styleId="279">
    <w:name w:val="xl157"/>
    <w:basedOn w:val="1"/>
    <w:uiPriority w:val="0"/>
    <w:pPr>
      <w:widowControl/>
      <w:pBdr>
        <w:left w:val="single" w:color="auto" w:sz="8" w:space="0"/>
        <w:right w:val="single" w:color="auto" w:sz="8" w:space="0"/>
      </w:pBdr>
      <w:shd w:val="clear" w:color="000000" w:fill="FFFF00"/>
      <w:spacing w:before="100" w:beforeAutospacing="1" w:after="100" w:afterAutospacing="1" w:line="240" w:lineRule="auto"/>
      <w:ind w:firstLine="0" w:firstLineChars="0"/>
      <w:jc w:val="both"/>
      <w:textAlignment w:val="center"/>
    </w:pPr>
    <w:rPr>
      <w:rFonts w:ascii="Calibri" w:hAnsi="Calibri" w:cs="Calibri"/>
      <w:kern w:val="0"/>
      <w:sz w:val="21"/>
      <w:szCs w:val="21"/>
    </w:rPr>
  </w:style>
  <w:style w:type="paragraph" w:customStyle="1" w:styleId="280">
    <w:name w:val="xl158"/>
    <w:basedOn w:val="1"/>
    <w:uiPriority w:val="0"/>
    <w:pPr>
      <w:widowControl/>
      <w:pBdr>
        <w:left w:val="single" w:color="auto" w:sz="8" w:space="0"/>
        <w:bottom w:val="single" w:color="auto" w:sz="8" w:space="0"/>
        <w:right w:val="single" w:color="auto" w:sz="8" w:space="0"/>
      </w:pBdr>
      <w:shd w:val="clear" w:color="000000" w:fill="FFFF00"/>
      <w:spacing w:before="100" w:beforeAutospacing="1" w:after="100" w:afterAutospacing="1" w:line="240" w:lineRule="auto"/>
      <w:ind w:firstLine="0" w:firstLineChars="0"/>
      <w:jc w:val="both"/>
      <w:textAlignment w:val="center"/>
    </w:pPr>
    <w:rPr>
      <w:rFonts w:ascii="Calibri" w:hAnsi="Calibri" w:cs="Calibri"/>
      <w:kern w:val="0"/>
      <w:sz w:val="21"/>
      <w:szCs w:val="21"/>
    </w:rPr>
  </w:style>
  <w:style w:type="paragraph" w:customStyle="1" w:styleId="281">
    <w:name w:val="xl159"/>
    <w:basedOn w:val="1"/>
    <w:uiPriority w:val="0"/>
    <w:pPr>
      <w:widowControl/>
      <w:shd w:val="clear" w:color="000000" w:fill="FFFF00"/>
      <w:spacing w:before="100" w:beforeAutospacing="1" w:after="100" w:afterAutospacing="1" w:line="240" w:lineRule="auto"/>
      <w:ind w:firstLine="0" w:firstLineChars="0"/>
      <w:jc w:val="both"/>
      <w:textAlignment w:val="center"/>
    </w:pPr>
    <w:rPr>
      <w:rFonts w:ascii="Calibri" w:hAnsi="Calibri" w:cs="Calibri"/>
      <w:kern w:val="0"/>
      <w:sz w:val="21"/>
      <w:szCs w:val="21"/>
    </w:rPr>
  </w:style>
  <w:style w:type="paragraph" w:customStyle="1" w:styleId="282">
    <w:name w:val="xl160"/>
    <w:basedOn w:val="1"/>
    <w:uiPriority w:val="0"/>
    <w:pPr>
      <w:widowControl/>
      <w:pBdr>
        <w:left w:val="single" w:color="auto" w:sz="8" w:space="0"/>
        <w:right w:val="single" w:color="auto" w:sz="8" w:space="0"/>
      </w:pBdr>
      <w:shd w:val="clear" w:color="000000" w:fill="FFFF00"/>
      <w:spacing w:before="100" w:beforeAutospacing="1" w:after="100" w:afterAutospacing="1" w:line="240" w:lineRule="auto"/>
      <w:ind w:firstLine="0" w:firstLineChars="0"/>
      <w:jc w:val="both"/>
      <w:textAlignment w:val="center"/>
    </w:pPr>
    <w:rPr>
      <w:rFonts w:ascii="Calibri" w:hAnsi="Calibri" w:cs="Calibri"/>
      <w:kern w:val="0"/>
      <w:sz w:val="21"/>
      <w:szCs w:val="21"/>
    </w:rPr>
  </w:style>
  <w:style w:type="paragraph" w:customStyle="1" w:styleId="283">
    <w:name w:val="xl161"/>
    <w:basedOn w:val="1"/>
    <w:uiPriority w:val="0"/>
    <w:pPr>
      <w:widowControl/>
      <w:pBdr>
        <w:top w:val="single" w:color="auto" w:sz="8" w:space="0"/>
        <w:left w:val="single" w:color="auto" w:sz="8" w:space="0"/>
        <w:right w:val="single" w:color="auto" w:sz="8" w:space="0"/>
      </w:pBdr>
      <w:shd w:val="clear" w:color="000000" w:fill="FFFF00"/>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84">
    <w:name w:val="xl162"/>
    <w:basedOn w:val="1"/>
    <w:uiPriority w:val="0"/>
    <w:pPr>
      <w:widowControl/>
      <w:pBdr>
        <w:left w:val="single" w:color="auto" w:sz="8" w:space="0"/>
        <w:right w:val="single" w:color="auto" w:sz="8" w:space="0"/>
      </w:pBdr>
      <w:shd w:val="clear" w:color="000000" w:fill="FFFF00"/>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85">
    <w:name w:val="xl163"/>
    <w:basedOn w:val="1"/>
    <w:uiPriority w:val="0"/>
    <w:pPr>
      <w:widowControl/>
      <w:pBdr>
        <w:left w:val="single" w:color="auto" w:sz="8" w:space="0"/>
        <w:bottom w:val="single" w:color="auto" w:sz="8" w:space="0"/>
        <w:right w:val="single" w:color="auto" w:sz="8" w:space="0"/>
      </w:pBdr>
      <w:shd w:val="clear" w:color="000000" w:fill="FFFF00"/>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86">
    <w:name w:val="xl164"/>
    <w:basedOn w:val="1"/>
    <w:uiPriority w:val="0"/>
    <w:pPr>
      <w:widowControl/>
      <w:pBdr>
        <w:bottom w:val="single" w:color="auto" w:sz="8" w:space="0"/>
        <w:right w:val="single" w:color="auto" w:sz="8" w:space="0"/>
      </w:pBdr>
      <w:shd w:val="clear" w:color="000000" w:fill="FFFF00"/>
      <w:spacing w:before="100" w:beforeAutospacing="1" w:after="100" w:afterAutospacing="1" w:line="240" w:lineRule="auto"/>
      <w:ind w:firstLine="0" w:firstLineChars="0"/>
      <w:jc w:val="center"/>
      <w:textAlignment w:val="center"/>
    </w:pPr>
    <w:rPr>
      <w:kern w:val="0"/>
      <w:sz w:val="21"/>
      <w:szCs w:val="21"/>
    </w:rPr>
  </w:style>
  <w:style w:type="paragraph" w:customStyle="1" w:styleId="287">
    <w:name w:val="xl165"/>
    <w:basedOn w:val="1"/>
    <w:uiPriority w:val="0"/>
    <w:pPr>
      <w:widowControl/>
      <w:pBdr>
        <w:top w:val="single" w:color="auto" w:sz="8" w:space="0"/>
        <w:left w:val="single" w:color="auto" w:sz="8" w:space="0"/>
        <w:right w:val="single" w:color="auto" w:sz="8" w:space="0"/>
      </w:pBdr>
      <w:shd w:val="clear" w:color="000000" w:fill="FFFF00"/>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88">
    <w:name w:val="xl166"/>
    <w:basedOn w:val="1"/>
    <w:uiPriority w:val="0"/>
    <w:pPr>
      <w:widowControl/>
      <w:pBdr>
        <w:top w:val="single" w:color="auto" w:sz="8" w:space="0"/>
        <w:left w:val="single" w:color="auto" w:sz="8" w:space="0"/>
        <w:right w:val="single" w:color="auto" w:sz="8" w:space="0"/>
      </w:pBdr>
      <w:shd w:val="clear" w:color="000000" w:fill="FFFF00"/>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89">
    <w:name w:val="xl167"/>
    <w:basedOn w:val="1"/>
    <w:uiPriority w:val="0"/>
    <w:pPr>
      <w:widowControl/>
      <w:pBdr>
        <w:right w:val="single" w:color="auto" w:sz="8" w:space="0"/>
      </w:pBdr>
      <w:shd w:val="clear" w:color="000000" w:fill="FFFF00"/>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90">
    <w:name w:val="xl168"/>
    <w:basedOn w:val="1"/>
    <w:uiPriority w:val="0"/>
    <w:pPr>
      <w:widowControl/>
      <w:pBdr>
        <w:left w:val="single" w:color="auto" w:sz="8" w:space="0"/>
        <w:right w:val="single" w:color="auto" w:sz="8" w:space="0"/>
      </w:pBdr>
      <w:shd w:val="clear" w:color="000000" w:fill="FFFF00"/>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91">
    <w:name w:val="xl169"/>
    <w:basedOn w:val="1"/>
    <w:uiPriority w:val="0"/>
    <w:pPr>
      <w:widowControl/>
      <w:pBdr>
        <w:left w:val="single" w:color="auto" w:sz="8" w:space="0"/>
        <w:right w:val="single" w:color="auto" w:sz="8" w:space="0"/>
      </w:pBdr>
      <w:shd w:val="clear" w:color="000000" w:fill="FFFF00"/>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92">
    <w:name w:val="xl170"/>
    <w:basedOn w:val="1"/>
    <w:uiPriority w:val="0"/>
    <w:pPr>
      <w:widowControl/>
      <w:pBdr>
        <w:left w:val="single" w:color="auto" w:sz="8" w:space="0"/>
        <w:bottom w:val="single" w:color="auto" w:sz="8" w:space="0"/>
        <w:right w:val="single" w:color="auto" w:sz="8" w:space="0"/>
      </w:pBdr>
      <w:shd w:val="clear" w:color="000000" w:fill="FFFF00"/>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93">
    <w:name w:val="xl171"/>
    <w:basedOn w:val="1"/>
    <w:uiPriority w:val="0"/>
    <w:pPr>
      <w:widowControl/>
      <w:pBdr>
        <w:left w:val="single" w:color="auto" w:sz="8" w:space="0"/>
        <w:bottom w:val="single" w:color="auto" w:sz="8" w:space="0"/>
        <w:right w:val="single" w:color="auto" w:sz="8" w:space="0"/>
      </w:pBdr>
      <w:shd w:val="clear" w:color="000000" w:fill="FFFF00"/>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94">
    <w:name w:val="xl172"/>
    <w:basedOn w:val="1"/>
    <w:uiPriority w:val="0"/>
    <w:pPr>
      <w:widowControl/>
      <w:pBdr>
        <w:bottom w:val="single" w:color="auto" w:sz="8" w:space="0"/>
        <w:right w:val="single" w:color="auto" w:sz="8" w:space="0"/>
      </w:pBdr>
      <w:shd w:val="clear" w:color="000000" w:fill="FFFF00"/>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95">
    <w:name w:val="xl173"/>
    <w:basedOn w:val="1"/>
    <w:uiPriority w:val="0"/>
    <w:pPr>
      <w:widowControl/>
      <w:pBdr>
        <w:top w:val="single" w:color="auto" w:sz="8" w:space="0"/>
        <w:left w:val="single" w:color="auto" w:sz="8" w:space="0"/>
        <w:right w:val="single" w:color="auto" w:sz="8" w:space="0"/>
      </w:pBdr>
      <w:shd w:val="clear" w:color="000000" w:fill="FFFF00"/>
      <w:spacing w:before="100" w:beforeAutospacing="1" w:after="100" w:afterAutospacing="1" w:line="240" w:lineRule="auto"/>
      <w:ind w:firstLine="0" w:firstLineChars="0"/>
      <w:jc w:val="center"/>
      <w:textAlignment w:val="center"/>
    </w:pPr>
    <w:rPr>
      <w:color w:val="000000"/>
      <w:kern w:val="0"/>
    </w:rPr>
  </w:style>
  <w:style w:type="paragraph" w:customStyle="1" w:styleId="296">
    <w:name w:val="xl174"/>
    <w:basedOn w:val="1"/>
    <w:uiPriority w:val="0"/>
    <w:pPr>
      <w:widowControl/>
      <w:pBdr>
        <w:left w:val="single" w:color="auto" w:sz="8" w:space="0"/>
        <w:right w:val="single" w:color="auto" w:sz="8" w:space="0"/>
      </w:pBdr>
      <w:shd w:val="clear" w:color="000000" w:fill="FFFF00"/>
      <w:spacing w:before="100" w:beforeAutospacing="1" w:after="100" w:afterAutospacing="1" w:line="240" w:lineRule="auto"/>
      <w:ind w:firstLine="0" w:firstLineChars="0"/>
      <w:jc w:val="center"/>
      <w:textAlignment w:val="center"/>
    </w:pPr>
    <w:rPr>
      <w:color w:val="000000"/>
      <w:kern w:val="0"/>
    </w:rPr>
  </w:style>
  <w:style w:type="paragraph" w:customStyle="1" w:styleId="297">
    <w:name w:val="xl175"/>
    <w:basedOn w:val="1"/>
    <w:uiPriority w:val="0"/>
    <w:pPr>
      <w:widowControl/>
      <w:pBdr>
        <w:left w:val="single" w:color="auto" w:sz="8" w:space="0"/>
        <w:right w:val="single" w:color="auto" w:sz="8" w:space="0"/>
      </w:pBdr>
      <w:shd w:val="clear" w:color="000000" w:fill="FFFF00"/>
      <w:spacing w:before="100" w:beforeAutospacing="1" w:after="100" w:afterAutospacing="1" w:line="240" w:lineRule="auto"/>
      <w:ind w:firstLine="0" w:firstLineChars="0"/>
      <w:jc w:val="center"/>
      <w:textAlignment w:val="center"/>
    </w:pPr>
    <w:rPr>
      <w:kern w:val="0"/>
    </w:rPr>
  </w:style>
  <w:style w:type="paragraph" w:customStyle="1" w:styleId="298">
    <w:name w:val="xl176"/>
    <w:basedOn w:val="1"/>
    <w:uiPriority w:val="0"/>
    <w:pPr>
      <w:widowControl/>
      <w:pBdr>
        <w:left w:val="single" w:color="auto" w:sz="8" w:space="0"/>
        <w:bottom w:val="single" w:color="auto" w:sz="8" w:space="0"/>
        <w:right w:val="single" w:color="auto" w:sz="8" w:space="0"/>
      </w:pBdr>
      <w:shd w:val="clear" w:color="000000" w:fill="FFFF00"/>
      <w:spacing w:before="100" w:beforeAutospacing="1" w:after="100" w:afterAutospacing="1" w:line="240" w:lineRule="auto"/>
      <w:ind w:firstLine="0" w:firstLineChars="0"/>
      <w:jc w:val="center"/>
      <w:textAlignment w:val="center"/>
    </w:pPr>
    <w:rPr>
      <w:color w:val="000000"/>
      <w:kern w:val="0"/>
    </w:rPr>
  </w:style>
  <w:style w:type="paragraph" w:customStyle="1" w:styleId="299">
    <w:name w:val="xl177"/>
    <w:basedOn w:val="1"/>
    <w:uiPriority w:val="0"/>
    <w:pPr>
      <w:widowControl/>
      <w:pBdr>
        <w:right w:val="single" w:color="auto" w:sz="8" w:space="0"/>
      </w:pBdr>
      <w:shd w:val="clear" w:color="000000" w:fill="FFFF00"/>
      <w:spacing w:before="100" w:beforeAutospacing="1" w:after="100" w:afterAutospacing="1" w:line="240" w:lineRule="auto"/>
      <w:ind w:firstLine="0" w:firstLineChars="0"/>
      <w:jc w:val="center"/>
      <w:textAlignment w:val="center"/>
    </w:pPr>
    <w:rPr>
      <w:color w:val="000000"/>
      <w:kern w:val="0"/>
    </w:rPr>
  </w:style>
  <w:style w:type="paragraph" w:customStyle="1" w:styleId="300">
    <w:name w:val="xl178"/>
    <w:basedOn w:val="1"/>
    <w:uiPriority w:val="0"/>
    <w:pPr>
      <w:widowControl/>
      <w:pBdr>
        <w:top w:val="single" w:color="auto" w:sz="8" w:space="0"/>
      </w:pBdr>
      <w:shd w:val="clear" w:color="000000" w:fill="FFFF00"/>
      <w:spacing w:before="100" w:beforeAutospacing="1" w:after="100" w:afterAutospacing="1" w:line="240" w:lineRule="auto"/>
      <w:ind w:firstLine="0" w:firstLineChars="0"/>
    </w:pPr>
    <w:rPr>
      <w:rFonts w:ascii="宋体" w:hAnsi="宋体" w:cs="宋体"/>
      <w:kern w:val="0"/>
    </w:rPr>
  </w:style>
  <w:style w:type="paragraph" w:customStyle="1" w:styleId="301">
    <w:name w:val="xl179"/>
    <w:basedOn w:val="1"/>
    <w:uiPriority w:val="0"/>
    <w:pPr>
      <w:widowControl/>
      <w:shd w:val="clear" w:color="000000" w:fill="FFFF00"/>
      <w:spacing w:before="100" w:beforeAutospacing="1" w:after="100" w:afterAutospacing="1" w:line="240" w:lineRule="auto"/>
      <w:ind w:firstLine="0" w:firstLineChars="0"/>
    </w:pPr>
    <w:rPr>
      <w:rFonts w:ascii="宋体" w:hAnsi="宋体" w:cs="宋体"/>
      <w:kern w:val="0"/>
    </w:rPr>
  </w:style>
  <w:style w:type="paragraph" w:customStyle="1" w:styleId="302">
    <w:name w:val="图样式"/>
    <w:basedOn w:val="1"/>
    <w:link w:val="303"/>
    <w:uiPriority w:val="0"/>
    <w:pPr>
      <w:spacing w:line="240" w:lineRule="auto"/>
      <w:ind w:firstLine="0" w:firstLineChars="0"/>
      <w:jc w:val="center"/>
    </w:pPr>
    <w:rPr>
      <w:rFonts w:eastAsia="微软雅黑" w:asciiTheme="minorHAnsi" w:hAnsiTheme="minorHAnsi" w:cstheme="minorBidi"/>
      <w:sz w:val="15"/>
      <w:szCs w:val="22"/>
    </w:rPr>
  </w:style>
  <w:style w:type="character" w:customStyle="1" w:styleId="303">
    <w:name w:val="图样式 字符"/>
    <w:basedOn w:val="37"/>
    <w:link w:val="302"/>
    <w:uiPriority w:val="0"/>
    <w:rPr>
      <w:rFonts w:eastAsia="微软雅黑"/>
      <w:sz w:val="15"/>
    </w:rPr>
  </w:style>
  <w:style w:type="paragraph" w:customStyle="1" w:styleId="304">
    <w:name w:val="*正文"/>
    <w:basedOn w:val="1"/>
    <w:link w:val="305"/>
    <w:uiPriority w:val="0"/>
    <w:pPr>
      <w:widowControl/>
      <w:spacing w:line="240" w:lineRule="auto"/>
      <w:ind w:firstLine="200"/>
      <w:jc w:val="both"/>
    </w:pPr>
    <w:rPr>
      <w:rFonts w:ascii="仿宋_GB2312" w:eastAsia="仿宋_GB2312"/>
      <w:szCs w:val="28"/>
    </w:rPr>
  </w:style>
  <w:style w:type="character" w:customStyle="1" w:styleId="305">
    <w:name w:val="*正文 Char"/>
    <w:link w:val="304"/>
    <w:uiPriority w:val="0"/>
    <w:rPr>
      <w:rFonts w:ascii="仿宋_GB2312" w:hAnsi="Times New Roman" w:eastAsia="仿宋_GB2312" w:cs="Times New Roman"/>
      <w:sz w:val="24"/>
      <w:szCs w:val="28"/>
    </w:rPr>
  </w:style>
  <w:style w:type="character" w:customStyle="1" w:styleId="306">
    <w:name w:val="未处理的提及2"/>
    <w:basedOn w:val="37"/>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2.png"/><Relationship Id="rId3" Type="http://schemas.openxmlformats.org/officeDocument/2006/relationships/footnotes" Target="footnotes.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emf"/><Relationship Id="rId26" Type="http://schemas.openxmlformats.org/officeDocument/2006/relationships/image" Target="media/image8.jpe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emf"/><Relationship Id="rId21" Type="http://schemas.openxmlformats.org/officeDocument/2006/relationships/oleObject" Target="embeddings/Microsoft_Visio_2003-2010___2.vsd"/><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emf"/><Relationship Id="rId18" Type="http://schemas.openxmlformats.org/officeDocument/2006/relationships/package" Target="embeddings/Microsoft_Visio___1.vsdx"/><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F084D4-AB5A-42F8-9A73-D67142E3FD5A}">
  <ds:schemaRefs/>
</ds:datastoreItem>
</file>

<file path=docProps/app.xml><?xml version="1.0" encoding="utf-8"?>
<Properties xmlns="http://schemas.openxmlformats.org/officeDocument/2006/extended-properties" xmlns:vt="http://schemas.openxmlformats.org/officeDocument/2006/docPropsVTypes">
  <Template>Normal.dotm</Template>
  <Pages>152</Pages>
  <Words>89937</Words>
  <Characters>98910</Characters>
  <Lines>769</Lines>
  <Paragraphs>216</Paragraphs>
  <TotalTime>3089</TotalTime>
  <ScaleCrop>false</ScaleCrop>
  <LinksUpToDate>false</LinksUpToDate>
  <CharactersWithSpaces>100846</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2022-08-17T00:14:00Z</dcterms:created>
  <dc:creator>dell</dc:creator>
  <cp:lastModifiedBy>Dxq</cp:lastModifiedBy>
  <cp:lastPrinted>2022-08-22T05:39:00Z</cp:lastPrinted>
  <dcterms:modified xsi:type="dcterms:W3CDTF">2022-08-29T07:28:38Z</dcterms:modified>
  <cp:revision>227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BAB7DAECDB9D4B6382597F90C9C63E79</vt:lpwstr>
  </property>
</Properties>
</file>