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2" w:beforeLines="20" w:after="62" w:afterLines="20" w:line="360" w:lineRule="auto"/>
        <w:ind w:left="1122" w:leftChars="200" w:hanging="562" w:hangingChars="200"/>
        <w:contextualSpacing/>
        <w:jc w:val="center"/>
        <w:rPr>
          <w:b/>
          <w:color w:val="000000"/>
          <w:szCs w:val="28"/>
        </w:rPr>
      </w:pPr>
      <w:r>
        <w:rPr>
          <w:rFonts w:hint="eastAsia"/>
          <w:b/>
          <w:color w:val="000000"/>
          <w:szCs w:val="28"/>
        </w:rPr>
        <w:t>编 制 说 明</w:t>
      </w:r>
    </w:p>
    <w:p>
      <w:pPr>
        <w:pStyle w:val="3"/>
        <w:numPr>
          <w:ilvl w:val="0"/>
          <w:numId w:val="1"/>
        </w:numPr>
        <w:spacing w:before="0" w:after="0" w:line="360" w:lineRule="auto"/>
        <w:jc w:val="left"/>
        <w:rPr>
          <w:rFonts w:hint="eastAsia" w:ascii="宋体" w:eastAsia="宋体" w:cs="宋体"/>
          <w:sz w:val="24"/>
          <w:szCs w:val="24"/>
          <w:lang w:eastAsia="zh-CN"/>
        </w:rPr>
      </w:pPr>
      <w:r>
        <w:rPr>
          <w:rFonts w:hint="eastAsia" w:ascii="宋体" w:eastAsia="宋体" w:cs="宋体"/>
          <w:sz w:val="24"/>
          <w:szCs w:val="24"/>
        </w:rPr>
        <w:t>项目名称</w:t>
      </w:r>
      <w:r>
        <w:rPr>
          <w:rFonts w:hint="eastAsia" w:ascii="宋体" w:eastAsia="宋体" w:cs="宋体"/>
          <w:sz w:val="24"/>
          <w:szCs w:val="24"/>
          <w:lang w:eastAsia="zh-CN"/>
        </w:rPr>
        <w:t>：宁格尔塔村围河护堰工程</w:t>
      </w:r>
    </w:p>
    <w:p>
      <w:pPr>
        <w:pStyle w:val="3"/>
        <w:numPr>
          <w:ilvl w:val="0"/>
          <w:numId w:val="0"/>
        </w:numPr>
        <w:spacing w:before="0" w:after="0" w:line="360" w:lineRule="auto"/>
        <w:jc w:val="left"/>
        <w:rPr>
          <w:rFonts w:hint="eastAsia" w:ascii="宋体" w:eastAsia="宋体" w:cs="宋体"/>
          <w:sz w:val="24"/>
          <w:szCs w:val="24"/>
          <w:lang w:eastAsia="zh-CN"/>
        </w:rPr>
      </w:pPr>
      <w:r>
        <w:rPr>
          <w:rFonts w:hint="eastAsia" w:ascii="宋体" w:eastAsia="宋体" w:cs="宋体"/>
          <w:sz w:val="24"/>
          <w:szCs w:val="24"/>
          <w:lang w:eastAsia="zh-CN"/>
        </w:rPr>
        <w:t>二</w:t>
      </w:r>
      <w:r>
        <w:rPr>
          <w:rFonts w:hint="eastAsia" w:ascii="宋体" w:eastAsia="宋体" w:cs="宋体"/>
          <w:sz w:val="24"/>
          <w:szCs w:val="24"/>
        </w:rPr>
        <w:t>、编制依据</w:t>
      </w:r>
      <w:r>
        <w:rPr>
          <w:rFonts w:hint="eastAsia" w:ascii="宋体" w:eastAsia="宋体" w:cs="宋体"/>
          <w:sz w:val="24"/>
          <w:szCs w:val="24"/>
          <w:lang w:eastAsia="zh-CN"/>
        </w:rPr>
        <w:t>：</w:t>
      </w:r>
    </w:p>
    <w:p>
      <w:pPr>
        <w:pStyle w:val="3"/>
        <w:spacing w:before="0" w:after="0" w:line="360" w:lineRule="auto"/>
        <w:ind w:firstLine="480" w:firstLineChars="200"/>
        <w:jc w:val="left"/>
        <w:rPr>
          <w:rFonts w:hint="eastAsia" w:ascii="宋体" w:eastAsia="宋体" w:cs="宋体"/>
          <w:sz w:val="24"/>
          <w:szCs w:val="24"/>
        </w:rPr>
      </w:pPr>
      <w:r>
        <w:rPr>
          <w:rFonts w:hint="eastAsia" w:ascii="宋体" w:eastAsia="宋体" w:cs="宋体"/>
          <w:sz w:val="24"/>
          <w:szCs w:val="24"/>
        </w:rPr>
        <w:t>1.水利部水总［2014］第 429 号文《水利工程设计概（估）算编制规定》(以下简称［2014］水总 429 号文)；</w:t>
      </w:r>
    </w:p>
    <w:p>
      <w:pPr>
        <w:pStyle w:val="3"/>
        <w:spacing w:before="0" w:after="0" w:line="360" w:lineRule="auto"/>
        <w:ind w:firstLine="480" w:firstLineChars="200"/>
        <w:jc w:val="left"/>
        <w:rPr>
          <w:rFonts w:ascii="宋体" w:eastAsia="宋体" w:cs="宋体"/>
          <w:sz w:val="24"/>
          <w:szCs w:val="24"/>
        </w:rPr>
      </w:pPr>
      <w:r>
        <w:rPr>
          <w:rFonts w:hint="eastAsia" w:ascii="宋体" w:eastAsia="宋体" w:cs="宋体"/>
          <w:sz w:val="24"/>
          <w:szCs w:val="24"/>
        </w:rPr>
        <w:t xml:space="preserve">2.水利部水总(2002)第 116 号文《水利建筑工程预算定额》； </w:t>
      </w:r>
    </w:p>
    <w:p>
      <w:pPr>
        <w:pStyle w:val="3"/>
        <w:spacing w:before="0" w:after="0" w:line="360" w:lineRule="auto"/>
        <w:ind w:firstLine="480" w:firstLineChars="200"/>
        <w:jc w:val="left"/>
        <w:rPr>
          <w:rFonts w:ascii="宋体" w:eastAsia="宋体" w:cs="宋体"/>
          <w:sz w:val="24"/>
          <w:szCs w:val="24"/>
        </w:rPr>
      </w:pPr>
      <w:r>
        <w:rPr>
          <w:rFonts w:hint="eastAsia" w:ascii="宋体" w:eastAsia="宋体" w:cs="宋体"/>
          <w:sz w:val="24"/>
          <w:szCs w:val="24"/>
        </w:rPr>
        <w:t>3.水利部水总（2002）第 116 号文《水利工程施工机械台时费定额》；</w:t>
      </w:r>
    </w:p>
    <w:p>
      <w:pPr>
        <w:pStyle w:val="3"/>
        <w:spacing w:before="0" w:after="0" w:line="360" w:lineRule="auto"/>
        <w:ind w:firstLine="480" w:firstLineChars="200"/>
        <w:jc w:val="left"/>
        <w:rPr>
          <w:rFonts w:hint="eastAsia" w:ascii="宋体" w:eastAsia="宋体" w:cs="宋体"/>
          <w:sz w:val="24"/>
          <w:szCs w:val="24"/>
        </w:rPr>
      </w:pPr>
      <w:r>
        <w:rPr>
          <w:rFonts w:hint="eastAsia" w:ascii="宋体" w:eastAsia="宋体" w:cs="宋体"/>
          <w:sz w:val="24"/>
          <w:szCs w:val="24"/>
        </w:rPr>
        <w:t>4.水总（ 2005 ） 389 号文颁发的《水利工程概预算补充定额》；</w:t>
      </w:r>
    </w:p>
    <w:p>
      <w:pPr>
        <w:pStyle w:val="3"/>
        <w:spacing w:before="0" w:after="0" w:line="360" w:lineRule="auto"/>
        <w:ind w:firstLine="480" w:firstLineChars="200"/>
        <w:jc w:val="left"/>
      </w:pPr>
      <w:r>
        <w:rPr>
          <w:rFonts w:hint="eastAsia" w:ascii="宋体" w:hAnsi="宋体"/>
          <w:sz w:val="24"/>
          <w:szCs w:val="24"/>
        </w:rPr>
        <w:t>5.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全国水利2010预算补充定额（海委部分）</w:t>
      </w:r>
    </w:p>
    <w:p>
      <w:pPr>
        <w:pStyle w:val="3"/>
        <w:spacing w:before="0" w:after="0" w:line="360" w:lineRule="auto"/>
        <w:ind w:firstLine="480" w:firstLineChars="200"/>
        <w:jc w:val="left"/>
        <w:rPr>
          <w:rFonts w:ascii="宋体" w:eastAsia="宋体" w:cs="宋体"/>
          <w:sz w:val="24"/>
          <w:szCs w:val="24"/>
        </w:rPr>
      </w:pPr>
      <w:r>
        <w:rPr>
          <w:rFonts w:hint="eastAsia" w:ascii="宋体" w:eastAsia="宋体" w:cs="宋体"/>
          <w:sz w:val="24"/>
          <w:szCs w:val="24"/>
        </w:rPr>
        <w:t xml:space="preserve">6.水利部办公厅印发的《调整水利工程计价依据增值税计算标准》（办水总[2016]132 号）； </w:t>
      </w:r>
    </w:p>
    <w:p>
      <w:pPr>
        <w:pStyle w:val="3"/>
        <w:spacing w:before="0" w:after="0" w:line="360" w:lineRule="auto"/>
        <w:ind w:firstLine="480" w:firstLineChars="200"/>
        <w:jc w:val="left"/>
        <w:rPr>
          <w:rFonts w:ascii="宋体" w:eastAsia="宋体" w:cs="宋体"/>
          <w:sz w:val="24"/>
          <w:szCs w:val="24"/>
        </w:rPr>
      </w:pPr>
      <w:r>
        <w:rPr>
          <w:rFonts w:hint="eastAsia" w:ascii="宋体" w:eastAsia="宋体" w:cs="宋体"/>
          <w:sz w:val="24"/>
          <w:szCs w:val="24"/>
        </w:rPr>
        <w:t>7.水利部办公厅关于《调整水利工程计价依据增值税计算标准的通知》（办财务函[2019]448 号）；</w:t>
      </w:r>
    </w:p>
    <w:p>
      <w:pPr>
        <w:pStyle w:val="3"/>
        <w:spacing w:before="0" w:after="0" w:line="360" w:lineRule="auto"/>
        <w:ind w:firstLine="480" w:firstLineChars="200"/>
        <w:jc w:val="left"/>
        <w:rPr>
          <w:rFonts w:ascii="宋体" w:eastAsia="宋体" w:cs="宋体"/>
          <w:sz w:val="24"/>
          <w:szCs w:val="24"/>
        </w:rPr>
      </w:pPr>
      <w:r>
        <w:rPr>
          <w:rFonts w:hint="eastAsia" w:ascii="宋体" w:eastAsia="宋体" w:cs="宋体"/>
          <w:sz w:val="24"/>
          <w:szCs w:val="24"/>
        </w:rPr>
        <w:t>8.《财政部税务总局海关总署关于深化增值税改革有关政策的公告》（财政部税务总局海关总署公告 2019 年第 39 号公告）</w:t>
      </w:r>
    </w:p>
    <w:p>
      <w:pPr>
        <w:pStyle w:val="3"/>
        <w:spacing w:before="0" w:after="0" w:line="360" w:lineRule="auto"/>
        <w:ind w:firstLine="480" w:firstLineChars="200"/>
        <w:jc w:val="left"/>
        <w:rPr>
          <w:rFonts w:ascii="宋体" w:eastAsia="宋体" w:cs="宋体"/>
          <w:sz w:val="24"/>
          <w:szCs w:val="24"/>
        </w:rPr>
      </w:pPr>
      <w:r>
        <w:rPr>
          <w:rFonts w:hint="eastAsia" w:ascii="宋体" w:eastAsia="宋体" w:cs="宋体"/>
          <w:sz w:val="24"/>
          <w:szCs w:val="24"/>
        </w:rPr>
        <w:t xml:space="preserve">9.水利预算定额中不适用的项目参考其他相关行业概（预）算定额及当地市场价格； </w:t>
      </w:r>
    </w:p>
    <w:p>
      <w:pPr>
        <w:pStyle w:val="3"/>
        <w:spacing w:before="0" w:after="0" w:line="360" w:lineRule="auto"/>
        <w:ind w:firstLine="480" w:firstLineChars="200"/>
        <w:jc w:val="left"/>
        <w:rPr>
          <w:rFonts w:ascii="宋体" w:eastAsia="宋体" w:cs="宋体"/>
          <w:sz w:val="24"/>
          <w:szCs w:val="24"/>
        </w:rPr>
      </w:pPr>
      <w:r>
        <w:rPr>
          <w:rFonts w:hint="eastAsia" w:ascii="宋体" w:eastAsia="宋体" w:cs="宋体"/>
          <w:sz w:val="24"/>
          <w:szCs w:val="24"/>
        </w:rPr>
        <w:t>10.材料价格按鄂尔多斯市达拉特旗202</w:t>
      </w:r>
      <w:r>
        <w:rPr>
          <w:rFonts w:hint="eastAsia" w:asci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eastAsia="宋体" w:cs="宋体"/>
          <w:sz w:val="24"/>
          <w:szCs w:val="24"/>
        </w:rPr>
        <w:t>年</w:t>
      </w:r>
      <w:r>
        <w:rPr>
          <w:rFonts w:hint="eastAsia" w:ascii="宋体" w:eastAsia="宋体" w:cs="宋体"/>
          <w:sz w:val="24"/>
          <w:szCs w:val="24"/>
          <w:lang w:val="en-US" w:eastAsia="zh-CN"/>
        </w:rPr>
        <w:t>3月份</w:t>
      </w:r>
      <w:r>
        <w:rPr>
          <w:rFonts w:hint="eastAsia" w:ascii="宋体" w:eastAsia="宋体" w:cs="宋体"/>
          <w:sz w:val="24"/>
          <w:szCs w:val="24"/>
        </w:rPr>
        <w:t>信息价综合市场现行价格考虑，信息价中没有的材料价执行工程所在地材料市场价；</w:t>
      </w:r>
      <w:bookmarkStart w:id="0" w:name="_GoBack"/>
      <w:bookmarkEnd w:id="0"/>
    </w:p>
    <w:p>
      <w:pPr>
        <w:pStyle w:val="3"/>
        <w:spacing w:before="0" w:after="0" w:line="360" w:lineRule="auto"/>
        <w:jc w:val="left"/>
        <w:rPr>
          <w:rFonts w:hint="default" w:ascii="宋体" w:eastAsia="宋体" w:cs="宋体"/>
          <w:sz w:val="24"/>
          <w:szCs w:val="24"/>
          <w:lang w:val="en-US" w:eastAsia="zh-CN"/>
        </w:rPr>
      </w:pPr>
      <w:r>
        <w:rPr>
          <w:rFonts w:hint="eastAsia" w:ascii="宋体" w:eastAsia="宋体" w:cs="宋体"/>
          <w:sz w:val="24"/>
          <w:szCs w:val="24"/>
        </w:rPr>
        <w:t>四、其他说明</w:t>
      </w:r>
      <w:r>
        <w:rPr>
          <w:rFonts w:hint="eastAsia" w:asci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eastAsia="宋体" w:cs="宋体"/>
          <w:sz w:val="24"/>
          <w:szCs w:val="24"/>
          <w:lang w:val="en-US" w:eastAsia="zh-CN"/>
        </w:rPr>
        <w:t>无</w:t>
      </w:r>
    </w:p>
    <w:p>
      <w:pPr>
        <w:pStyle w:val="3"/>
        <w:spacing w:before="0" w:after="0" w:line="360" w:lineRule="auto"/>
        <w:ind w:firstLine="600" w:firstLineChars="200"/>
        <w:jc w:val="left"/>
        <w:rPr>
          <w:rFonts w:hint="default" w:eastAsia="黑体"/>
          <w:b w:val="0"/>
          <w:bCs w:val="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2E1555"/>
    <w:multiLevelType w:val="singleLevel"/>
    <w:tmpl w:val="282E155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4ZTU3MjkyMDg5ZjBiNTVkOWNiMTM3OGZkOTM3NjYifQ=="/>
  </w:docVars>
  <w:rsids>
    <w:rsidRoot w:val="00F53BC0"/>
    <w:rsid w:val="005E264D"/>
    <w:rsid w:val="00971857"/>
    <w:rsid w:val="00F53BC0"/>
    <w:rsid w:val="060D715B"/>
    <w:rsid w:val="07476CB5"/>
    <w:rsid w:val="121267D3"/>
    <w:rsid w:val="1BA40E7C"/>
    <w:rsid w:val="21DF5D7D"/>
    <w:rsid w:val="27D837F2"/>
    <w:rsid w:val="2EC17B29"/>
    <w:rsid w:val="317B14D2"/>
    <w:rsid w:val="327C6396"/>
    <w:rsid w:val="419B3153"/>
    <w:rsid w:val="4BD92B01"/>
    <w:rsid w:val="4D6667EC"/>
    <w:rsid w:val="50854860"/>
    <w:rsid w:val="72532286"/>
    <w:rsid w:val="75512450"/>
    <w:rsid w:val="76ED122F"/>
    <w:rsid w:val="7D3C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600" w:lineRule="exact"/>
      <w:jc w:val="both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80" w:lineRule="auto"/>
      <w:outlineLvl w:val="1"/>
    </w:pPr>
    <w:rPr>
      <w:rFonts w:ascii="黑体" w:hAnsi="宋体" w:eastAsia="黑体"/>
      <w:sz w:val="30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节1"/>
    <w:basedOn w:val="1"/>
    <w:next w:val="1"/>
    <w:qFormat/>
    <w:uiPriority w:val="0"/>
    <w:pPr>
      <w:adjustRightInd w:val="0"/>
      <w:snapToGrid w:val="0"/>
      <w:ind w:firstLine="643"/>
      <w:jc w:val="center"/>
      <w:outlineLvl w:val="2"/>
    </w:pPr>
    <w:rPr>
      <w:rFonts w:ascii="宋体" w:hAnsi="宋体"/>
      <w:b/>
      <w:bCs/>
      <w:color w:val="FF0000"/>
      <w:sz w:val="32"/>
      <w:szCs w:val="32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537</Words>
  <Characters>616</Characters>
  <Lines>4</Lines>
  <Paragraphs>1</Paragraphs>
  <TotalTime>3</TotalTime>
  <ScaleCrop>false</ScaleCrop>
  <LinksUpToDate>false</LinksUpToDate>
  <CharactersWithSpaces>641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jiangxiao</cp:lastModifiedBy>
  <dcterms:modified xsi:type="dcterms:W3CDTF">2024-04-30T01:28:40Z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724EBB2494854A3F8B5C9DAFFEA1168A</vt:lpwstr>
  </property>
</Properties>
</file>