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lang w:val="en-US" w:eastAsia="zh-CN"/>
        </w:rPr>
        <w:t>工程量清单</w:t>
      </w:r>
      <w:bookmarkStart w:id="0" w:name="_GoBack"/>
      <w:bookmarkEnd w:id="0"/>
      <w:r>
        <w:rPr>
          <w:rFonts w:hint="eastAsia" w:asciiTheme="minorEastAsia" w:hAnsiTheme="minorEastAsia" w:eastAsiaTheme="minorEastAsia" w:cstheme="minorEastAsia"/>
          <w:b/>
          <w:sz w:val="44"/>
          <w:szCs w:val="44"/>
        </w:rPr>
        <w:t>编制说明</w:t>
      </w:r>
    </w:p>
    <w:p>
      <w:pPr>
        <w:spacing w:line="360" w:lineRule="auto"/>
        <w:jc w:val="center"/>
        <w:rPr>
          <w:rFonts w:asciiTheme="minorEastAsia" w:hAnsiTheme="minorEastAsia" w:eastAsiaTheme="minorEastAsia" w:cstheme="minorEastAsia"/>
          <w:b/>
          <w:sz w:val="44"/>
          <w:szCs w:val="44"/>
        </w:rPr>
      </w:pPr>
    </w:p>
    <w:p>
      <w:pPr>
        <w:numPr>
          <w:ilvl w:val="0"/>
          <w:numId w:val="1"/>
        </w:numPr>
        <w:spacing w:line="240" w:lineRule="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工程概况</w:t>
      </w:r>
    </w:p>
    <w:p>
      <w:pPr>
        <w:numPr>
          <w:ilvl w:val="0"/>
          <w:numId w:val="2"/>
        </w:numPr>
        <w:spacing w:line="240"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工程名称</w:t>
      </w: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sz w:val="28"/>
          <w:szCs w:val="28"/>
        </w:rPr>
        <w:t>杭锦旗独贵塔拉工业园区南项目区幼儿园建设项目10KV配电工程</w:t>
      </w:r>
    </w:p>
    <w:p>
      <w:pPr>
        <w:spacing w:line="240" w:lineRule="auto"/>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建设地点：杭锦旗独贵塔拉工业园区南项目</w:t>
      </w:r>
    </w:p>
    <w:p>
      <w:pPr>
        <w:spacing w:line="240" w:lineRule="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二、编制依据：</w:t>
      </w:r>
    </w:p>
    <w:p>
      <w:pPr>
        <w:spacing w:line="240" w:lineRule="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《建设工程工程量清单计价规范（GB 50500-2013）》</w:t>
      </w:r>
      <w:r>
        <w:rPr>
          <w:rFonts w:hint="eastAsia" w:asciiTheme="majorEastAsia" w:hAnsiTheme="majorEastAsia" w:eastAsiaTheme="majorEastAsia" w:cstheme="majorEastAsia"/>
          <w:sz w:val="28"/>
          <w:szCs w:val="28"/>
          <w:lang w:eastAsia="zh-CN"/>
        </w:rPr>
        <w:t>；</w:t>
      </w:r>
    </w:p>
    <w:p>
      <w:pPr>
        <w:spacing w:line="240" w:lineRule="auto"/>
        <w:rPr>
          <w:rFonts w:hint="eastAsia" w:eastAsia="宋体"/>
          <w:color w:val="000000"/>
          <w:sz w:val="28"/>
          <w:szCs w:val="28"/>
          <w:lang w:eastAsia="zh-CN"/>
        </w:rPr>
      </w:pPr>
      <w:r>
        <w:rPr>
          <w:rFonts w:hint="eastAsia" w:asciiTheme="majorEastAsia" w:hAnsiTheme="majorEastAsia" w:eastAsiaTheme="majorEastAsia" w:cstheme="majorEastAsia"/>
          <w:sz w:val="28"/>
          <w:szCs w:val="28"/>
          <w:lang w:val="en-US" w:eastAsia="zh-CN"/>
        </w:rPr>
        <w:t>2、</w:t>
      </w:r>
      <w:r>
        <w:rPr>
          <w:rFonts w:hint="eastAsia"/>
          <w:color w:val="000000"/>
          <w:sz w:val="28"/>
          <w:szCs w:val="28"/>
        </w:rPr>
        <w:t>《内蒙古自治区</w:t>
      </w:r>
      <w:r>
        <w:rPr>
          <w:rFonts w:hint="eastAsia"/>
          <w:color w:val="000000"/>
          <w:sz w:val="28"/>
          <w:szCs w:val="28"/>
          <w:lang w:val="en-US" w:eastAsia="zh-CN"/>
        </w:rPr>
        <w:t>房屋建筑与装饰</w:t>
      </w:r>
      <w:r>
        <w:rPr>
          <w:rFonts w:hint="eastAsia"/>
          <w:color w:val="000000"/>
          <w:sz w:val="28"/>
          <w:szCs w:val="28"/>
        </w:rPr>
        <w:t>工程预算定额》（</w:t>
      </w:r>
      <w:r>
        <w:rPr>
          <w:rFonts w:hint="eastAsia"/>
          <w:color w:val="000000"/>
          <w:sz w:val="28"/>
          <w:szCs w:val="28"/>
          <w:lang w:val="en-US" w:eastAsia="zh-CN"/>
        </w:rPr>
        <w:t>2017届</w:t>
      </w:r>
      <w:r>
        <w:rPr>
          <w:rFonts w:hint="eastAsia"/>
          <w:color w:val="000000"/>
          <w:sz w:val="28"/>
          <w:szCs w:val="28"/>
        </w:rPr>
        <w:t>）</w:t>
      </w:r>
      <w:r>
        <w:rPr>
          <w:rFonts w:hint="eastAsia"/>
          <w:color w:val="000000"/>
          <w:sz w:val="28"/>
          <w:szCs w:val="28"/>
          <w:lang w:eastAsia="zh-CN"/>
        </w:rPr>
        <w:t>；</w:t>
      </w:r>
    </w:p>
    <w:p>
      <w:pPr>
        <w:spacing w:line="240" w:lineRule="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3、</w:t>
      </w:r>
      <w:r>
        <w:rPr>
          <w:rFonts w:hint="eastAsia"/>
          <w:color w:val="000000"/>
          <w:sz w:val="28"/>
          <w:szCs w:val="28"/>
        </w:rPr>
        <w:t>《内蒙古自治区建设工程费用定额》（</w:t>
      </w:r>
      <w:r>
        <w:rPr>
          <w:rFonts w:hint="eastAsia"/>
          <w:color w:val="000000"/>
          <w:sz w:val="28"/>
          <w:szCs w:val="28"/>
          <w:lang w:val="en-US" w:eastAsia="zh-CN"/>
        </w:rPr>
        <w:t>2017届</w:t>
      </w:r>
      <w:r>
        <w:rPr>
          <w:rFonts w:hint="eastAsia"/>
          <w:color w:val="000000"/>
          <w:sz w:val="28"/>
          <w:szCs w:val="28"/>
        </w:rPr>
        <w:t>）</w:t>
      </w:r>
      <w:r>
        <w:rPr>
          <w:rFonts w:hint="eastAsia" w:asciiTheme="majorEastAsia" w:hAnsiTheme="majorEastAsia" w:eastAsiaTheme="majorEastAsia" w:cstheme="majorEastAsia"/>
          <w:sz w:val="28"/>
          <w:szCs w:val="28"/>
          <w:lang w:eastAsia="zh-CN"/>
        </w:rPr>
        <w:t>；</w:t>
      </w:r>
    </w:p>
    <w:p>
      <w:pPr>
        <w:spacing w:line="240" w:lineRule="auto"/>
        <w:rPr>
          <w:rFonts w:hint="eastAsia"/>
          <w:color w:val="000000"/>
          <w:sz w:val="28"/>
          <w:szCs w:val="28"/>
          <w:lang w:eastAsia="zh-CN"/>
        </w:rPr>
      </w:pPr>
      <w:r>
        <w:rPr>
          <w:rFonts w:hint="eastAsia" w:asciiTheme="majorEastAsia" w:hAnsiTheme="majorEastAsia" w:eastAsiaTheme="majorEastAsia" w:cstheme="majorEastAsia"/>
          <w:sz w:val="28"/>
          <w:szCs w:val="28"/>
          <w:lang w:val="en-US" w:eastAsia="zh-CN"/>
        </w:rPr>
        <w:t>4、</w:t>
      </w:r>
      <w:r>
        <w:rPr>
          <w:rFonts w:hint="eastAsia"/>
          <w:color w:val="000000"/>
          <w:sz w:val="28"/>
          <w:szCs w:val="28"/>
        </w:rPr>
        <w:t>《内蒙古自治区</w:t>
      </w:r>
      <w:r>
        <w:rPr>
          <w:rFonts w:hint="eastAsia"/>
          <w:color w:val="000000"/>
          <w:sz w:val="28"/>
          <w:szCs w:val="28"/>
          <w:lang w:eastAsia="zh-CN"/>
        </w:rPr>
        <w:t>市政</w:t>
      </w:r>
      <w:r>
        <w:rPr>
          <w:rFonts w:hint="eastAsia"/>
          <w:color w:val="000000"/>
          <w:sz w:val="28"/>
          <w:szCs w:val="28"/>
        </w:rPr>
        <w:t>工程预算定额》（</w:t>
      </w:r>
      <w:r>
        <w:rPr>
          <w:rFonts w:hint="eastAsia"/>
          <w:color w:val="000000"/>
          <w:sz w:val="28"/>
          <w:szCs w:val="28"/>
          <w:lang w:val="en-US" w:eastAsia="zh-CN"/>
        </w:rPr>
        <w:t>2017届</w:t>
      </w:r>
      <w:r>
        <w:rPr>
          <w:rFonts w:hint="eastAsia"/>
          <w:color w:val="000000"/>
          <w:sz w:val="28"/>
          <w:szCs w:val="28"/>
        </w:rPr>
        <w:t>）</w:t>
      </w:r>
      <w:r>
        <w:rPr>
          <w:rFonts w:hint="eastAsia"/>
          <w:color w:val="000000"/>
          <w:sz w:val="28"/>
          <w:szCs w:val="28"/>
          <w:lang w:eastAsia="zh-CN"/>
        </w:rPr>
        <w:t>；</w:t>
      </w:r>
    </w:p>
    <w:p>
      <w:pPr>
        <w:spacing w:line="240" w:lineRule="auto"/>
        <w:rPr>
          <w:rFonts w:hint="default"/>
          <w:color w:val="000000"/>
          <w:sz w:val="28"/>
          <w:szCs w:val="28"/>
          <w:lang w:val="en-US" w:eastAsia="zh-CN"/>
        </w:rPr>
      </w:pPr>
      <w:r>
        <w:rPr>
          <w:rFonts w:hint="eastAsia"/>
          <w:color w:val="000000"/>
          <w:sz w:val="28"/>
          <w:szCs w:val="28"/>
          <w:lang w:val="en-US" w:eastAsia="zh-CN"/>
        </w:rPr>
        <w:t>5、</w:t>
      </w:r>
      <w:r>
        <w:rPr>
          <w:rFonts w:hint="eastAsia"/>
          <w:color w:val="000000"/>
          <w:sz w:val="28"/>
          <w:szCs w:val="28"/>
        </w:rPr>
        <w:t>《内蒙古自治区</w:t>
      </w:r>
      <w:r>
        <w:rPr>
          <w:rFonts w:hint="eastAsia"/>
          <w:color w:val="000000"/>
          <w:sz w:val="28"/>
          <w:szCs w:val="28"/>
          <w:lang w:eastAsia="zh-CN"/>
        </w:rPr>
        <w:t>通用安装</w:t>
      </w:r>
      <w:r>
        <w:rPr>
          <w:rFonts w:hint="eastAsia"/>
          <w:color w:val="000000"/>
          <w:sz w:val="28"/>
          <w:szCs w:val="28"/>
        </w:rPr>
        <w:t>工程预算定额》（</w:t>
      </w:r>
      <w:r>
        <w:rPr>
          <w:rFonts w:hint="eastAsia"/>
          <w:color w:val="000000"/>
          <w:sz w:val="28"/>
          <w:szCs w:val="28"/>
          <w:lang w:val="en-US" w:eastAsia="zh-CN"/>
        </w:rPr>
        <w:t>2017届</w:t>
      </w:r>
      <w:r>
        <w:rPr>
          <w:rFonts w:hint="eastAsia"/>
          <w:color w:val="000000"/>
          <w:sz w:val="28"/>
          <w:szCs w:val="28"/>
        </w:rPr>
        <w:t>）</w:t>
      </w:r>
      <w:r>
        <w:rPr>
          <w:rFonts w:hint="eastAsia"/>
          <w:color w:val="000000"/>
          <w:sz w:val="28"/>
          <w:szCs w:val="28"/>
          <w:lang w:eastAsia="zh-CN"/>
        </w:rPr>
        <w:t>；</w:t>
      </w:r>
    </w:p>
    <w:p>
      <w:pPr>
        <w:spacing w:line="240" w:lineRule="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6、</w:t>
      </w:r>
      <w:r>
        <w:rPr>
          <w:rFonts w:hint="eastAsia" w:asciiTheme="majorEastAsia" w:hAnsiTheme="majorEastAsia" w:eastAsiaTheme="majorEastAsia" w:cstheme="majorEastAsia"/>
          <w:sz w:val="28"/>
          <w:szCs w:val="28"/>
        </w:rPr>
        <w:t>规费依据内建标函[2019]468号文《关于调整内蒙古自治区建设工程计价依据规费中养老保险费率的通知》为19%</w:t>
      </w:r>
      <w:r>
        <w:rPr>
          <w:rFonts w:hint="eastAsia" w:asciiTheme="majorEastAsia" w:hAnsiTheme="majorEastAsia" w:eastAsiaTheme="majorEastAsia" w:cstheme="majorEastAsia"/>
          <w:sz w:val="28"/>
          <w:szCs w:val="28"/>
          <w:lang w:eastAsia="zh-CN"/>
        </w:rPr>
        <w:t>；</w:t>
      </w:r>
    </w:p>
    <w:p>
      <w:pPr>
        <w:spacing w:line="240" w:lineRule="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7、</w:t>
      </w:r>
      <w:r>
        <w:rPr>
          <w:rFonts w:hint="eastAsia" w:asciiTheme="majorEastAsia" w:hAnsiTheme="majorEastAsia" w:eastAsiaTheme="majorEastAsia" w:cstheme="majorEastAsia"/>
          <w:sz w:val="28"/>
          <w:szCs w:val="28"/>
        </w:rPr>
        <w:t>税金依据内建标[2019]113号文《关于调整内蒙古自治区建设工程计价依据增值税税率的通知》为9%</w:t>
      </w:r>
      <w:r>
        <w:rPr>
          <w:rFonts w:hint="eastAsia" w:asciiTheme="majorEastAsia" w:hAnsiTheme="majorEastAsia" w:eastAsiaTheme="majorEastAsia" w:cstheme="majorEastAsia"/>
          <w:sz w:val="28"/>
          <w:szCs w:val="28"/>
          <w:lang w:eastAsia="zh-CN"/>
        </w:rPr>
        <w:t>；</w:t>
      </w:r>
    </w:p>
    <w:p>
      <w:pPr>
        <w:spacing w:line="240" w:lineRule="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8、</w:t>
      </w:r>
      <w:r>
        <w:rPr>
          <w:rFonts w:hint="eastAsia" w:asciiTheme="majorEastAsia" w:hAnsiTheme="majorEastAsia" w:eastAsiaTheme="majorEastAsia" w:cstheme="majorEastAsia"/>
          <w:sz w:val="28"/>
          <w:szCs w:val="28"/>
        </w:rPr>
        <w:t>人工费依据内建标〔2021〕148号文《关于调整内蒙古自治区建设工程现行预算定额人工费的通知》为10%</w:t>
      </w:r>
      <w:r>
        <w:rPr>
          <w:rFonts w:hint="eastAsia" w:asciiTheme="majorEastAsia" w:hAnsiTheme="majorEastAsia" w:eastAsiaTheme="majorEastAsia" w:cstheme="majorEastAsia"/>
          <w:sz w:val="28"/>
          <w:szCs w:val="28"/>
          <w:lang w:eastAsia="zh-CN"/>
        </w:rPr>
        <w:t>；</w:t>
      </w:r>
    </w:p>
    <w:p>
      <w:pPr>
        <w:spacing w:line="360" w:lineRule="auto"/>
        <w:rPr>
          <w:rFonts w:hint="eastAsia" w:asciiTheme="minorEastAsia" w:hAnsiTheme="minorEastAsia" w:eastAsiaTheme="minorEastAsia" w:cstheme="minorEastAsia"/>
          <w:kern w:val="2"/>
          <w:sz w:val="28"/>
          <w:szCs w:val="28"/>
          <w:lang w:val="en-US" w:eastAsia="zh-CN" w:bidi="ar-SA"/>
        </w:rPr>
      </w:pPr>
      <w:r>
        <w:rPr>
          <w:rFonts w:hint="eastAsia" w:asciiTheme="majorEastAsia" w:hAnsiTheme="majorEastAsia" w:eastAsiaTheme="majorEastAsia" w:cstheme="minorEastAsia"/>
          <w:sz w:val="28"/>
          <w:szCs w:val="28"/>
          <w:lang w:val="en-US" w:eastAsia="zh-CN"/>
        </w:rPr>
        <w:t>9、材料价格：执行2022年4月《鄂尔多斯市杭锦旗及东胜区工程造价信息》，信息价没有的参考市场价格，</w:t>
      </w:r>
      <w:r>
        <w:rPr>
          <w:rFonts w:hint="eastAsia" w:asciiTheme="minorEastAsia" w:hAnsiTheme="minorEastAsia" w:eastAsiaTheme="minorEastAsia" w:cstheme="minorEastAsia"/>
          <w:kern w:val="2"/>
          <w:sz w:val="28"/>
          <w:szCs w:val="28"/>
          <w:lang w:val="en-US" w:eastAsia="zh-CN" w:bidi="ar-SA"/>
        </w:rPr>
        <w:t>信息价未涉及部分执行市场价格计入。</w:t>
      </w:r>
    </w:p>
    <w:p>
      <w:pPr>
        <w:pStyle w:val="7"/>
        <w:numPr>
          <w:ilvl w:val="0"/>
          <w:numId w:val="0"/>
        </w:numPr>
        <w:spacing w:before="0" w:beforeAutospacing="0" w:after="0" w:afterAutospacing="0" w:line="360" w:lineRule="auto"/>
        <w:ind w:leftChars="0"/>
        <w:jc w:val="both"/>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w:t>
      </w:r>
      <w:r>
        <w:rPr>
          <w:rFonts w:hint="eastAsia" w:asciiTheme="minorEastAsia" w:hAnsiTheme="minorEastAsia" w:eastAsiaTheme="minorEastAsia" w:cstheme="minorEastAsia"/>
          <w:b/>
          <w:bCs/>
          <w:sz w:val="28"/>
          <w:szCs w:val="28"/>
          <w:lang w:eastAsia="zh-CN"/>
        </w:rPr>
        <w:t>其它</w:t>
      </w:r>
      <w:r>
        <w:rPr>
          <w:rFonts w:hint="eastAsia" w:asciiTheme="minorEastAsia" w:hAnsiTheme="minorEastAsia" w:eastAsiaTheme="minorEastAsia" w:cstheme="minorEastAsia"/>
          <w:b/>
          <w:bCs/>
          <w:sz w:val="28"/>
          <w:szCs w:val="28"/>
        </w:rPr>
        <w:t>说明：</w:t>
      </w:r>
    </w:p>
    <w:p>
      <w:pPr>
        <w:pStyle w:val="7"/>
        <w:numPr>
          <w:ilvl w:val="0"/>
          <w:numId w:val="0"/>
        </w:numPr>
        <w:spacing w:before="0" w:beforeAutospacing="0" w:after="0" w:afterAutospacing="0" w:line="360" w:lineRule="auto"/>
        <w:ind w:leftChars="0"/>
        <w:jc w:val="both"/>
        <w:rPr>
          <w:rFonts w:hint="default"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1.材料暂估价</w:t>
      </w:r>
    </w:p>
    <w:tbl>
      <w:tblPr>
        <w:tblStyle w:val="4"/>
        <w:tblW w:w="827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7"/>
        <w:gridCol w:w="3213"/>
        <w:gridCol w:w="906"/>
        <w:gridCol w:w="613"/>
        <w:gridCol w:w="613"/>
        <w:gridCol w:w="1189"/>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97"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3213"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材料(工程设备)名称、规格、型号</w:t>
            </w:r>
          </w:p>
        </w:tc>
        <w:tc>
          <w:tcPr>
            <w:tcW w:w="906"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226"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2329"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暂估(元)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7"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3213"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906"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暂估</w:t>
            </w: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确认</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9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2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环网柜（一进四出） </w:t>
            </w:r>
          </w:p>
        </w:tc>
        <w:tc>
          <w:tcPr>
            <w:tcW w:w="90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座</w:t>
            </w: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kern w:val="2"/>
                <w:sz w:val="18"/>
                <w:szCs w:val="18"/>
                <w:u w:val="none"/>
                <w:lang w:val="en-US" w:eastAsia="zh-CN" w:bidi="ar-SA"/>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95</w:t>
            </w:r>
            <w:r>
              <w:rPr>
                <w:rFonts w:hint="eastAsia" w:ascii="宋体" w:hAnsi="宋体" w:eastAsia="宋体" w:cs="宋体"/>
                <w:i w:val="0"/>
                <w:iCs w:val="0"/>
                <w:color w:val="000000"/>
                <w:kern w:val="0"/>
                <w:sz w:val="18"/>
                <w:szCs w:val="18"/>
                <w:u w:val="none"/>
                <w:lang w:val="en-US" w:eastAsia="zh-CN" w:bidi="ar"/>
              </w:rPr>
              <w:t>000</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95</w:t>
            </w: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9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9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9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716" w:type="dxa"/>
            <w:gridSpan w:val="3"/>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295</w:t>
            </w:r>
            <w:r>
              <w:rPr>
                <w:rFonts w:hint="eastAsia" w:ascii="宋体" w:hAnsi="宋体" w:eastAsia="宋体" w:cs="宋体"/>
                <w:i w:val="0"/>
                <w:iCs w:val="0"/>
                <w:color w:val="000000"/>
                <w:kern w:val="0"/>
                <w:sz w:val="18"/>
                <w:szCs w:val="18"/>
                <w:u w:val="none"/>
                <w:lang w:val="en-US" w:eastAsia="zh-CN" w:bidi="ar"/>
              </w:rPr>
              <w:t>000</w:t>
            </w:r>
          </w:p>
        </w:tc>
      </w:tr>
    </w:tbl>
    <w:p>
      <w:pPr>
        <w:spacing w:line="240" w:lineRule="atLeast"/>
        <w:rPr>
          <w:rFonts w:hint="eastAsia" w:ascii="黑体" w:hAnsi="黑体" w:eastAsia="黑体" w:cs="黑体"/>
          <w:bCs/>
          <w:sz w:val="32"/>
          <w:szCs w:val="32"/>
        </w:rPr>
      </w:pPr>
      <w:r>
        <w:rPr>
          <w:rFonts w:hint="eastAsia" w:ascii="黑体" w:hAnsi="黑体" w:eastAsia="黑体" w:cs="宋体"/>
          <w:sz w:val="32"/>
          <w:szCs w:val="32"/>
          <w:lang w:val="en-US" w:eastAsia="zh-CN"/>
        </w:rPr>
        <w:t>四</w:t>
      </w:r>
      <w:r>
        <w:rPr>
          <w:rFonts w:hint="eastAsia" w:ascii="黑体" w:hAnsi="黑体" w:eastAsia="黑体" w:cs="宋体"/>
          <w:sz w:val="32"/>
          <w:szCs w:val="32"/>
        </w:rPr>
        <w:t>、</w:t>
      </w:r>
      <w:r>
        <w:rPr>
          <w:rFonts w:hint="eastAsia" w:ascii="黑体" w:hAnsi="黑体" w:eastAsia="黑体" w:cs="黑体"/>
          <w:bCs/>
          <w:sz w:val="32"/>
          <w:szCs w:val="32"/>
        </w:rPr>
        <w:t>清单说明</w:t>
      </w:r>
    </w:p>
    <w:p>
      <w:pPr>
        <w:spacing w:line="600" w:lineRule="exact"/>
        <w:rPr>
          <w:rFonts w:hint="eastAsia" w:ascii="仿宋_GB2312" w:hAnsi="仿宋_GB2312" w:eastAsia="仿宋_GB2312" w:cs="仿宋_GB2312"/>
          <w:color w:val="000000"/>
          <w:sz w:val="32"/>
          <w:szCs w:val="32"/>
        </w:rPr>
      </w:pPr>
      <w:r>
        <w:rPr>
          <w:rFonts w:hint="eastAsia" w:ascii="宋体" w:hAnsi="宋体" w:cs="宋体"/>
          <w:color w:val="000000"/>
          <w:sz w:val="28"/>
          <w:szCs w:val="28"/>
        </w:rPr>
        <w:t xml:space="preserve">    </w:t>
      </w:r>
      <w:r>
        <w:rPr>
          <w:rFonts w:hint="eastAsia" w:ascii="仿宋_GB2312" w:hAnsi="仿宋_GB2312" w:eastAsia="仿宋_GB2312" w:cs="仿宋_GB2312"/>
          <w:color w:val="000000"/>
          <w:sz w:val="32"/>
          <w:szCs w:val="32"/>
        </w:rPr>
        <w:t>1.投标人必须按招标工程量清单填报价格。项目编码、项目名称、项目特征、计量单位、工程量必须与招标工程量清单一致，如有不一致按否决其投标处理。</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2.规费及税金应按 “规费、税金项目清单与计价表”所列项目并根据国家、省级或行业建设主管部门的有关规定列算和计算，不得作为竞争性费用。</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3.安全文明费应按 “总价措施项目清单与计价表”所列项目并根据国家、省级或行业建设主管部门的有关规定列算和计算，不得作为竞争性费用。</w:t>
      </w:r>
    </w:p>
    <w:p>
      <w:pPr>
        <w:spacing w:line="60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color w:val="000000"/>
          <w:sz w:val="32"/>
          <w:szCs w:val="32"/>
        </w:rPr>
        <w:t>4.本说明未尽事项，以“计价规范”、“计价管理办法”、“工程量计算规范”“招标文件”以及有关的法律、法规、建设行政主管部门颁发的文件为准。</w:t>
      </w:r>
    </w:p>
    <w:p>
      <w:pPr>
        <w:numPr>
          <w:ilvl w:val="0"/>
          <w:numId w:val="0"/>
        </w:numPr>
        <w:spacing w:line="240" w:lineRule="auto"/>
        <w:rPr>
          <w:rFonts w:hint="eastAsia" w:asciiTheme="minorEastAsia" w:hAnsiTheme="minorEastAsia" w:eastAsiaTheme="minorEastAsia" w:cstheme="minorEastAsia"/>
          <w:sz w:val="28"/>
          <w:szCs w:val="28"/>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7D440E"/>
    <w:multiLevelType w:val="singleLevel"/>
    <w:tmpl w:val="1F7D440E"/>
    <w:lvl w:ilvl="0" w:tentative="0">
      <w:start w:val="1"/>
      <w:numFmt w:val="decimal"/>
      <w:suff w:val="nothing"/>
      <w:lvlText w:val="%1、"/>
      <w:lvlJc w:val="left"/>
    </w:lvl>
  </w:abstractNum>
  <w:abstractNum w:abstractNumId="1">
    <w:nsid w:val="66615746"/>
    <w:multiLevelType w:val="singleLevel"/>
    <w:tmpl w:val="6661574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wOGY0MmUyNzVhZTgzYWI4Yzg3OWU5MmQ0OWY4NzQifQ=="/>
  </w:docVars>
  <w:rsids>
    <w:rsidRoot w:val="005516D1"/>
    <w:rsid w:val="00130A1A"/>
    <w:rsid w:val="001A4109"/>
    <w:rsid w:val="001B144F"/>
    <w:rsid w:val="00202EEE"/>
    <w:rsid w:val="00240A55"/>
    <w:rsid w:val="0031408C"/>
    <w:rsid w:val="003E2C5C"/>
    <w:rsid w:val="003F7F86"/>
    <w:rsid w:val="00415664"/>
    <w:rsid w:val="004C1C32"/>
    <w:rsid w:val="004E1E65"/>
    <w:rsid w:val="0054788A"/>
    <w:rsid w:val="005516D1"/>
    <w:rsid w:val="00587F77"/>
    <w:rsid w:val="005A5A58"/>
    <w:rsid w:val="005D073B"/>
    <w:rsid w:val="006074C4"/>
    <w:rsid w:val="006103EB"/>
    <w:rsid w:val="006244C0"/>
    <w:rsid w:val="006A281D"/>
    <w:rsid w:val="00700A74"/>
    <w:rsid w:val="007718BF"/>
    <w:rsid w:val="0081329F"/>
    <w:rsid w:val="008303C4"/>
    <w:rsid w:val="008806ED"/>
    <w:rsid w:val="008C2E20"/>
    <w:rsid w:val="0091094D"/>
    <w:rsid w:val="009317D8"/>
    <w:rsid w:val="00941461"/>
    <w:rsid w:val="00961FA3"/>
    <w:rsid w:val="009B4FEA"/>
    <w:rsid w:val="00A642B4"/>
    <w:rsid w:val="00AA4118"/>
    <w:rsid w:val="00AC2C27"/>
    <w:rsid w:val="00AE2CE6"/>
    <w:rsid w:val="00B75F70"/>
    <w:rsid w:val="00BA5523"/>
    <w:rsid w:val="00BD2F59"/>
    <w:rsid w:val="00C50972"/>
    <w:rsid w:val="00CB039C"/>
    <w:rsid w:val="00DC5911"/>
    <w:rsid w:val="00E45229"/>
    <w:rsid w:val="00E833BD"/>
    <w:rsid w:val="00E837D8"/>
    <w:rsid w:val="00EF5084"/>
    <w:rsid w:val="00FA558E"/>
    <w:rsid w:val="00FF0FF9"/>
    <w:rsid w:val="018B4F75"/>
    <w:rsid w:val="01AF0E8E"/>
    <w:rsid w:val="0248208D"/>
    <w:rsid w:val="04181D4D"/>
    <w:rsid w:val="072A2B35"/>
    <w:rsid w:val="09F2267C"/>
    <w:rsid w:val="0A8651C1"/>
    <w:rsid w:val="0B274E8C"/>
    <w:rsid w:val="0B903ADE"/>
    <w:rsid w:val="0BDE3885"/>
    <w:rsid w:val="0DF04D08"/>
    <w:rsid w:val="0EDB7866"/>
    <w:rsid w:val="0F1B1A7E"/>
    <w:rsid w:val="13174D0C"/>
    <w:rsid w:val="134D6F0B"/>
    <w:rsid w:val="13A04ADA"/>
    <w:rsid w:val="160752E5"/>
    <w:rsid w:val="16F17882"/>
    <w:rsid w:val="17D86F39"/>
    <w:rsid w:val="17DB33F8"/>
    <w:rsid w:val="18976DD6"/>
    <w:rsid w:val="1C4306F9"/>
    <w:rsid w:val="1DA349B3"/>
    <w:rsid w:val="1E1B5EFC"/>
    <w:rsid w:val="21BC01FF"/>
    <w:rsid w:val="24363384"/>
    <w:rsid w:val="2C4B0446"/>
    <w:rsid w:val="34387C41"/>
    <w:rsid w:val="34774885"/>
    <w:rsid w:val="350D5041"/>
    <w:rsid w:val="35AF70D3"/>
    <w:rsid w:val="35D257DB"/>
    <w:rsid w:val="37114A99"/>
    <w:rsid w:val="38B57E8B"/>
    <w:rsid w:val="39ED6181"/>
    <w:rsid w:val="3A232212"/>
    <w:rsid w:val="3B7C3A53"/>
    <w:rsid w:val="407707ED"/>
    <w:rsid w:val="40855E87"/>
    <w:rsid w:val="41F912DF"/>
    <w:rsid w:val="421E19FD"/>
    <w:rsid w:val="42793851"/>
    <w:rsid w:val="438B57CB"/>
    <w:rsid w:val="46FA4BD3"/>
    <w:rsid w:val="49BE748D"/>
    <w:rsid w:val="4D742E0C"/>
    <w:rsid w:val="4E5C5F56"/>
    <w:rsid w:val="4EBB034B"/>
    <w:rsid w:val="4F7A46C7"/>
    <w:rsid w:val="4F7B2A3B"/>
    <w:rsid w:val="52DE6BCC"/>
    <w:rsid w:val="542E0736"/>
    <w:rsid w:val="54FF6F80"/>
    <w:rsid w:val="55C026ED"/>
    <w:rsid w:val="5918316F"/>
    <w:rsid w:val="5ADF6A10"/>
    <w:rsid w:val="5CDE28ED"/>
    <w:rsid w:val="5F7206A6"/>
    <w:rsid w:val="63CA66BC"/>
    <w:rsid w:val="649966D5"/>
    <w:rsid w:val="689F6284"/>
    <w:rsid w:val="699D0246"/>
    <w:rsid w:val="6B4907C6"/>
    <w:rsid w:val="6BD779E9"/>
    <w:rsid w:val="6C0F6593"/>
    <w:rsid w:val="73F41D60"/>
    <w:rsid w:val="76A3055B"/>
    <w:rsid w:val="77B92E51"/>
    <w:rsid w:val="799C6753"/>
    <w:rsid w:val="79D86FB5"/>
    <w:rsid w:val="7A880380"/>
    <w:rsid w:val="7B7E1089"/>
    <w:rsid w:val="7D8C7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3">
    <w:name w:val="Title"/>
    <w:basedOn w:val="1"/>
    <w:next w:val="1"/>
    <w:link w:val="8"/>
    <w:qFormat/>
    <w:uiPriority w:val="0"/>
    <w:pPr>
      <w:spacing w:before="240" w:after="60"/>
      <w:jc w:val="center"/>
      <w:outlineLvl w:val="0"/>
    </w:pPr>
    <w:rPr>
      <w:rFonts w:asciiTheme="majorHAnsi" w:hAnsiTheme="majorHAnsi" w:cstheme="majorBidi"/>
      <w:b/>
      <w:bCs/>
      <w:sz w:val="32"/>
      <w:szCs w:val="32"/>
    </w:rPr>
  </w:style>
  <w:style w:type="paragraph" w:styleId="6">
    <w:name w:val="List Paragraph"/>
    <w:basedOn w:val="1"/>
    <w:qFormat/>
    <w:uiPriority w:val="34"/>
    <w:pPr>
      <w:ind w:firstLine="420" w:firstLineChars="200"/>
    </w:pPr>
  </w:style>
  <w:style w:type="paragraph" w:customStyle="1" w:styleId="7">
    <w:name w:val="msonormal msonormal"/>
    <w:basedOn w:val="1"/>
    <w:qFormat/>
    <w:uiPriority w:val="99"/>
    <w:pPr>
      <w:widowControl/>
      <w:spacing w:before="100" w:beforeAutospacing="1" w:after="100" w:afterAutospacing="1"/>
      <w:jc w:val="left"/>
    </w:pPr>
    <w:rPr>
      <w:rFonts w:ascii="宋体" w:hAnsi="宋体" w:cs="宋体"/>
      <w:kern w:val="0"/>
      <w:sz w:val="24"/>
    </w:rPr>
  </w:style>
  <w:style w:type="character" w:customStyle="1" w:styleId="8">
    <w:name w:val="标题 Char"/>
    <w:basedOn w:val="5"/>
    <w:link w:val="3"/>
    <w:qFormat/>
    <w:uiPriority w:val="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467</Words>
  <Characters>537</Characters>
  <Lines>14</Lines>
  <Paragraphs>4</Paragraphs>
  <TotalTime>0</TotalTime>
  <ScaleCrop>false</ScaleCrop>
  <LinksUpToDate>false</LinksUpToDate>
  <CharactersWithSpaces>539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2021-06-18T03:00:00Z</dcterms:created>
  <dc:creator>Administrator</dc:creator>
  <cp:lastModifiedBy>绿原</cp:lastModifiedBy>
  <dcterms:modified xsi:type="dcterms:W3CDTF">2022-06-06T03:09:06Z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FA2ED7C59BEF41B7804BF4D59DF3B290</vt:lpwstr>
  </property>
  <property fmtid="{D5CDD505-2E9C-101B-9397-08002B2CF9AE}" pid="4" name="commondata">
    <vt:lpwstr>eyJoZGlkIjoiZGYwOGY0MmUyNzVhZTgzYWI4Yzg3OWU5MmQ0OWY4NzQifQ==</vt:lpwstr>
  </property>
</Properties>
</file>