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BC9E" w14:textId="47A4BA42" w:rsidR="00DB76B8" w:rsidRDefault="00000000" w:rsidP="008F58FE">
      <w:pPr>
        <w:pStyle w:val="2"/>
      </w:pPr>
      <w:bookmarkStart w:id="0" w:name="_Toc11712"/>
      <w:r>
        <w:rPr>
          <w:rFonts w:hint="eastAsia"/>
        </w:rPr>
        <w:t>脑电仿生电刺激仪</w:t>
      </w:r>
      <w:bookmarkEnd w:id="0"/>
      <w:r>
        <w:rPr>
          <w:rFonts w:hint="eastAsia"/>
        </w:rPr>
        <w:t xml:space="preserve">  </w:t>
      </w:r>
    </w:p>
    <w:p w14:paraId="38ACC90C" w14:textId="77777777" w:rsidR="00DB76B8" w:rsidRPr="008F58FE" w:rsidRDefault="00000000">
      <w:pPr>
        <w:rPr>
          <w:rFonts w:ascii="宋体" w:hAnsi="宋体" w:cs="宋体"/>
          <w:color w:val="000000" w:themeColor="text1"/>
          <w:sz w:val="24"/>
          <w:lang w:val="zh-CN"/>
        </w:rPr>
      </w:pP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1、★双通道柜式机型，双液晶显示屏显示加一键</w:t>
      </w:r>
      <w:r w:rsidRPr="008F58FE">
        <w:rPr>
          <w:rFonts w:ascii="宋体" w:hAnsi="宋体" w:cs="宋体"/>
          <w:color w:val="000000" w:themeColor="text1"/>
          <w:sz w:val="24"/>
          <w:lang w:val="zh-CN"/>
        </w:rPr>
        <w:t>飞梭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操作；（可提供相关证书）</w:t>
      </w:r>
    </w:p>
    <w:p w14:paraId="57A9AE6B" w14:textId="77777777" w:rsidR="00DB76B8" w:rsidRPr="008F58FE" w:rsidRDefault="00000000">
      <w:pPr>
        <w:autoSpaceDE w:val="0"/>
        <w:autoSpaceDN w:val="0"/>
        <w:adjustRightInd w:val="0"/>
        <w:rPr>
          <w:rFonts w:ascii="宋体" w:hAnsi="宋体" w:cs="宋体"/>
          <w:color w:val="000000" w:themeColor="text1"/>
          <w:sz w:val="24"/>
          <w:lang w:val="zh-CN"/>
        </w:rPr>
      </w:pP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2、★仪器</w:t>
      </w:r>
      <w:r w:rsidRPr="008F58FE">
        <w:rPr>
          <w:rFonts w:ascii="宋体" w:hAnsi="宋体" w:cs="宋体" w:hint="eastAsia"/>
          <w:color w:val="000000" w:themeColor="text1"/>
          <w:sz w:val="24"/>
        </w:rPr>
        <w:t>双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通道具</w:t>
      </w:r>
      <w:r w:rsidRPr="008F58FE">
        <w:rPr>
          <w:rFonts w:ascii="宋体" w:hAnsi="宋体" w:cs="宋体" w:hint="eastAsia"/>
          <w:color w:val="000000" w:themeColor="text1"/>
          <w:sz w:val="24"/>
        </w:rPr>
        <w:t>4路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电疗输出，</w:t>
      </w:r>
      <w:r w:rsidRPr="008F58FE">
        <w:rPr>
          <w:rFonts w:ascii="宋体" w:hAnsi="宋体" w:cs="宋体" w:hint="eastAsia"/>
          <w:color w:val="000000" w:themeColor="text1"/>
          <w:sz w:val="24"/>
        </w:rPr>
        <w:t>2路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磁疗输出。电疗和磁疗可独立操作。</w:t>
      </w:r>
    </w:p>
    <w:p w14:paraId="23952FA4" w14:textId="77777777" w:rsidR="00DB76B8" w:rsidRPr="008F58FE" w:rsidRDefault="00000000">
      <w:pPr>
        <w:autoSpaceDE w:val="0"/>
        <w:autoSpaceDN w:val="0"/>
        <w:adjustRightInd w:val="0"/>
        <w:ind w:left="600" w:hangingChars="250" w:hanging="600"/>
        <w:rPr>
          <w:rFonts w:ascii="宋体" w:hAnsi="宋体" w:cs="宋体"/>
          <w:color w:val="000000" w:themeColor="text1"/>
          <w:sz w:val="24"/>
          <w:lang w:val="zh-CN"/>
        </w:rPr>
      </w:pP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3、电疗输出有两组主极输出和四组辅极输出，主极采用脑电仿生低频电输出，辅极采用肢体调制中频电输出，主、辅极独立控制；</w:t>
      </w:r>
    </w:p>
    <w:p w14:paraId="2D516837" w14:textId="77777777" w:rsidR="00DB76B8" w:rsidRPr="008F58FE" w:rsidRDefault="00000000">
      <w:pPr>
        <w:autoSpaceDE w:val="0"/>
        <w:autoSpaceDN w:val="0"/>
        <w:adjustRightInd w:val="0"/>
        <w:ind w:left="480" w:hangingChars="200" w:hanging="480"/>
        <w:rPr>
          <w:rFonts w:ascii="宋体" w:hAnsi="宋体" w:cs="宋体"/>
          <w:color w:val="000000" w:themeColor="text1"/>
          <w:sz w:val="24"/>
          <w:lang w:val="zh-CN"/>
        </w:rPr>
      </w:pPr>
      <w:r w:rsidRPr="008F58FE">
        <w:rPr>
          <w:rFonts w:ascii="宋体" w:hAnsi="宋体" w:cs="宋体"/>
          <w:color w:val="000000" w:themeColor="text1"/>
          <w:sz w:val="24"/>
          <w:lang w:val="zh-CN"/>
        </w:rPr>
        <w:t>4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、★主极基本频率: 23.81Hz 、15.87Hz 、15.87Hz、11.90Hz；</w:t>
      </w:r>
    </w:p>
    <w:p w14:paraId="2717E451" w14:textId="77777777" w:rsidR="00DB76B8" w:rsidRPr="008F58FE" w:rsidRDefault="00000000">
      <w:pPr>
        <w:autoSpaceDE w:val="0"/>
        <w:autoSpaceDN w:val="0"/>
        <w:adjustRightInd w:val="0"/>
        <w:ind w:leftChars="200" w:left="420" w:firstLineChars="100" w:firstLine="240"/>
        <w:rPr>
          <w:rFonts w:ascii="宋体" w:hAnsi="宋体" w:cs="宋体"/>
          <w:color w:val="000000" w:themeColor="text1"/>
          <w:sz w:val="24"/>
          <w:lang w:val="zh-CN"/>
        </w:rPr>
      </w:pP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辅极基本频率：4000Hz</w:t>
      </w:r>
      <w:r w:rsidRPr="008F58FE">
        <w:rPr>
          <w:rFonts w:ascii="宋体" w:hAnsi="宋体" w:cs="宋体" w:hint="eastAsia"/>
          <w:color w:val="000000" w:themeColor="text1"/>
          <w:sz w:val="24"/>
        </w:rPr>
        <w:t>±10%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；</w:t>
      </w:r>
    </w:p>
    <w:p w14:paraId="5A9EC533" w14:textId="77777777" w:rsidR="00DB76B8" w:rsidRPr="008F58FE" w:rsidRDefault="00000000">
      <w:pPr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</w:rPr>
      </w:pPr>
      <w:r w:rsidRPr="008F58FE">
        <w:rPr>
          <w:rFonts w:ascii="Times New Roman" w:hAnsi="Times New Roman" w:hint="eastAsia"/>
          <w:color w:val="000000" w:themeColor="text1"/>
          <w:sz w:val="24"/>
        </w:rPr>
        <w:t>主极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在标准模式下，强度最大时的输出电流峰值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/>
          <w:bCs/>
          <w:color w:val="000000" w:themeColor="text1"/>
          <w:sz w:val="24"/>
        </w:rPr>
        <w:t xml:space="preserve">Ip-p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以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/>
          <w:bCs/>
          <w:color w:val="000000" w:themeColor="text1"/>
          <w:sz w:val="24"/>
        </w:rPr>
        <w:t xml:space="preserve">80mAp-p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为参照，实测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值可在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/>
          <w:bCs/>
          <w:color w:val="000000" w:themeColor="text1"/>
          <w:sz w:val="24"/>
        </w:rPr>
        <w:t>70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～</w:t>
      </w:r>
      <w:r w:rsidRPr="008F58FE">
        <w:rPr>
          <w:rFonts w:ascii="Times New Roman" w:hAnsi="Times New Roman"/>
          <w:bCs/>
          <w:color w:val="000000" w:themeColor="text1"/>
          <w:sz w:val="24"/>
        </w:rPr>
        <w:t xml:space="preserve">90mAp-p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范围内变化；</w:t>
      </w:r>
    </w:p>
    <w:p w14:paraId="18002433" w14:textId="77777777" w:rsidR="00DB76B8" w:rsidRPr="008F58FE" w:rsidRDefault="00000000">
      <w:pPr>
        <w:ind w:firstLineChars="200" w:firstLine="480"/>
        <w:rPr>
          <w:rFonts w:ascii="Times New Roman" w:hAnsi="Times New Roman"/>
          <w:bCs/>
          <w:color w:val="000000" w:themeColor="text1"/>
          <w:sz w:val="24"/>
        </w:rPr>
      </w:pPr>
      <w:r w:rsidRPr="008F58FE">
        <w:rPr>
          <w:rFonts w:ascii="Times New Roman" w:hAnsi="Times New Roman" w:hint="eastAsia"/>
          <w:color w:val="000000" w:themeColor="text1"/>
          <w:sz w:val="24"/>
        </w:rPr>
        <w:t>辅极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在模式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/>
          <w:bCs/>
          <w:color w:val="000000" w:themeColor="text1"/>
          <w:sz w:val="24"/>
        </w:rPr>
        <w:t>01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～</w:t>
      </w:r>
      <w:r w:rsidRPr="008F58FE">
        <w:rPr>
          <w:rFonts w:ascii="Times New Roman" w:hAnsi="Times New Roman"/>
          <w:bCs/>
          <w:color w:val="000000" w:themeColor="text1"/>
          <w:sz w:val="24"/>
        </w:rPr>
        <w:t xml:space="preserve">10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下，强度最大时的输出电流峰值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/>
          <w:bCs/>
          <w:color w:val="000000" w:themeColor="text1"/>
          <w:sz w:val="24"/>
        </w:rPr>
        <w:t xml:space="preserve">Ip-p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以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/>
          <w:bCs/>
          <w:color w:val="000000" w:themeColor="text1"/>
          <w:sz w:val="24"/>
        </w:rPr>
        <w:t xml:space="preserve">72mAp-p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为参照，实测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值可在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/>
          <w:bCs/>
          <w:color w:val="000000" w:themeColor="text1"/>
          <w:sz w:val="24"/>
        </w:rPr>
        <w:t>62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～</w:t>
      </w:r>
      <w:r w:rsidRPr="008F58FE">
        <w:rPr>
          <w:rFonts w:ascii="Times New Roman" w:hAnsi="Times New Roman"/>
          <w:bCs/>
          <w:color w:val="000000" w:themeColor="text1"/>
          <w:sz w:val="24"/>
        </w:rPr>
        <w:t xml:space="preserve">82mAp-p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范围内变化；</w:t>
      </w:r>
    </w:p>
    <w:p w14:paraId="587976DE" w14:textId="77777777" w:rsidR="00DB76B8" w:rsidRPr="008F58FE" w:rsidRDefault="00000000">
      <w:pPr>
        <w:rPr>
          <w:rFonts w:ascii="Times New Roman" w:hAnsi="Times New Roman"/>
          <w:bCs/>
          <w:color w:val="000000" w:themeColor="text1"/>
          <w:sz w:val="24"/>
        </w:rPr>
      </w:pPr>
      <w:r w:rsidRPr="008F58FE">
        <w:rPr>
          <w:rFonts w:ascii="宋体" w:hAnsi="宋体"/>
          <w:color w:val="000000" w:themeColor="text1"/>
          <w:sz w:val="24"/>
        </w:rPr>
        <w:t>6</w:t>
      </w:r>
      <w:r w:rsidRPr="008F58FE">
        <w:rPr>
          <w:rFonts w:ascii="宋体" w:hAnsi="宋体" w:hint="eastAsia"/>
          <w:color w:val="000000" w:themeColor="text1"/>
          <w:sz w:val="24"/>
        </w:rPr>
        <w:t>、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★</w:t>
      </w:r>
      <w:r w:rsidRPr="008F58FE">
        <w:rPr>
          <w:rFonts w:ascii="宋体" w:hAnsi="宋体" w:hint="eastAsia"/>
          <w:color w:val="000000" w:themeColor="text1"/>
          <w:sz w:val="24"/>
        </w:rPr>
        <w:t>输出模式：常规模式、连续模式、脉冲模式、夜间模式；</w:t>
      </w:r>
    </w:p>
    <w:p w14:paraId="46D20148" w14:textId="77777777" w:rsidR="00DB76B8" w:rsidRPr="008F58FE" w:rsidRDefault="00000000">
      <w:pPr>
        <w:autoSpaceDE w:val="0"/>
        <w:autoSpaceDN w:val="0"/>
        <w:adjustRightInd w:val="0"/>
        <w:outlineLvl w:val="0"/>
        <w:rPr>
          <w:rFonts w:ascii="宋体" w:hAnsi="宋体"/>
          <w:color w:val="000000" w:themeColor="text1"/>
          <w:sz w:val="24"/>
        </w:rPr>
      </w:pPr>
      <w:bookmarkStart w:id="1" w:name="_Toc26941"/>
      <w:bookmarkStart w:id="2" w:name="_Toc2258"/>
      <w:r w:rsidRPr="008F58FE">
        <w:rPr>
          <w:rFonts w:ascii="宋体" w:hAnsi="宋体"/>
          <w:color w:val="000000" w:themeColor="text1"/>
          <w:sz w:val="24"/>
        </w:rPr>
        <w:t>7</w:t>
      </w:r>
      <w:r w:rsidRPr="008F58FE">
        <w:rPr>
          <w:rFonts w:ascii="宋体" w:hAnsi="宋体" w:hint="eastAsia"/>
          <w:color w:val="000000" w:themeColor="text1"/>
          <w:sz w:val="24"/>
        </w:rPr>
        <w:t>、输出处方：11种治疗，分别对应11种不同电刺激模式，无需对频率、脉宽、电压进行调节；</w:t>
      </w:r>
      <w:bookmarkEnd w:id="1"/>
      <w:bookmarkEnd w:id="2"/>
    </w:p>
    <w:p w14:paraId="018810CF" w14:textId="77777777" w:rsidR="00DB76B8" w:rsidRPr="008F58FE" w:rsidRDefault="00000000">
      <w:pPr>
        <w:autoSpaceDE w:val="0"/>
        <w:autoSpaceDN w:val="0"/>
        <w:adjustRightInd w:val="0"/>
        <w:rPr>
          <w:rFonts w:ascii="宋体" w:hAnsi="宋体"/>
          <w:color w:val="000000" w:themeColor="text1"/>
          <w:sz w:val="24"/>
        </w:rPr>
      </w:pPr>
      <w:r w:rsidRPr="008F58FE">
        <w:rPr>
          <w:rFonts w:ascii="宋体" w:hAnsi="宋体"/>
          <w:color w:val="000000" w:themeColor="text1"/>
          <w:sz w:val="24"/>
        </w:rPr>
        <w:t>8</w:t>
      </w:r>
      <w:r w:rsidRPr="008F58FE">
        <w:rPr>
          <w:rFonts w:ascii="宋体" w:hAnsi="宋体" w:hint="eastAsia"/>
          <w:color w:val="000000" w:themeColor="text1"/>
          <w:sz w:val="24"/>
        </w:rPr>
        <w:t>、治疗强度显示及设定范围为</w:t>
      </w:r>
      <w:r w:rsidRPr="008F58FE">
        <w:rPr>
          <w:rFonts w:ascii="宋体" w:hAnsi="宋体" w:hint="eastAsia"/>
          <w:bCs/>
          <w:color w:val="000000" w:themeColor="text1"/>
          <w:sz w:val="24"/>
        </w:rPr>
        <w:t>0～80，辅级0～90可</w:t>
      </w:r>
      <w:r w:rsidRPr="008F58FE">
        <w:rPr>
          <w:rFonts w:ascii="宋体" w:hAnsi="宋体" w:hint="eastAsia"/>
          <w:color w:val="000000" w:themeColor="text1"/>
          <w:sz w:val="24"/>
        </w:rPr>
        <w:t>调，调节步长为1；</w:t>
      </w:r>
    </w:p>
    <w:p w14:paraId="5BF98D05" w14:textId="77777777" w:rsidR="00DB76B8" w:rsidRPr="008F58FE" w:rsidRDefault="00000000">
      <w:pPr>
        <w:autoSpaceDE w:val="0"/>
        <w:autoSpaceDN w:val="0"/>
        <w:adjustRightInd w:val="0"/>
        <w:rPr>
          <w:rFonts w:ascii="宋体" w:hAnsi="宋体"/>
          <w:color w:val="000000" w:themeColor="text1"/>
          <w:sz w:val="24"/>
        </w:rPr>
      </w:pPr>
      <w:r w:rsidRPr="008F58FE">
        <w:rPr>
          <w:rFonts w:ascii="宋体" w:hAnsi="宋体"/>
          <w:color w:val="000000" w:themeColor="text1"/>
          <w:sz w:val="24"/>
        </w:rPr>
        <w:t>9</w:t>
      </w:r>
      <w:r w:rsidRPr="008F58FE">
        <w:rPr>
          <w:rFonts w:ascii="宋体" w:hAnsi="宋体" w:hint="eastAsia"/>
          <w:color w:val="000000" w:themeColor="text1"/>
          <w:sz w:val="24"/>
        </w:rPr>
        <w:t>、定时精度：连续模式是0-99min，常规、夜间、脉冲模式下是0-30min，工作时间大于8H；</w:t>
      </w:r>
    </w:p>
    <w:p w14:paraId="0FA3DF06" w14:textId="77777777" w:rsidR="00DB76B8" w:rsidRPr="008F58FE" w:rsidRDefault="00000000">
      <w:pPr>
        <w:autoSpaceDE w:val="0"/>
        <w:autoSpaceDN w:val="0"/>
        <w:adjustRightInd w:val="0"/>
        <w:rPr>
          <w:rFonts w:ascii="宋体" w:hAnsi="宋体"/>
          <w:color w:val="000000" w:themeColor="text1"/>
          <w:sz w:val="24"/>
        </w:rPr>
      </w:pPr>
      <w:r w:rsidRPr="008F58FE">
        <w:rPr>
          <w:rFonts w:ascii="宋体" w:hAnsi="宋体" w:hint="eastAsia"/>
          <w:color w:val="000000" w:themeColor="text1"/>
          <w:sz w:val="24"/>
        </w:rPr>
        <w:t>1</w:t>
      </w:r>
      <w:r w:rsidRPr="008F58FE">
        <w:rPr>
          <w:rFonts w:ascii="宋体" w:hAnsi="宋体"/>
          <w:color w:val="000000" w:themeColor="text1"/>
          <w:sz w:val="24"/>
        </w:rPr>
        <w:t>0</w:t>
      </w:r>
      <w:r w:rsidRPr="008F58FE">
        <w:rPr>
          <w:rFonts w:ascii="宋体" w:hAnsi="宋体" w:hint="eastAsia"/>
          <w:color w:val="000000" w:themeColor="text1"/>
          <w:sz w:val="24"/>
        </w:rPr>
        <w:t>、磁场强度：治疗强度分为2档,强度范围3mT</w:t>
      </w:r>
      <w:bookmarkStart w:id="3" w:name="OLE_LINK1"/>
      <w:r w:rsidRPr="008F58FE">
        <w:rPr>
          <w:rFonts w:ascii="宋体" w:hAnsi="宋体" w:hint="eastAsia"/>
          <w:color w:val="000000" w:themeColor="text1"/>
          <w:sz w:val="24"/>
        </w:rPr>
        <w:t>～</w:t>
      </w:r>
      <w:bookmarkEnd w:id="3"/>
      <w:r w:rsidRPr="008F58FE">
        <w:rPr>
          <w:rFonts w:ascii="宋体" w:hAnsi="宋体" w:hint="eastAsia"/>
          <w:color w:val="000000" w:themeColor="text1"/>
          <w:sz w:val="24"/>
        </w:rPr>
        <w:t>9m</w:t>
      </w:r>
      <w:r w:rsidRPr="008F58FE">
        <w:rPr>
          <w:rFonts w:ascii="宋体" w:hAnsi="宋体"/>
          <w:color w:val="000000" w:themeColor="text1"/>
          <w:sz w:val="24"/>
        </w:rPr>
        <w:t>T,10</w:t>
      </w:r>
      <w:r w:rsidRPr="008F58FE">
        <w:rPr>
          <w:rFonts w:ascii="宋体" w:hAnsi="宋体" w:hint="eastAsia"/>
          <w:color w:val="000000" w:themeColor="text1"/>
          <w:sz w:val="24"/>
        </w:rPr>
        <w:t>mT～17mT；</w:t>
      </w:r>
    </w:p>
    <w:p w14:paraId="1CAF9ED5" w14:textId="77777777" w:rsidR="00DB76B8" w:rsidRPr="008F58FE" w:rsidRDefault="00000000">
      <w:pPr>
        <w:autoSpaceDE w:val="0"/>
        <w:autoSpaceDN w:val="0"/>
        <w:adjustRightInd w:val="0"/>
        <w:rPr>
          <w:rFonts w:ascii="宋体" w:hAnsi="宋体"/>
          <w:color w:val="000000" w:themeColor="text1"/>
          <w:sz w:val="24"/>
        </w:rPr>
      </w:pPr>
      <w:r w:rsidRPr="008F58FE">
        <w:rPr>
          <w:rFonts w:ascii="宋体" w:hAnsi="宋体" w:hint="eastAsia"/>
          <w:color w:val="000000" w:themeColor="text1"/>
          <w:sz w:val="24"/>
        </w:rPr>
        <w:t>1</w:t>
      </w:r>
      <w:r w:rsidRPr="008F58FE">
        <w:rPr>
          <w:rFonts w:ascii="宋体" w:hAnsi="宋体"/>
          <w:color w:val="000000" w:themeColor="text1"/>
          <w:sz w:val="24"/>
        </w:rPr>
        <w:t>1</w:t>
      </w:r>
      <w:r w:rsidRPr="008F58FE">
        <w:rPr>
          <w:rFonts w:ascii="宋体" w:hAnsi="宋体" w:hint="eastAsia"/>
          <w:color w:val="000000" w:themeColor="text1"/>
          <w:sz w:val="24"/>
        </w:rPr>
        <w:t>、磁场频率为50Hz±2%；</w:t>
      </w:r>
    </w:p>
    <w:p w14:paraId="186D06F5" w14:textId="77777777" w:rsidR="00DB76B8" w:rsidRPr="008F58FE" w:rsidRDefault="00000000">
      <w:pPr>
        <w:autoSpaceDE w:val="0"/>
        <w:autoSpaceDN w:val="0"/>
        <w:adjustRightInd w:val="0"/>
        <w:rPr>
          <w:rFonts w:ascii="宋体" w:hAnsi="宋体"/>
          <w:color w:val="000000" w:themeColor="text1"/>
          <w:sz w:val="24"/>
        </w:rPr>
      </w:pPr>
      <w:r w:rsidRPr="008F58FE">
        <w:rPr>
          <w:rFonts w:ascii="宋体" w:hAnsi="宋体" w:hint="eastAsia"/>
          <w:color w:val="000000" w:themeColor="text1"/>
          <w:sz w:val="24"/>
        </w:rPr>
        <w:t>1</w:t>
      </w:r>
      <w:r w:rsidRPr="008F58FE">
        <w:rPr>
          <w:rFonts w:ascii="宋体" w:hAnsi="宋体"/>
          <w:color w:val="000000" w:themeColor="text1"/>
          <w:sz w:val="24"/>
        </w:rPr>
        <w:t>2</w:t>
      </w:r>
      <w:r w:rsidRPr="008F58FE">
        <w:rPr>
          <w:rFonts w:ascii="宋体" w:hAnsi="宋体" w:hint="eastAsia"/>
          <w:color w:val="000000" w:themeColor="text1"/>
          <w:sz w:val="24"/>
        </w:rPr>
        <w:t>、振动按摩强度四档可调:</w:t>
      </w:r>
      <w:r w:rsidRPr="008F58FE">
        <w:rPr>
          <w:rFonts w:ascii="宋体" w:hAnsi="宋体"/>
          <w:color w:val="000000" w:themeColor="text1"/>
          <w:sz w:val="24"/>
        </w:rPr>
        <w:t>0V,10V,16V,27V</w:t>
      </w:r>
      <w:r w:rsidRPr="008F58FE">
        <w:rPr>
          <w:rFonts w:ascii="宋体" w:hAnsi="宋体" w:hint="eastAsia"/>
          <w:color w:val="000000" w:themeColor="text1"/>
          <w:sz w:val="24"/>
        </w:rPr>
        <w:t>；</w:t>
      </w:r>
    </w:p>
    <w:p w14:paraId="29B0939C" w14:textId="77777777" w:rsidR="00DB76B8" w:rsidRPr="008F58FE" w:rsidRDefault="00000000">
      <w:pPr>
        <w:autoSpaceDE w:val="0"/>
        <w:autoSpaceDN w:val="0"/>
        <w:adjustRightInd w:val="0"/>
        <w:rPr>
          <w:rFonts w:ascii="宋体" w:hAnsi="宋体"/>
          <w:color w:val="000000" w:themeColor="text1"/>
          <w:sz w:val="24"/>
        </w:rPr>
      </w:pPr>
      <w:r w:rsidRPr="008F58FE">
        <w:rPr>
          <w:rFonts w:ascii="宋体" w:hAnsi="宋体" w:hint="eastAsia"/>
          <w:color w:val="000000" w:themeColor="text1"/>
          <w:sz w:val="24"/>
        </w:rPr>
        <w:t>1</w:t>
      </w:r>
      <w:r w:rsidRPr="008F58FE">
        <w:rPr>
          <w:rFonts w:ascii="宋体" w:hAnsi="宋体"/>
          <w:color w:val="000000" w:themeColor="text1"/>
          <w:sz w:val="24"/>
        </w:rPr>
        <w:t>3</w:t>
      </w:r>
      <w:r w:rsidRPr="008F58FE">
        <w:rPr>
          <w:rFonts w:ascii="宋体" w:hAnsi="宋体" w:hint="eastAsia"/>
          <w:color w:val="000000" w:themeColor="text1"/>
          <w:sz w:val="24"/>
        </w:rPr>
        <w:t>、振动按摩频率四档可调:0Hz</w:t>
      </w:r>
      <w:r w:rsidRPr="008F58FE">
        <w:rPr>
          <w:rFonts w:ascii="宋体" w:hAnsi="宋体"/>
          <w:color w:val="000000" w:themeColor="text1"/>
          <w:sz w:val="24"/>
        </w:rPr>
        <w:t>,2</w:t>
      </w:r>
      <w:r w:rsidRPr="008F58FE">
        <w:rPr>
          <w:rFonts w:ascii="宋体" w:hAnsi="宋体" w:hint="eastAsia"/>
          <w:color w:val="000000" w:themeColor="text1"/>
          <w:sz w:val="24"/>
        </w:rPr>
        <w:t>Hz</w:t>
      </w:r>
      <w:r w:rsidRPr="008F58FE">
        <w:rPr>
          <w:rFonts w:ascii="宋体" w:hAnsi="宋体"/>
          <w:color w:val="000000" w:themeColor="text1"/>
          <w:sz w:val="24"/>
        </w:rPr>
        <w:t>,5</w:t>
      </w:r>
      <w:r w:rsidRPr="008F58FE">
        <w:rPr>
          <w:rFonts w:ascii="宋体" w:hAnsi="宋体" w:hint="eastAsia"/>
          <w:color w:val="000000" w:themeColor="text1"/>
          <w:sz w:val="24"/>
        </w:rPr>
        <w:t>Hz</w:t>
      </w:r>
      <w:r w:rsidRPr="008F58FE">
        <w:rPr>
          <w:rFonts w:ascii="宋体" w:hAnsi="宋体"/>
          <w:color w:val="000000" w:themeColor="text1"/>
          <w:sz w:val="24"/>
        </w:rPr>
        <w:t>,10</w:t>
      </w:r>
      <w:r w:rsidRPr="008F58FE">
        <w:rPr>
          <w:rFonts w:ascii="宋体" w:hAnsi="宋体" w:hint="eastAsia"/>
          <w:color w:val="000000" w:themeColor="text1"/>
          <w:sz w:val="24"/>
        </w:rPr>
        <w:t>Hz；</w:t>
      </w:r>
    </w:p>
    <w:p w14:paraId="761BA0C2" w14:textId="77777777" w:rsidR="00DB76B8" w:rsidRPr="008F58FE" w:rsidRDefault="00000000">
      <w:pPr>
        <w:autoSpaceDE w:val="0"/>
        <w:autoSpaceDN w:val="0"/>
        <w:adjustRightInd w:val="0"/>
        <w:outlineLvl w:val="0"/>
        <w:rPr>
          <w:rFonts w:ascii="宋体" w:hAnsi="宋体"/>
          <w:color w:val="000000" w:themeColor="text1"/>
          <w:sz w:val="24"/>
        </w:rPr>
      </w:pPr>
      <w:bookmarkStart w:id="4" w:name="_Toc13504"/>
      <w:bookmarkStart w:id="5" w:name="_Toc18332"/>
      <w:r w:rsidRPr="008F58FE">
        <w:rPr>
          <w:rFonts w:ascii="宋体" w:hAnsi="宋体" w:hint="eastAsia"/>
          <w:color w:val="000000" w:themeColor="text1"/>
          <w:sz w:val="24"/>
        </w:rPr>
        <w:t>1</w:t>
      </w:r>
      <w:r w:rsidRPr="008F58FE">
        <w:rPr>
          <w:rFonts w:ascii="宋体" w:hAnsi="宋体"/>
          <w:color w:val="000000" w:themeColor="text1"/>
          <w:sz w:val="24"/>
        </w:rPr>
        <w:t>4</w:t>
      </w:r>
      <w:r w:rsidRPr="008F58FE">
        <w:rPr>
          <w:rFonts w:ascii="宋体" w:hAnsi="宋体" w:hint="eastAsia"/>
          <w:color w:val="000000" w:themeColor="text1"/>
          <w:sz w:val="24"/>
        </w:rPr>
        <w:t>、磁疗帽有成人款和儿童款供选择；</w:t>
      </w:r>
      <w:bookmarkEnd w:id="4"/>
      <w:bookmarkEnd w:id="5"/>
    </w:p>
    <w:p w14:paraId="1CF3318F" w14:textId="77777777" w:rsidR="00DB76B8" w:rsidRPr="008F58FE" w:rsidRDefault="00000000">
      <w:pPr>
        <w:autoSpaceDE w:val="0"/>
        <w:autoSpaceDN w:val="0"/>
        <w:adjustRightInd w:val="0"/>
        <w:rPr>
          <w:color w:val="000000" w:themeColor="text1"/>
          <w:sz w:val="24"/>
        </w:rPr>
      </w:pPr>
      <w:r w:rsidRPr="008F58FE">
        <w:rPr>
          <w:rFonts w:ascii="宋体" w:hAnsi="宋体" w:hint="eastAsia"/>
          <w:color w:val="000000" w:themeColor="text1"/>
          <w:sz w:val="24"/>
        </w:rPr>
        <w:t>1</w:t>
      </w:r>
      <w:r w:rsidRPr="008F58FE">
        <w:rPr>
          <w:rFonts w:ascii="宋体" w:hAnsi="宋体"/>
          <w:color w:val="000000" w:themeColor="text1"/>
          <w:sz w:val="24"/>
        </w:rPr>
        <w:t>5</w:t>
      </w:r>
      <w:r w:rsidRPr="008F58FE">
        <w:rPr>
          <w:rFonts w:ascii="宋体" w:hAnsi="宋体" w:hint="eastAsia"/>
          <w:color w:val="000000" w:themeColor="text1"/>
          <w:sz w:val="24"/>
        </w:rPr>
        <w:t>、磁疗发生器数：成人款磁疗帽有7个磁疗器；儿童款磁疗帽有5个磁疗器；</w:t>
      </w:r>
    </w:p>
    <w:p w14:paraId="38C0F0D3" w14:textId="77777777" w:rsidR="00DB76B8" w:rsidRPr="008F58FE" w:rsidRDefault="00000000">
      <w:pPr>
        <w:rPr>
          <w:rFonts w:ascii="宋体" w:hAnsi="宋体"/>
          <w:color w:val="000000" w:themeColor="text1"/>
          <w:sz w:val="24"/>
        </w:rPr>
      </w:pPr>
      <w:r w:rsidRPr="008F58FE">
        <w:rPr>
          <w:rFonts w:ascii="宋体" w:hAnsi="宋体" w:hint="eastAsia"/>
          <w:color w:val="000000" w:themeColor="text1"/>
          <w:sz w:val="24"/>
        </w:rPr>
        <w:t>1</w:t>
      </w:r>
      <w:r w:rsidRPr="008F58FE">
        <w:rPr>
          <w:rFonts w:ascii="宋体" w:hAnsi="宋体"/>
          <w:color w:val="000000" w:themeColor="text1"/>
          <w:sz w:val="24"/>
        </w:rPr>
        <w:t>6</w:t>
      </w:r>
      <w:r w:rsidRPr="008F58FE">
        <w:rPr>
          <w:rFonts w:ascii="宋体" w:hAnsi="宋体" w:hint="eastAsia"/>
          <w:color w:val="000000" w:themeColor="text1"/>
          <w:sz w:val="24"/>
        </w:rPr>
        <w:t>、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★</w:t>
      </w:r>
      <w:r w:rsidRPr="008F58FE">
        <w:rPr>
          <w:rFonts w:ascii="宋体" w:hAnsi="宋体" w:hint="eastAsia"/>
          <w:color w:val="000000" w:themeColor="text1"/>
          <w:sz w:val="24"/>
        </w:rPr>
        <w:t>入选2011版国家中医药管理局推荐目录，可提供证明文件；</w:t>
      </w:r>
    </w:p>
    <w:p w14:paraId="5CE39921" w14:textId="77777777" w:rsidR="00DB76B8" w:rsidRPr="008F58FE" w:rsidRDefault="00000000">
      <w:pPr>
        <w:rPr>
          <w:rFonts w:ascii="宋体" w:hAnsi="宋体" w:cs="宋体"/>
          <w:color w:val="000000" w:themeColor="text1"/>
          <w:sz w:val="24"/>
          <w:szCs w:val="28"/>
        </w:rPr>
      </w:pPr>
      <w:r w:rsidRPr="008F58FE">
        <w:rPr>
          <w:rFonts w:ascii="宋体" w:hAnsi="宋体" w:cs="宋体" w:hint="eastAsia"/>
          <w:color w:val="000000" w:themeColor="text1"/>
          <w:sz w:val="24"/>
        </w:rPr>
        <w:t>1</w:t>
      </w:r>
      <w:r w:rsidRPr="008F58FE">
        <w:rPr>
          <w:rFonts w:ascii="宋体" w:hAnsi="宋体" w:cs="宋体"/>
          <w:color w:val="000000" w:themeColor="text1"/>
          <w:sz w:val="24"/>
        </w:rPr>
        <w:t>7</w:t>
      </w:r>
      <w:r w:rsidRPr="008F58FE">
        <w:rPr>
          <w:rFonts w:ascii="宋体" w:hAnsi="宋体" w:cs="宋体" w:hint="eastAsia"/>
          <w:color w:val="000000" w:themeColor="text1"/>
          <w:sz w:val="24"/>
        </w:rPr>
        <w:t>、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★</w:t>
      </w:r>
      <w:r w:rsidRPr="008F58FE">
        <w:rPr>
          <w:rFonts w:ascii="宋体" w:hAnsi="宋体" w:cs="宋体" w:hint="eastAsia"/>
          <w:color w:val="000000" w:themeColor="text1"/>
          <w:sz w:val="24"/>
          <w:szCs w:val="28"/>
        </w:rPr>
        <w:t>本产品取得计算机软件著作权；</w:t>
      </w:r>
      <w:r w:rsidRPr="008F58FE">
        <w:rPr>
          <w:rFonts w:ascii="宋体" w:hAnsi="宋体" w:cs="宋体" w:hint="eastAsia"/>
          <w:color w:val="000000" w:themeColor="text1"/>
          <w:sz w:val="24"/>
          <w:lang w:val="zh-CN"/>
        </w:rPr>
        <w:t>（可提供相关证书）</w:t>
      </w:r>
    </w:p>
    <w:p w14:paraId="227675F6" w14:textId="77777777" w:rsidR="00DB76B8" w:rsidRPr="008F58FE" w:rsidRDefault="00000000">
      <w:pPr>
        <w:rPr>
          <w:rFonts w:ascii="Times New Roman" w:hAnsi="Times New Roman"/>
          <w:bCs/>
          <w:color w:val="000000" w:themeColor="text1"/>
          <w:sz w:val="24"/>
        </w:rPr>
      </w:pPr>
      <w:r w:rsidRPr="008F58FE">
        <w:rPr>
          <w:rFonts w:ascii="宋体" w:hAnsi="宋体" w:cs="宋体"/>
          <w:color w:val="000000" w:themeColor="text1"/>
          <w:sz w:val="24"/>
          <w:szCs w:val="28"/>
        </w:rPr>
        <w:t>18</w:t>
      </w:r>
      <w:r w:rsidRPr="008F58FE">
        <w:rPr>
          <w:rFonts w:ascii="宋体" w:hAnsi="宋体" w:cs="宋体" w:hint="eastAsia"/>
          <w:color w:val="000000" w:themeColor="text1"/>
          <w:sz w:val="24"/>
          <w:szCs w:val="28"/>
        </w:rPr>
        <w:t>、</w:t>
      </w:r>
      <w:r w:rsidRPr="008F58FE">
        <w:rPr>
          <w:rFonts w:ascii="Times New Roman" w:hAnsi="Times New Roman"/>
          <w:bCs/>
          <w:color w:val="000000" w:themeColor="text1"/>
          <w:sz w:val="24"/>
        </w:rPr>
        <w:t>净重：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24.55kg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；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 xml:space="preserve"> 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尺寸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: 540mm*430mm*1001mm</w:t>
      </w:r>
      <w:r w:rsidRPr="008F58FE">
        <w:rPr>
          <w:rFonts w:ascii="Times New Roman" w:hAnsi="Times New Roman" w:hint="eastAsia"/>
          <w:bCs/>
          <w:color w:val="000000" w:themeColor="text1"/>
          <w:sz w:val="24"/>
        </w:rPr>
        <w:t>；</w:t>
      </w:r>
    </w:p>
    <w:p w14:paraId="35981238" w14:textId="77777777" w:rsidR="00DB76B8" w:rsidRDefault="00DB76B8"/>
    <w:sectPr w:rsidR="00DB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8BEB9F"/>
    <w:multiLevelType w:val="singleLevel"/>
    <w:tmpl w:val="E08BEB9F"/>
    <w:lvl w:ilvl="0">
      <w:start w:val="5"/>
      <w:numFmt w:val="decimal"/>
      <w:suff w:val="space"/>
      <w:lvlText w:val="%1、"/>
      <w:lvlJc w:val="left"/>
    </w:lvl>
  </w:abstractNum>
  <w:abstractNum w:abstractNumId="1" w15:restartNumberingAfterBreak="0">
    <w:nsid w:val="FC9911BA"/>
    <w:multiLevelType w:val="singleLevel"/>
    <w:tmpl w:val="FC9911BA"/>
    <w:lvl w:ilvl="0">
      <w:start w:val="15"/>
      <w:numFmt w:val="decimal"/>
      <w:suff w:val="nothing"/>
      <w:lvlText w:val="%1、"/>
      <w:lvlJc w:val="left"/>
    </w:lvl>
  </w:abstractNum>
  <w:num w:numId="1" w16cid:durableId="1730880268">
    <w:abstractNumId w:val="1"/>
  </w:num>
  <w:num w:numId="2" w16cid:durableId="736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2MTJkNjM5ZWFhN2YwYWU3OGFiYjVhMGM2OTZhNTQifQ=="/>
  </w:docVars>
  <w:rsids>
    <w:rsidRoot w:val="6F483759"/>
    <w:rsid w:val="008F58FE"/>
    <w:rsid w:val="00DB76B8"/>
    <w:rsid w:val="6F4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F18EB"/>
  <w15:docId w15:val="{E35B9F3E-319C-4BB7-BE62-BF235EE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田永宏</dc:creator>
  <cp:lastModifiedBy>yuan</cp:lastModifiedBy>
  <cp:revision>3</cp:revision>
  <dcterms:created xsi:type="dcterms:W3CDTF">2022-11-26T10:11:00Z</dcterms:created>
  <dcterms:modified xsi:type="dcterms:W3CDTF">2022-11-26T10:41:00Z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3AC031912DF3408F9529A5D362088394</vt:lpwstr>
  </property>
</Properties>
</file>