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2F48C0">
      <w:pPr>
        <w:numPr>
          <w:ilvl w:val="0"/>
          <w:numId w:val="0"/>
        </w:numPr>
        <w:spacing w:line="360" w:lineRule="auto"/>
        <w:jc w:val="center"/>
        <w:rPr>
          <w:rFonts w:hint="eastAsia" w:ascii="仿宋_GB2312" w:hAnsi="新宋体" w:eastAsia="仿宋_GB2312"/>
          <w:b/>
          <w:bCs/>
          <w:color w:val="auto"/>
          <w:spacing w:val="20"/>
          <w:sz w:val="44"/>
          <w:szCs w:val="44"/>
          <w:highlight w:val="none"/>
          <w:lang w:eastAsia="zh-CN"/>
        </w:rPr>
      </w:pPr>
      <w:r>
        <w:rPr>
          <w:rFonts w:hint="eastAsia" w:ascii="仿宋_GB2312" w:hAnsi="新宋体" w:eastAsia="仿宋_GB2312"/>
          <w:b/>
          <w:bCs/>
          <w:color w:val="auto"/>
          <w:spacing w:val="20"/>
          <w:sz w:val="44"/>
          <w:szCs w:val="44"/>
          <w:highlight w:val="none"/>
          <w:lang w:eastAsia="zh-CN"/>
        </w:rPr>
        <w:t>伊金霍洛旗人居环境路灯亮化工程</w:t>
      </w:r>
    </w:p>
    <w:p w14:paraId="408A3BD7">
      <w:pPr>
        <w:numPr>
          <w:ilvl w:val="0"/>
          <w:numId w:val="0"/>
        </w:numPr>
        <w:spacing w:line="360" w:lineRule="auto"/>
        <w:jc w:val="center"/>
        <w:rPr>
          <w:rFonts w:hint="eastAsia" w:ascii="仿宋_GB2312" w:hAnsi="新宋体" w:eastAsia="仿宋_GB2312"/>
          <w:sz w:val="28"/>
          <w:szCs w:val="28"/>
          <w:lang w:val="en-US" w:eastAsia="zh-CN"/>
        </w:rPr>
      </w:pPr>
      <w:r>
        <w:rPr>
          <w:rFonts w:hint="eastAsia" w:ascii="仿宋_GB2312" w:hAnsi="新宋体" w:eastAsia="仿宋_GB2312"/>
          <w:b/>
          <w:bCs/>
          <w:sz w:val="44"/>
          <w:szCs w:val="44"/>
          <w:lang w:val="en-US" w:eastAsia="zh-CN"/>
        </w:rPr>
        <w:t>编制说明</w:t>
      </w:r>
    </w:p>
    <w:p w14:paraId="5045CF24">
      <w:pPr>
        <w:numPr>
          <w:ilvl w:val="0"/>
          <w:numId w:val="1"/>
        </w:numPr>
        <w:spacing w:line="360" w:lineRule="auto"/>
        <w:ind w:left="420" w:hanging="420" w:hangingChars="150"/>
        <w:rPr>
          <w:rFonts w:hint="eastAsia" w:ascii="仿宋_GB2312" w:hAnsi="新宋体" w:eastAsia="仿宋_GB2312"/>
          <w:sz w:val="28"/>
          <w:szCs w:val="28"/>
          <w:lang w:eastAsia="zh-CN"/>
        </w:rPr>
      </w:pPr>
      <w:r>
        <w:rPr>
          <w:rFonts w:hint="eastAsia" w:ascii="仿宋_GB2312" w:hAnsi="新宋体" w:eastAsia="仿宋_GB2312"/>
          <w:sz w:val="28"/>
          <w:szCs w:val="28"/>
          <w:lang w:eastAsia="zh-CN"/>
        </w:rPr>
        <w:t>工程名称：伊金霍洛旗人居环境路灯亮化工程</w:t>
      </w:r>
    </w:p>
    <w:p w14:paraId="5D713989">
      <w:pPr>
        <w:numPr>
          <w:ilvl w:val="0"/>
          <w:numId w:val="1"/>
        </w:numPr>
        <w:spacing w:line="360" w:lineRule="auto"/>
        <w:ind w:left="420" w:hanging="420" w:hangingChars="150"/>
        <w:rPr>
          <w:rFonts w:hint="eastAsia" w:ascii="仿宋_GB2312" w:hAnsi="新宋体" w:eastAsia="仿宋_GB2312"/>
          <w:sz w:val="28"/>
          <w:szCs w:val="28"/>
          <w:lang w:eastAsia="zh-CN"/>
        </w:rPr>
      </w:pPr>
      <w:r>
        <w:rPr>
          <w:rFonts w:hint="eastAsia" w:ascii="仿宋_GB2312" w:hAnsi="新宋体" w:eastAsia="仿宋_GB2312"/>
          <w:sz w:val="28"/>
          <w:szCs w:val="28"/>
          <w:lang w:eastAsia="zh-CN"/>
        </w:rPr>
        <w:t>工程地点：</w:t>
      </w:r>
    </w:p>
    <w:p w14:paraId="5FF54291">
      <w:pPr>
        <w:numPr>
          <w:ilvl w:val="0"/>
          <w:numId w:val="2"/>
        </w:numPr>
        <w:spacing w:line="360" w:lineRule="auto"/>
        <w:ind w:left="630" w:leftChars="0" w:firstLine="0" w:firstLineChars="0"/>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伊金霍洛镇</w:t>
      </w:r>
    </w:p>
    <w:p w14:paraId="13EE7E87">
      <w:pPr>
        <w:numPr>
          <w:ilvl w:val="0"/>
          <w:numId w:val="3"/>
        </w:numPr>
        <w:spacing w:line="360" w:lineRule="auto"/>
        <w:ind w:left="560" w:leftChars="0" w:firstLine="0" w:firstLineChars="0"/>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壕赖村：一社68盏；二社25盏；三社80盏；四社56盏；五社32盏；六社60盏；七社85盏。</w:t>
      </w:r>
    </w:p>
    <w:p w14:paraId="0F0DC7FB">
      <w:pPr>
        <w:numPr>
          <w:ilvl w:val="0"/>
          <w:numId w:val="3"/>
        </w:numPr>
        <w:spacing w:line="360" w:lineRule="auto"/>
        <w:ind w:left="560" w:leftChars="0" w:firstLine="0" w:firstLineChars="0"/>
        <w:rPr>
          <w:rFonts w:hint="default" w:ascii="仿宋_GB2312" w:hAnsi="新宋体" w:eastAsia="仿宋_GB2312"/>
          <w:sz w:val="28"/>
          <w:szCs w:val="28"/>
          <w:lang w:val="en-US" w:eastAsia="zh-CN"/>
        </w:rPr>
      </w:pPr>
      <w:r>
        <w:rPr>
          <w:rFonts w:hint="eastAsia" w:ascii="仿宋_GB2312" w:hAnsi="新宋体" w:eastAsia="仿宋_GB2312"/>
          <w:sz w:val="28"/>
          <w:szCs w:val="28"/>
          <w:lang w:val="en-US" w:eastAsia="zh-CN"/>
        </w:rPr>
        <w:t>龙虎渠村：一社70盏；三社70盏；六社100盏；七社100盏；八社60盏。</w:t>
      </w:r>
    </w:p>
    <w:p w14:paraId="0C336F96">
      <w:pPr>
        <w:numPr>
          <w:ilvl w:val="0"/>
          <w:numId w:val="3"/>
        </w:numPr>
        <w:spacing w:line="360" w:lineRule="auto"/>
        <w:ind w:left="560" w:leftChars="0" w:firstLine="0" w:firstLineChars="0"/>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布拉格嘎查：一社40盏；二社45盏；三社45盏；四社40盏；五社40盏；六社40盏。</w:t>
      </w:r>
    </w:p>
    <w:p w14:paraId="3F4BCF7C">
      <w:pPr>
        <w:numPr>
          <w:ilvl w:val="0"/>
          <w:numId w:val="2"/>
        </w:numPr>
        <w:spacing w:line="360" w:lineRule="auto"/>
        <w:ind w:left="630" w:leftChars="0" w:firstLine="0" w:firstLineChars="0"/>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红庆河镇</w:t>
      </w:r>
    </w:p>
    <w:p w14:paraId="54D30E99">
      <w:pPr>
        <w:numPr>
          <w:ilvl w:val="0"/>
          <w:numId w:val="4"/>
        </w:numPr>
        <w:spacing w:line="360" w:lineRule="auto"/>
        <w:ind w:left="630" w:leftChars="0"/>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乌兰淖尔村：二社20盏；三社20盏；四社20盏。</w:t>
      </w:r>
    </w:p>
    <w:p w14:paraId="76DA3029">
      <w:pPr>
        <w:numPr>
          <w:ilvl w:val="0"/>
          <w:numId w:val="4"/>
        </w:numPr>
        <w:spacing w:line="360" w:lineRule="auto"/>
        <w:ind w:left="630" w:leftChars="0"/>
        <w:rPr>
          <w:rFonts w:hint="default" w:ascii="仿宋_GB2312" w:hAnsi="新宋体" w:eastAsia="仿宋_GB2312"/>
          <w:sz w:val="28"/>
          <w:szCs w:val="28"/>
          <w:lang w:val="en-US" w:eastAsia="zh-CN"/>
        </w:rPr>
      </w:pPr>
      <w:r>
        <w:rPr>
          <w:rFonts w:hint="eastAsia" w:ascii="仿宋_GB2312" w:hAnsi="新宋体" w:eastAsia="仿宋_GB2312"/>
          <w:sz w:val="28"/>
          <w:szCs w:val="28"/>
          <w:lang w:val="en-US" w:eastAsia="zh-CN"/>
        </w:rPr>
        <w:t>木呼敖包村：四社120盏。</w:t>
      </w:r>
    </w:p>
    <w:p w14:paraId="02EE4CF7">
      <w:pPr>
        <w:numPr>
          <w:ilvl w:val="0"/>
          <w:numId w:val="4"/>
        </w:numPr>
        <w:spacing w:line="360" w:lineRule="auto"/>
        <w:ind w:left="630" w:leftChars="0"/>
        <w:rPr>
          <w:rFonts w:hint="default" w:ascii="仿宋_GB2312" w:hAnsi="新宋体" w:eastAsia="仿宋_GB2312"/>
          <w:sz w:val="28"/>
          <w:szCs w:val="28"/>
          <w:lang w:val="en-US" w:eastAsia="zh-CN"/>
        </w:rPr>
      </w:pPr>
      <w:r>
        <w:rPr>
          <w:rFonts w:hint="eastAsia" w:ascii="仿宋_GB2312" w:hAnsi="新宋体" w:eastAsia="仿宋_GB2312"/>
          <w:sz w:val="28"/>
          <w:szCs w:val="28"/>
          <w:lang w:val="en-US" w:eastAsia="zh-CN"/>
        </w:rPr>
        <w:t>哈达图淖尔村：一社20盏；二社20盏；三社20盏；四社20盏；五社20盏。</w:t>
      </w:r>
    </w:p>
    <w:p w14:paraId="55F493B8">
      <w:pPr>
        <w:numPr>
          <w:ilvl w:val="0"/>
          <w:numId w:val="2"/>
        </w:numPr>
        <w:spacing w:line="360" w:lineRule="auto"/>
        <w:ind w:left="630" w:leftChars="0" w:firstLine="0" w:firstLineChars="0"/>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苏布尔嘎镇</w:t>
      </w:r>
    </w:p>
    <w:p w14:paraId="6AD5AFD4">
      <w:pPr>
        <w:numPr>
          <w:ilvl w:val="0"/>
          <w:numId w:val="5"/>
        </w:numPr>
        <w:spacing w:line="360" w:lineRule="auto"/>
        <w:ind w:left="630" w:leftChars="0"/>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敏盖村：一社至九社分散安装120盏。</w:t>
      </w:r>
    </w:p>
    <w:p w14:paraId="6CF67FE4">
      <w:pPr>
        <w:numPr>
          <w:ilvl w:val="0"/>
          <w:numId w:val="5"/>
        </w:numPr>
        <w:spacing w:line="360" w:lineRule="auto"/>
        <w:ind w:left="630" w:leftChars="0"/>
        <w:rPr>
          <w:rFonts w:hint="default" w:ascii="仿宋_GB2312" w:hAnsi="新宋体" w:eastAsia="仿宋_GB2312"/>
          <w:sz w:val="28"/>
          <w:szCs w:val="28"/>
          <w:lang w:val="en-US" w:eastAsia="zh-CN"/>
        </w:rPr>
      </w:pPr>
      <w:r>
        <w:rPr>
          <w:rFonts w:hint="eastAsia" w:ascii="仿宋_GB2312" w:hAnsi="新宋体" w:eastAsia="仿宋_GB2312"/>
          <w:sz w:val="28"/>
          <w:szCs w:val="28"/>
          <w:lang w:val="en-US" w:eastAsia="zh-CN"/>
        </w:rPr>
        <w:t>壕赖苏村：一社30盏；二社30盏；三社100盏；四社20盏；五社20盏；六社100盏。</w:t>
      </w:r>
    </w:p>
    <w:p w14:paraId="1BC66268">
      <w:pPr>
        <w:numPr>
          <w:ilvl w:val="0"/>
          <w:numId w:val="1"/>
        </w:numPr>
        <w:spacing w:line="360" w:lineRule="auto"/>
        <w:ind w:left="420" w:hanging="420" w:hangingChars="150"/>
        <w:rPr>
          <w:rFonts w:hint="eastAsia" w:ascii="仿宋_GB2312" w:hAnsi="新宋体" w:eastAsia="仿宋_GB2312"/>
          <w:sz w:val="28"/>
          <w:szCs w:val="28"/>
          <w:lang w:eastAsia="zh-CN"/>
        </w:rPr>
      </w:pPr>
      <w:r>
        <w:rPr>
          <w:rFonts w:hint="eastAsia" w:ascii="仿宋_GB2312" w:hAnsi="新宋体" w:eastAsia="仿宋_GB2312"/>
          <w:sz w:val="28"/>
          <w:szCs w:val="28"/>
          <w:lang w:eastAsia="zh-CN"/>
        </w:rPr>
        <w:t>编制依据</w:t>
      </w:r>
    </w:p>
    <w:p w14:paraId="0E61A99D">
      <w:pPr>
        <w:numPr>
          <w:ilvl w:val="0"/>
          <w:numId w:val="0"/>
        </w:numPr>
        <w:spacing w:line="360" w:lineRule="auto"/>
        <w:ind w:leftChars="-150"/>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 xml:space="preserve">     （一）依据单盏路灯工程量及做法表进行编制</w:t>
      </w:r>
    </w:p>
    <w:p w14:paraId="62985EA0">
      <w:pPr>
        <w:numPr>
          <w:ilvl w:val="0"/>
          <w:numId w:val="0"/>
        </w:numPr>
        <w:spacing w:line="360" w:lineRule="auto"/>
        <w:ind w:leftChars="-150"/>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 xml:space="preserve">     （二）计价依据</w:t>
      </w:r>
      <w:bookmarkStart w:id="0" w:name="_GoBack"/>
      <w:bookmarkEnd w:id="0"/>
    </w:p>
    <w:p w14:paraId="1F5E0394">
      <w:pPr>
        <w:spacing w:line="240" w:lineRule="auto"/>
        <w:ind w:left="0" w:firstLine="560" w:firstLineChars="0"/>
        <w:jc w:val="left"/>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1、本工程预算定额执行内蒙古自治区建设工程造价管理总站颁布的2017届《内蒙古自治区房屋建筑与装饰工程预算定额》、2017届《内蒙古自治区通用安装工程预算定额》、2017届《内蒙古自治区建筑装饰工程预算定额》、2017届《内蒙古自治区建设工程费用定额》及现行相关政策性文件等。</w:t>
      </w:r>
    </w:p>
    <w:p w14:paraId="5460E86F">
      <w:pPr>
        <w:spacing w:line="240" w:lineRule="auto"/>
        <w:ind w:left="0" w:firstLine="560" w:firstLineChars="0"/>
        <w:jc w:val="left"/>
        <w:rPr>
          <w:rFonts w:hint="eastAsia" w:ascii="仿宋_GB2312" w:hAnsi="新宋体" w:eastAsia="仿宋_GB2312"/>
          <w:sz w:val="28"/>
          <w:szCs w:val="28"/>
          <w:lang w:eastAsia="zh-CN"/>
        </w:rPr>
      </w:pPr>
      <w:r>
        <w:rPr>
          <w:rFonts w:hint="eastAsia" w:ascii="仿宋_GB2312" w:hAnsi="新宋体" w:eastAsia="仿宋_GB2312"/>
          <w:sz w:val="28"/>
          <w:szCs w:val="28"/>
          <w:lang w:val="en-US" w:eastAsia="zh-CN"/>
        </w:rPr>
        <w:t>2、</w:t>
      </w:r>
      <w:r>
        <w:rPr>
          <w:rFonts w:hint="eastAsia" w:ascii="仿宋_GB2312" w:hAnsi="新宋体" w:eastAsia="仿宋_GB2312"/>
          <w:sz w:val="28"/>
          <w:szCs w:val="28"/>
          <w:lang w:eastAsia="zh-CN"/>
        </w:rPr>
        <w:t>工程量清单计价执行</w:t>
      </w:r>
      <w:r>
        <w:rPr>
          <w:rFonts w:hint="eastAsia" w:ascii="仿宋_GB2312" w:hAnsi="新宋体" w:eastAsia="仿宋_GB2312"/>
          <w:sz w:val="28"/>
          <w:szCs w:val="28"/>
          <w:lang w:val="en-US" w:eastAsia="zh-CN"/>
        </w:rPr>
        <w:t>2013届</w:t>
      </w:r>
      <w:r>
        <w:rPr>
          <w:rFonts w:hint="eastAsia" w:ascii="仿宋_GB2312" w:hAnsi="新宋体" w:eastAsia="仿宋_GB2312"/>
          <w:sz w:val="28"/>
          <w:szCs w:val="28"/>
        </w:rPr>
        <w:t>《建设工程工程量清单计价规范》GB50500-20</w:t>
      </w:r>
      <w:r>
        <w:rPr>
          <w:rFonts w:hint="eastAsia" w:ascii="仿宋_GB2312" w:hAnsi="新宋体" w:eastAsia="仿宋_GB2312"/>
          <w:sz w:val="28"/>
          <w:szCs w:val="28"/>
          <w:lang w:val="en-US" w:eastAsia="zh-CN"/>
        </w:rPr>
        <w:t>13</w:t>
      </w:r>
      <w:r>
        <w:rPr>
          <w:rFonts w:hint="eastAsia" w:ascii="仿宋_GB2312" w:hAnsi="新宋体" w:eastAsia="仿宋_GB2312"/>
          <w:sz w:val="28"/>
          <w:szCs w:val="28"/>
          <w:lang w:eastAsia="zh-CN"/>
        </w:rPr>
        <w:t>。</w:t>
      </w:r>
    </w:p>
    <w:p w14:paraId="33DA596D">
      <w:pPr>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 xml:space="preserve">    3、执行《关于建筑业营业税改增值税调整内蒙古自治区现行计价依据实施方案》内建工[2016]136号文件及建办标[2016]4号：关于建筑业营业税改征增值税调整的通知；内建工[2018]175号文件：关于营改增税金的文件调整规定；内建标[2019]113号文件：关于调整内蒙古自治区建设工程计价依据增值税税率的通知；内建标函[2019]468号文件：关于规费中养老保险费率调整的通知；</w:t>
      </w:r>
      <w:r>
        <w:rPr>
          <w:rFonts w:hint="eastAsia" w:ascii="仿宋_GB2312" w:hAnsi="仿宋_GB2312" w:eastAsia="仿宋_GB2312" w:cs="仿宋_GB2312"/>
          <w:sz w:val="28"/>
          <w:szCs w:val="28"/>
          <w:highlight w:val="none"/>
          <w:lang w:val="en-US" w:eastAsia="zh-CN"/>
        </w:rPr>
        <w:t>人工费执行《关于调整内蒙古自治区现行预算定额人工费的通知》内建标[2021]148号文件。</w:t>
      </w:r>
      <w:r>
        <w:rPr>
          <w:rFonts w:hint="eastAsia" w:ascii="仿宋_GB2312" w:hAnsi="新宋体" w:eastAsia="仿宋_GB2312"/>
          <w:sz w:val="28"/>
          <w:szCs w:val="28"/>
          <w:lang w:val="en-US" w:eastAsia="zh-CN"/>
        </w:rPr>
        <w:t xml:space="preserve">    </w:t>
      </w:r>
    </w:p>
    <w:p w14:paraId="2222EF26">
      <w:pPr>
        <w:ind w:firstLine="560"/>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4、规费执行2017年《内蒙古自治区建设工程费用定额》中规定费率，规费为19%。</w:t>
      </w:r>
    </w:p>
    <w:p w14:paraId="642C65FE">
      <w:pPr>
        <w:ind w:firstLine="560"/>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5、税金执行《关于调整内蒙古自治区建筑工程计价依据增值税税率的通知》内建标【2019】113号文件，税率为9%。</w:t>
      </w:r>
    </w:p>
    <w:p w14:paraId="07C2FF28">
      <w:pPr>
        <w:spacing w:line="240" w:lineRule="auto"/>
        <w:ind w:left="0" w:firstLine="560" w:firstLineChars="0"/>
        <w:jc w:val="left"/>
        <w:rPr>
          <w:rFonts w:hint="default" w:ascii="仿宋_GB2312" w:hAnsi="新宋体" w:eastAsia="仿宋_GB2312"/>
          <w:sz w:val="28"/>
          <w:szCs w:val="28"/>
          <w:lang w:val="en-US" w:eastAsia="zh-CN"/>
        </w:rPr>
      </w:pPr>
      <w:r>
        <w:rPr>
          <w:rFonts w:hint="eastAsia" w:ascii="仿宋_GB2312" w:hAnsi="新宋体" w:eastAsia="仿宋_GB2312"/>
          <w:sz w:val="28"/>
          <w:szCs w:val="28"/>
          <w:lang w:val="en-US" w:eastAsia="zh-CN"/>
        </w:rPr>
        <w:t>6、材料价格参照鄂尔多斯建设工程造价管理站颁布的2024年8月份《鄂尔多斯工程造价信息》伊旗、康巴什新区材料价格、部分材料参考东胜地区及市场价格执行。</w:t>
      </w:r>
    </w:p>
    <w:p w14:paraId="75C93586">
      <w:pPr>
        <w:ind w:firstLine="560"/>
        <w:rPr>
          <w:rFonts w:hint="eastAsia" w:ascii="仿宋_GB2312" w:hAnsi="新宋体" w:eastAsia="仿宋_GB2312"/>
          <w:sz w:val="28"/>
          <w:szCs w:val="28"/>
          <w:lang w:val="en-US" w:eastAsia="zh-CN"/>
        </w:rPr>
      </w:pPr>
    </w:p>
    <w:p w14:paraId="6AD800D5">
      <w:pPr>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四、其他需要说明的问题</w:t>
      </w:r>
    </w:p>
    <w:p w14:paraId="2769F2FD">
      <w:pPr>
        <w:ind w:firstLine="560" w:firstLineChars="200"/>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1、本项目安装路灯共计1756盏，招标只提供安装一盏路灯的工程量清单，投标综合单价报价只需按单盏路灯报价，单盏价格乘以总盏数即为最终投标总价。</w:t>
      </w:r>
    </w:p>
    <w:p w14:paraId="441AA867">
      <w:pPr>
        <w:ind w:firstLine="560" w:firstLineChars="200"/>
        <w:rPr>
          <w:rFonts w:hint="default" w:ascii="仿宋_GB2312" w:hAnsi="新宋体" w:eastAsia="仿宋_GB2312"/>
          <w:sz w:val="28"/>
          <w:szCs w:val="28"/>
          <w:lang w:val="en-US" w:eastAsia="zh-CN"/>
        </w:rPr>
      </w:pPr>
      <w:r>
        <w:rPr>
          <w:rFonts w:hint="eastAsia" w:ascii="仿宋_GB2312" w:hAnsi="新宋体" w:eastAsia="仿宋_GB2312"/>
          <w:sz w:val="28"/>
          <w:szCs w:val="28"/>
          <w:lang w:val="en-US" w:eastAsia="zh-CN"/>
        </w:rPr>
        <w:t>2、未尽事宜，按相关规范要求执行。</w:t>
      </w:r>
    </w:p>
    <w:p w14:paraId="78E321F2">
      <w:pPr>
        <w:rPr>
          <w:rFonts w:hint="eastAsia" w:ascii="仿宋_GB2312" w:hAnsi="新宋体" w:eastAsia="仿宋_GB2312"/>
          <w:sz w:val="28"/>
          <w:szCs w:val="28"/>
          <w:lang w:val="en-US" w:eastAsia="zh-CN"/>
        </w:rPr>
      </w:pPr>
    </w:p>
    <w:p w14:paraId="5B13F643">
      <w:pPr>
        <w:numPr>
          <w:ilvl w:val="0"/>
          <w:numId w:val="0"/>
        </w:numPr>
        <w:ind w:firstLine="840" w:firstLineChars="300"/>
        <w:rPr>
          <w:rFonts w:hint="eastAsia" w:ascii="仿宋_GB2312" w:hAnsi="新宋体" w:eastAsia="仿宋_GB2312"/>
          <w:sz w:val="28"/>
          <w:szCs w:val="28"/>
          <w:lang w:val="en-US" w:eastAsia="zh-CN"/>
        </w:rPr>
      </w:pPr>
      <w:r>
        <w:rPr>
          <w:rFonts w:hint="eastAsia" w:ascii="仿宋_GB2312" w:hAnsi="新宋体" w:eastAsia="仿宋_GB2312"/>
          <w:sz w:val="28"/>
          <w:szCs w:val="28"/>
          <w:lang w:val="en-US" w:eastAsia="zh-CN"/>
        </w:rPr>
        <w:t xml:space="preserve"> </w:t>
      </w:r>
    </w:p>
    <w:sectPr>
      <w:pgSz w:w="11906" w:h="16838"/>
      <w:pgMar w:top="1134" w:right="1800" w:bottom="1134"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DB2C2C"/>
    <w:multiLevelType w:val="singleLevel"/>
    <w:tmpl w:val="B9DB2C2C"/>
    <w:lvl w:ilvl="0" w:tentative="0">
      <w:start w:val="1"/>
      <w:numFmt w:val="decimal"/>
      <w:suff w:val="nothing"/>
      <w:lvlText w:val="%1、"/>
      <w:lvlJc w:val="left"/>
    </w:lvl>
  </w:abstractNum>
  <w:abstractNum w:abstractNumId="1">
    <w:nsid w:val="C382DAA1"/>
    <w:multiLevelType w:val="singleLevel"/>
    <w:tmpl w:val="C382DAA1"/>
    <w:lvl w:ilvl="0" w:tentative="0">
      <w:start w:val="1"/>
      <w:numFmt w:val="decimal"/>
      <w:suff w:val="nothing"/>
      <w:lvlText w:val="%1、"/>
      <w:lvlJc w:val="left"/>
      <w:pPr>
        <w:ind w:left="560" w:leftChars="0" w:firstLine="0" w:firstLineChars="0"/>
      </w:pPr>
    </w:lvl>
  </w:abstractNum>
  <w:abstractNum w:abstractNumId="2">
    <w:nsid w:val="DE82C089"/>
    <w:multiLevelType w:val="singleLevel"/>
    <w:tmpl w:val="DE82C089"/>
    <w:lvl w:ilvl="0" w:tentative="0">
      <w:start w:val="1"/>
      <w:numFmt w:val="decimal"/>
      <w:suff w:val="nothing"/>
      <w:lvlText w:val="%1、"/>
      <w:lvlJc w:val="left"/>
    </w:lvl>
  </w:abstractNum>
  <w:abstractNum w:abstractNumId="3">
    <w:nsid w:val="58A7A274"/>
    <w:multiLevelType w:val="singleLevel"/>
    <w:tmpl w:val="58A7A274"/>
    <w:lvl w:ilvl="0" w:tentative="0">
      <w:start w:val="1"/>
      <w:numFmt w:val="chineseCounting"/>
      <w:suff w:val="nothing"/>
      <w:lvlText w:val="%1、"/>
      <w:lvlJc w:val="left"/>
    </w:lvl>
  </w:abstractNum>
  <w:abstractNum w:abstractNumId="4">
    <w:nsid w:val="644290D3"/>
    <w:multiLevelType w:val="singleLevel"/>
    <w:tmpl w:val="644290D3"/>
    <w:lvl w:ilvl="0" w:tentative="0">
      <w:start w:val="1"/>
      <w:numFmt w:val="chineseCounting"/>
      <w:suff w:val="nothing"/>
      <w:lvlText w:val="（%1）"/>
      <w:lvlJc w:val="left"/>
      <w:pPr>
        <w:ind w:left="630" w:leftChars="0" w:firstLine="0" w:firstLineChars="0"/>
      </w:pPr>
      <w:rPr>
        <w:rFonts w:hint="eastAsia"/>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3NTY3YzhjMTlkMDkxOWQ3NjFkMDAzMWJkNTFhNzUifQ=="/>
  </w:docVars>
  <w:rsids>
    <w:rsidRoot w:val="00000000"/>
    <w:rsid w:val="004C5468"/>
    <w:rsid w:val="00631FAE"/>
    <w:rsid w:val="00E749B1"/>
    <w:rsid w:val="034B54C5"/>
    <w:rsid w:val="038A570F"/>
    <w:rsid w:val="03AC7D7B"/>
    <w:rsid w:val="04354495"/>
    <w:rsid w:val="066A1827"/>
    <w:rsid w:val="067F52D3"/>
    <w:rsid w:val="076C1B5E"/>
    <w:rsid w:val="07702E6D"/>
    <w:rsid w:val="0895702F"/>
    <w:rsid w:val="08D960F1"/>
    <w:rsid w:val="08EB6C4F"/>
    <w:rsid w:val="09180B5C"/>
    <w:rsid w:val="09D14DB0"/>
    <w:rsid w:val="0A026946"/>
    <w:rsid w:val="0AC1224E"/>
    <w:rsid w:val="0B00275A"/>
    <w:rsid w:val="0B09160F"/>
    <w:rsid w:val="0CBD0903"/>
    <w:rsid w:val="0D6945E7"/>
    <w:rsid w:val="0E034A3B"/>
    <w:rsid w:val="0E105AF4"/>
    <w:rsid w:val="0E1C6778"/>
    <w:rsid w:val="0FA60646"/>
    <w:rsid w:val="104377F4"/>
    <w:rsid w:val="10654F2D"/>
    <w:rsid w:val="117D5CF9"/>
    <w:rsid w:val="123815D8"/>
    <w:rsid w:val="125748BC"/>
    <w:rsid w:val="134C78EE"/>
    <w:rsid w:val="141D3E78"/>
    <w:rsid w:val="14FC21E4"/>
    <w:rsid w:val="14FC3F92"/>
    <w:rsid w:val="157D4689"/>
    <w:rsid w:val="1582093B"/>
    <w:rsid w:val="15CE1E79"/>
    <w:rsid w:val="15EC4007"/>
    <w:rsid w:val="16832C7F"/>
    <w:rsid w:val="16A32070"/>
    <w:rsid w:val="18320B18"/>
    <w:rsid w:val="188E75F7"/>
    <w:rsid w:val="1BA809D0"/>
    <w:rsid w:val="1BFC2ACA"/>
    <w:rsid w:val="1C3D736A"/>
    <w:rsid w:val="1DA67191"/>
    <w:rsid w:val="1E0631F4"/>
    <w:rsid w:val="1EA57449"/>
    <w:rsid w:val="1EFF485B"/>
    <w:rsid w:val="1F220A99"/>
    <w:rsid w:val="1F903275"/>
    <w:rsid w:val="1FB00BDF"/>
    <w:rsid w:val="1FBA6059"/>
    <w:rsid w:val="21614247"/>
    <w:rsid w:val="228A0E2F"/>
    <w:rsid w:val="249F23A2"/>
    <w:rsid w:val="26F7280B"/>
    <w:rsid w:val="279B588D"/>
    <w:rsid w:val="290D4568"/>
    <w:rsid w:val="291A0180"/>
    <w:rsid w:val="29541186"/>
    <w:rsid w:val="29BA649E"/>
    <w:rsid w:val="29C36256"/>
    <w:rsid w:val="2A034191"/>
    <w:rsid w:val="2A09593A"/>
    <w:rsid w:val="2C862667"/>
    <w:rsid w:val="2D1F568C"/>
    <w:rsid w:val="2D634DA4"/>
    <w:rsid w:val="2DD83397"/>
    <w:rsid w:val="2DDD6BFF"/>
    <w:rsid w:val="2E271C28"/>
    <w:rsid w:val="2E6017EF"/>
    <w:rsid w:val="2E8A62ED"/>
    <w:rsid w:val="2F140D56"/>
    <w:rsid w:val="2F1E127D"/>
    <w:rsid w:val="301663F8"/>
    <w:rsid w:val="30C57B47"/>
    <w:rsid w:val="30DA5678"/>
    <w:rsid w:val="33955886"/>
    <w:rsid w:val="33AA1331"/>
    <w:rsid w:val="35E539AA"/>
    <w:rsid w:val="35F8467B"/>
    <w:rsid w:val="37AA71F7"/>
    <w:rsid w:val="386F66A6"/>
    <w:rsid w:val="38C77AD2"/>
    <w:rsid w:val="397228F1"/>
    <w:rsid w:val="3A4F2C33"/>
    <w:rsid w:val="3B376B08"/>
    <w:rsid w:val="3BC62A80"/>
    <w:rsid w:val="3C9C4444"/>
    <w:rsid w:val="3CCA6935"/>
    <w:rsid w:val="3D5E5D57"/>
    <w:rsid w:val="3EB01490"/>
    <w:rsid w:val="3F2F2BBB"/>
    <w:rsid w:val="3F353B15"/>
    <w:rsid w:val="40AC16BF"/>
    <w:rsid w:val="41DF2A86"/>
    <w:rsid w:val="42ED2FE9"/>
    <w:rsid w:val="43FA3AED"/>
    <w:rsid w:val="467A1037"/>
    <w:rsid w:val="470E0F17"/>
    <w:rsid w:val="479C6D8B"/>
    <w:rsid w:val="4814570F"/>
    <w:rsid w:val="486C49B0"/>
    <w:rsid w:val="48F350D1"/>
    <w:rsid w:val="49105C83"/>
    <w:rsid w:val="49274335"/>
    <w:rsid w:val="49641B2B"/>
    <w:rsid w:val="4B6B3406"/>
    <w:rsid w:val="4BDA5D76"/>
    <w:rsid w:val="4BF4363A"/>
    <w:rsid w:val="4C4C5224"/>
    <w:rsid w:val="4D621DE0"/>
    <w:rsid w:val="4D911551"/>
    <w:rsid w:val="4E0E5972"/>
    <w:rsid w:val="4E2E00FD"/>
    <w:rsid w:val="4EEC684A"/>
    <w:rsid w:val="500B71A4"/>
    <w:rsid w:val="502E2382"/>
    <w:rsid w:val="52083A16"/>
    <w:rsid w:val="522A7222"/>
    <w:rsid w:val="53DF24DA"/>
    <w:rsid w:val="541E38E3"/>
    <w:rsid w:val="543B784C"/>
    <w:rsid w:val="550146D2"/>
    <w:rsid w:val="550A17D8"/>
    <w:rsid w:val="55774A82"/>
    <w:rsid w:val="55C13506"/>
    <w:rsid w:val="55E85CD2"/>
    <w:rsid w:val="56811A81"/>
    <w:rsid w:val="56835CE6"/>
    <w:rsid w:val="56DA342C"/>
    <w:rsid w:val="56F02C50"/>
    <w:rsid w:val="570B0F4F"/>
    <w:rsid w:val="57145440"/>
    <w:rsid w:val="57224361"/>
    <w:rsid w:val="573C4C88"/>
    <w:rsid w:val="57BF1B86"/>
    <w:rsid w:val="58F35A2E"/>
    <w:rsid w:val="58F80D78"/>
    <w:rsid w:val="597E4543"/>
    <w:rsid w:val="59F75124"/>
    <w:rsid w:val="5ADB4ED9"/>
    <w:rsid w:val="5BAE0565"/>
    <w:rsid w:val="5BFF72D5"/>
    <w:rsid w:val="5D1611B7"/>
    <w:rsid w:val="5D850596"/>
    <w:rsid w:val="5E4E3D59"/>
    <w:rsid w:val="5F772160"/>
    <w:rsid w:val="5FA171DD"/>
    <w:rsid w:val="60AA3E6F"/>
    <w:rsid w:val="6133276B"/>
    <w:rsid w:val="616C7377"/>
    <w:rsid w:val="61EA2DB1"/>
    <w:rsid w:val="62D2433F"/>
    <w:rsid w:val="633627D4"/>
    <w:rsid w:val="63483A1D"/>
    <w:rsid w:val="63840F8F"/>
    <w:rsid w:val="65F31E15"/>
    <w:rsid w:val="6647145B"/>
    <w:rsid w:val="66E47BDC"/>
    <w:rsid w:val="67081010"/>
    <w:rsid w:val="685B14AE"/>
    <w:rsid w:val="69724459"/>
    <w:rsid w:val="6A5957C3"/>
    <w:rsid w:val="6AFB1E97"/>
    <w:rsid w:val="6C701707"/>
    <w:rsid w:val="6D1B10DC"/>
    <w:rsid w:val="6DFB5D0A"/>
    <w:rsid w:val="6E1E75B4"/>
    <w:rsid w:val="6E3A478C"/>
    <w:rsid w:val="6E8421A4"/>
    <w:rsid w:val="6F3B7A2E"/>
    <w:rsid w:val="71D62D16"/>
    <w:rsid w:val="72BA6194"/>
    <w:rsid w:val="72D82ABE"/>
    <w:rsid w:val="72E863DF"/>
    <w:rsid w:val="730440E4"/>
    <w:rsid w:val="733849B3"/>
    <w:rsid w:val="73520AC2"/>
    <w:rsid w:val="74117776"/>
    <w:rsid w:val="75F55735"/>
    <w:rsid w:val="760A11E0"/>
    <w:rsid w:val="760C5BDC"/>
    <w:rsid w:val="78006D3F"/>
    <w:rsid w:val="78B33DB1"/>
    <w:rsid w:val="790C72FD"/>
    <w:rsid w:val="7A3E76AA"/>
    <w:rsid w:val="7A804167"/>
    <w:rsid w:val="7AB03785"/>
    <w:rsid w:val="7B046B46"/>
    <w:rsid w:val="7C473A90"/>
    <w:rsid w:val="7C4F3DF1"/>
    <w:rsid w:val="7C9515AE"/>
    <w:rsid w:val="7C9D00CE"/>
    <w:rsid w:val="7DBB6970"/>
    <w:rsid w:val="7DD7780F"/>
    <w:rsid w:val="7E77509D"/>
    <w:rsid w:val="7F5479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910</Words>
  <Characters>1039</Characters>
  <Lines>0</Lines>
  <Paragraphs>0</Paragraphs>
  <TotalTime>0</TotalTime>
  <ScaleCrop>false</ScaleCrop>
  <LinksUpToDate>false</LinksUpToDate>
  <CharactersWithSpaces>1058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神父</cp:lastModifiedBy>
  <cp:lastPrinted>2021-08-16T07:23:00Z</cp:lastPrinted>
  <dcterms:modified xsi:type="dcterms:W3CDTF">2024-09-29T08:00:38Z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0C2D09EEA8C842D6821137F38FDBB1FE</vt:lpwstr>
  </property>
</Properties>
</file>