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adjustRightInd w:val="0"/>
        <w:snapToGrid w:val="0"/>
        <w:jc w:val="center"/>
        <w:rPr>
          <w:rFonts w:ascii="宋体" w:hAnsi="宋体" w:eastAsia="微软雅黑" w:cs="宋体"/>
          <w:b/>
          <w:bCs w:val="0"/>
          <w:sz w:val="32"/>
          <w:szCs w:val="32"/>
        </w:rPr>
      </w:pPr>
      <w:r>
        <w:rPr>
          <w:rFonts w:ascii="宋体" w:hAnsi="宋体" w:eastAsia="微软雅黑" w:cs="宋体"/>
          <w:b/>
          <w:bCs w:val="0"/>
          <w:sz w:val="32"/>
          <w:szCs w:val="32"/>
        </w:rPr>
        <w:t>技术规格、参数与要求</w:t>
      </w:r>
    </w:p>
    <w:p>
      <w:pPr>
        <w:spacing w:line="200" w:lineRule="exact"/>
        <w:jc w:val="center"/>
        <w:rPr>
          <w:rFonts w:ascii="宋体" w:hAnsi="宋体" w:eastAsia="微软雅黑" w:cs="宋体"/>
          <w:sz w:val="22"/>
          <w:szCs w:val="22"/>
        </w:rPr>
      </w:pPr>
    </w:p>
    <w:p>
      <w:pPr>
        <w:spacing w:line="460" w:lineRule="exact"/>
        <w:rPr>
          <w:rFonts w:ascii="宋体" w:hAnsi="宋体" w:cs="宋体"/>
          <w:bCs/>
          <w:sz w:val="22"/>
          <w:szCs w:val="22"/>
        </w:rPr>
      </w:pPr>
      <w:r>
        <w:rPr>
          <w:rFonts w:hint="eastAsia" w:ascii="宋体" w:hAnsi="宋体" w:cs="宋体"/>
          <w:bCs/>
          <w:sz w:val="22"/>
          <w:szCs w:val="22"/>
        </w:rPr>
        <w:t>（一）硅PU球场</w:t>
      </w:r>
    </w:p>
    <w:p>
      <w:pPr>
        <w:spacing w:line="360" w:lineRule="auto"/>
        <w:rPr>
          <w:rFonts w:ascii="宋体" w:hAnsi="宋体" w:cs="宋体"/>
          <w:b/>
          <w:sz w:val="22"/>
          <w:szCs w:val="22"/>
        </w:rPr>
      </w:pPr>
      <w:r>
        <w:rPr>
          <w:rFonts w:hint="eastAsia" w:ascii="宋体" w:hAnsi="宋体" w:cs="宋体"/>
          <w:b/>
          <w:sz w:val="22"/>
          <w:szCs w:val="22"/>
        </w:rPr>
        <w:t>1、整体要求</w:t>
      </w:r>
    </w:p>
    <w:p>
      <w:pPr>
        <w:spacing w:line="360" w:lineRule="auto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1.1 外观要求：无裂纹、分层、龟裂、鳄鱼皮裂和玻璃裂纹等现象，无明显凹凸现象，表面色泽均匀、耐久。</w:t>
      </w:r>
    </w:p>
    <w:p>
      <w:pPr>
        <w:spacing w:line="360" w:lineRule="auto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1.2标志线：标志线应清晰、不反光，无明显虚边、与面层粘合牢固。各标志线位置距终点线间的距离长度不允许出现负差，其正差应小于1/1000。符合国际田径协会联合会场地设施标准相关规定。</w:t>
      </w:r>
    </w:p>
    <w:p>
      <w:pPr>
        <w:spacing w:line="360" w:lineRule="auto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 xml:space="preserve">1.3平整度合格率：硅PU面层平整度合格率不小于85%。 </w:t>
      </w:r>
    </w:p>
    <w:p>
      <w:pPr>
        <w:spacing w:line="360" w:lineRule="auto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1.4厚度：硅PU球场面层的厚度根据现场制定。</w:t>
      </w:r>
    </w:p>
    <w:p>
      <w:pPr>
        <w:spacing w:line="360" w:lineRule="auto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1.5坡度：</w:t>
      </w:r>
      <w:r>
        <w:rPr>
          <w:rFonts w:hint="eastAsia" w:ascii="宋体" w:hAnsi="宋体" w:cs="宋体"/>
          <w:color w:val="000000"/>
          <w:sz w:val="22"/>
          <w:szCs w:val="22"/>
          <w:shd w:val="clear" w:color="auto" w:fill="FFFFFF"/>
        </w:rPr>
        <w:t>满足排水要求</w:t>
      </w:r>
      <w:r>
        <w:rPr>
          <w:rFonts w:hint="eastAsia" w:ascii="宋体" w:hAnsi="宋体" w:cs="宋体"/>
          <w:sz w:val="22"/>
          <w:szCs w:val="22"/>
        </w:rPr>
        <w:t>。</w:t>
      </w:r>
    </w:p>
    <w:p>
      <w:pPr>
        <w:spacing w:line="460" w:lineRule="exact"/>
        <w:rPr>
          <w:rFonts w:ascii="宋体" w:hAnsi="宋体" w:cs="宋体"/>
          <w:b/>
          <w:sz w:val="22"/>
          <w:szCs w:val="22"/>
        </w:rPr>
      </w:pPr>
      <w:r>
        <w:rPr>
          <w:rFonts w:hint="eastAsia" w:ascii="宋体" w:hAnsi="宋体" w:cs="宋体"/>
          <w:b/>
          <w:sz w:val="22"/>
          <w:szCs w:val="22"/>
        </w:rPr>
        <w:t>2、产品技术指标</w:t>
      </w:r>
    </w:p>
    <w:p>
      <w:pPr>
        <w:spacing w:line="4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2.1硅PU球场符合 GB36246-2018《中小学合成材料面层运动场地》成品中有害物质限量要求：</w:t>
      </w:r>
    </w:p>
    <w:tbl>
      <w:tblPr>
        <w:tblStyle w:val="5"/>
        <w:tblW w:w="0" w:type="auto"/>
        <w:tblInd w:w="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6"/>
        <w:gridCol w:w="6434"/>
        <w:gridCol w:w="12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7490" w:type="dxa"/>
            <w:gridSpan w:val="2"/>
          </w:tcPr>
          <w:p>
            <w:pPr>
              <w:pStyle w:val="10"/>
              <w:spacing w:before="152"/>
              <w:ind w:left="3305" w:right="3294"/>
              <w:jc w:val="center"/>
            </w:pPr>
            <w:r>
              <w:t>检测项目</w:t>
            </w:r>
          </w:p>
        </w:tc>
        <w:tc>
          <w:tcPr>
            <w:tcW w:w="1268" w:type="dxa"/>
          </w:tcPr>
          <w:p>
            <w:pPr>
              <w:pStyle w:val="10"/>
              <w:spacing w:before="152"/>
              <w:ind w:left="212"/>
            </w:pPr>
            <w:r>
              <w:t>技术要求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056" w:type="dxa"/>
            <w:vMerge w:val="restart"/>
          </w:tcPr>
          <w:p>
            <w:pPr>
              <w:pStyle w:val="10"/>
              <w:rPr>
                <w:b/>
                <w:sz w:val="20"/>
              </w:rPr>
            </w:pPr>
          </w:p>
          <w:p>
            <w:pPr>
              <w:pStyle w:val="10"/>
              <w:rPr>
                <w:b/>
                <w:sz w:val="20"/>
              </w:rPr>
            </w:pPr>
          </w:p>
          <w:p>
            <w:pPr>
              <w:pStyle w:val="10"/>
              <w:rPr>
                <w:b/>
                <w:sz w:val="20"/>
              </w:rPr>
            </w:pPr>
          </w:p>
          <w:p>
            <w:pPr>
              <w:pStyle w:val="10"/>
              <w:rPr>
                <w:b/>
                <w:sz w:val="20"/>
              </w:rPr>
            </w:pPr>
          </w:p>
          <w:p>
            <w:pPr>
              <w:pStyle w:val="10"/>
              <w:rPr>
                <w:b/>
                <w:sz w:val="20"/>
              </w:rPr>
            </w:pPr>
          </w:p>
          <w:p>
            <w:pPr>
              <w:pStyle w:val="10"/>
              <w:rPr>
                <w:b/>
                <w:sz w:val="20"/>
              </w:rPr>
            </w:pPr>
          </w:p>
          <w:p>
            <w:pPr>
              <w:pStyle w:val="10"/>
              <w:rPr>
                <w:b/>
                <w:sz w:val="20"/>
              </w:rPr>
            </w:pPr>
          </w:p>
          <w:p>
            <w:pPr>
              <w:pStyle w:val="10"/>
              <w:rPr>
                <w:b/>
                <w:sz w:val="20"/>
              </w:rPr>
            </w:pPr>
          </w:p>
          <w:p>
            <w:pPr>
              <w:pStyle w:val="10"/>
              <w:rPr>
                <w:b/>
                <w:sz w:val="20"/>
              </w:rPr>
            </w:pPr>
          </w:p>
          <w:p>
            <w:pPr>
              <w:pStyle w:val="10"/>
              <w:rPr>
                <w:b/>
                <w:sz w:val="20"/>
              </w:rPr>
            </w:pPr>
          </w:p>
          <w:p>
            <w:pPr>
              <w:pStyle w:val="10"/>
              <w:rPr>
                <w:b/>
                <w:sz w:val="20"/>
              </w:rPr>
            </w:pPr>
          </w:p>
          <w:p>
            <w:pPr>
              <w:pStyle w:val="10"/>
              <w:rPr>
                <w:b/>
                <w:sz w:val="20"/>
              </w:rPr>
            </w:pPr>
          </w:p>
          <w:p>
            <w:pPr>
              <w:pStyle w:val="10"/>
              <w:rPr>
                <w:b/>
                <w:sz w:val="20"/>
              </w:rPr>
            </w:pPr>
          </w:p>
          <w:p>
            <w:pPr>
              <w:pStyle w:val="10"/>
              <w:spacing w:before="163" w:line="230" w:lineRule="auto"/>
              <w:ind w:left="107" w:right="93"/>
            </w:pPr>
            <w:r>
              <w:t>有害物质含量</w:t>
            </w:r>
          </w:p>
        </w:tc>
        <w:tc>
          <w:tcPr>
            <w:tcW w:w="6434" w:type="dxa"/>
          </w:tcPr>
          <w:p>
            <w:pPr>
              <w:pStyle w:val="10"/>
              <w:spacing w:before="142"/>
              <w:ind w:left="107"/>
            </w:pPr>
            <w:r>
              <w:t xml:space="preserve">3 种邻苯二甲酸酯类化合物（DBP、BBP、DEHP）总和 </w:t>
            </w:r>
            <w:r>
              <w:rPr>
                <w:position w:val="11"/>
                <w:sz w:val="11"/>
              </w:rPr>
              <w:t>a</w:t>
            </w:r>
            <w:r>
              <w:t>/（g/kg）</w:t>
            </w:r>
          </w:p>
        </w:tc>
        <w:tc>
          <w:tcPr>
            <w:tcW w:w="1268" w:type="dxa"/>
          </w:tcPr>
          <w:p>
            <w:pPr>
              <w:pStyle w:val="10"/>
              <w:spacing w:before="152"/>
              <w:ind w:left="107"/>
            </w:pPr>
            <w:r>
              <w:t>≤1.0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05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4" w:type="dxa"/>
          </w:tcPr>
          <w:p>
            <w:pPr>
              <w:pStyle w:val="10"/>
              <w:spacing w:before="142"/>
              <w:ind w:left="107"/>
            </w:pPr>
            <w:r>
              <w:t xml:space="preserve">3 种邻苯二甲酸酯类化合物（DNOP、DINP、DIDP）总和 </w:t>
            </w:r>
            <w:r>
              <w:rPr>
                <w:position w:val="11"/>
                <w:sz w:val="11"/>
              </w:rPr>
              <w:t>a</w:t>
            </w:r>
            <w:r>
              <w:t>/（g/kg）</w:t>
            </w:r>
          </w:p>
        </w:tc>
        <w:tc>
          <w:tcPr>
            <w:tcW w:w="1268" w:type="dxa"/>
          </w:tcPr>
          <w:p>
            <w:pPr>
              <w:pStyle w:val="10"/>
              <w:spacing w:before="152"/>
              <w:ind w:left="107"/>
            </w:pPr>
            <w:r>
              <w:t>≤1.0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05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4" w:type="dxa"/>
          </w:tcPr>
          <w:p>
            <w:pPr>
              <w:pStyle w:val="10"/>
              <w:spacing w:before="148"/>
            </w:pPr>
            <w:r>
              <w:t>18 种多环芳烃总和 /（mg/kg）</w:t>
            </w:r>
          </w:p>
        </w:tc>
        <w:tc>
          <w:tcPr>
            <w:tcW w:w="1268" w:type="dxa"/>
          </w:tcPr>
          <w:p>
            <w:pPr>
              <w:pStyle w:val="10"/>
              <w:spacing w:before="152"/>
              <w:ind w:left="107"/>
            </w:pPr>
            <w:r>
              <w:t>≤50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05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4" w:type="dxa"/>
            <w:tcBorders>
              <w:bottom w:val="single" w:color="000000" w:sz="6" w:space="0"/>
            </w:tcBorders>
          </w:tcPr>
          <w:p>
            <w:pPr>
              <w:pStyle w:val="10"/>
              <w:spacing w:before="152"/>
              <w:ind w:left="107"/>
              <w:rPr>
                <w:lang w:val="en-US"/>
              </w:rPr>
            </w:pPr>
            <w:r>
              <w:t>苯并</w:t>
            </w:r>
            <w:r>
              <w:rPr>
                <w:lang w:val="en-US"/>
              </w:rPr>
              <w:t>[a]</w:t>
            </w:r>
            <w:r>
              <w:t>芘</w:t>
            </w:r>
            <w:r>
              <w:rPr>
                <w:lang w:val="en-US"/>
              </w:rPr>
              <w:t>/（mg/kg）</w:t>
            </w:r>
          </w:p>
        </w:tc>
        <w:tc>
          <w:tcPr>
            <w:tcW w:w="1268" w:type="dxa"/>
            <w:tcBorders>
              <w:bottom w:val="single" w:color="000000" w:sz="6" w:space="0"/>
            </w:tcBorders>
          </w:tcPr>
          <w:p>
            <w:pPr>
              <w:pStyle w:val="10"/>
              <w:spacing w:before="152"/>
              <w:ind w:left="107"/>
            </w:pPr>
            <w:r>
              <w:t>≤1.0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05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4" w:type="dxa"/>
            <w:tcBorders>
              <w:top w:val="single" w:color="000000" w:sz="6" w:space="0"/>
            </w:tcBorders>
          </w:tcPr>
          <w:p>
            <w:pPr>
              <w:pStyle w:val="10"/>
              <w:spacing w:before="149"/>
              <w:ind w:left="107"/>
            </w:pPr>
            <w:r>
              <w:rPr>
                <w:position w:val="1"/>
              </w:rPr>
              <w:t>短链氯化石腊（C</w:t>
            </w:r>
            <w:r>
              <w:rPr>
                <w:sz w:val="11"/>
              </w:rPr>
              <w:t>10</w:t>
            </w:r>
            <w:r>
              <w:rPr>
                <w:position w:val="1"/>
              </w:rPr>
              <w:t>-C</w:t>
            </w:r>
            <w:r>
              <w:rPr>
                <w:sz w:val="11"/>
              </w:rPr>
              <w:t>13</w:t>
            </w:r>
            <w:r>
              <w:rPr>
                <w:position w:val="1"/>
              </w:rPr>
              <w:t>）/（g/kg）</w:t>
            </w:r>
          </w:p>
        </w:tc>
        <w:tc>
          <w:tcPr>
            <w:tcW w:w="1268" w:type="dxa"/>
            <w:tcBorders>
              <w:top w:val="single" w:color="000000" w:sz="6" w:space="0"/>
            </w:tcBorders>
          </w:tcPr>
          <w:p>
            <w:pPr>
              <w:pStyle w:val="10"/>
              <w:spacing w:before="150"/>
              <w:ind w:left="107"/>
            </w:pPr>
            <w:r>
              <w:t>≤1.5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05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4" w:type="dxa"/>
          </w:tcPr>
          <w:p>
            <w:pPr>
              <w:pStyle w:val="10"/>
              <w:spacing w:before="142"/>
              <w:ind w:left="107"/>
              <w:rPr>
                <w:lang w:val="en-US"/>
              </w:rPr>
            </w:pPr>
            <w:r>
              <w:rPr>
                <w:lang w:val="en-US"/>
              </w:rPr>
              <w:t>4,4</w:t>
            </w:r>
            <w:r>
              <w:rPr>
                <w:position w:val="11"/>
                <w:sz w:val="11"/>
                <w:lang w:val="en-US"/>
              </w:rPr>
              <w:t>,</w:t>
            </w:r>
            <w:r>
              <w:rPr>
                <w:lang w:val="en-US"/>
              </w:rPr>
              <w:t>-</w:t>
            </w:r>
            <w:r>
              <w:t>二氨基</w:t>
            </w:r>
            <w:r>
              <w:rPr>
                <w:lang w:val="en-US"/>
              </w:rPr>
              <w:t>-3,3</w:t>
            </w:r>
            <w:r>
              <w:rPr>
                <w:position w:val="11"/>
                <w:sz w:val="11"/>
                <w:lang w:val="en-US"/>
              </w:rPr>
              <w:t>,</w:t>
            </w:r>
            <w:r>
              <w:rPr>
                <w:lang w:val="en-US"/>
              </w:rPr>
              <w:t>-</w:t>
            </w:r>
            <w:r>
              <w:t>二氯二苯甲烷</w:t>
            </w:r>
            <w:r>
              <w:rPr>
                <w:lang w:val="en-US"/>
              </w:rPr>
              <w:t>（MOCA）/（g/kg）</w:t>
            </w:r>
          </w:p>
        </w:tc>
        <w:tc>
          <w:tcPr>
            <w:tcW w:w="1268" w:type="dxa"/>
          </w:tcPr>
          <w:p>
            <w:pPr>
              <w:pStyle w:val="10"/>
              <w:spacing w:before="152"/>
              <w:ind w:left="107"/>
            </w:pPr>
            <w:r>
              <w:t>≤1.0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05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4" w:type="dxa"/>
          </w:tcPr>
          <w:p>
            <w:pPr>
              <w:pStyle w:val="10"/>
              <w:spacing w:before="22" w:line="264" w:lineRule="exact"/>
              <w:ind w:left="107"/>
            </w:pPr>
            <w:r>
              <w:t>游离甲苯二异氰酸酯（TDI）和游离六亚甲基二异氰酸酯（HDI）总和</w:t>
            </w:r>
          </w:p>
          <w:p>
            <w:pPr>
              <w:pStyle w:val="10"/>
              <w:spacing w:line="259" w:lineRule="exact"/>
              <w:ind w:left="107"/>
            </w:pPr>
            <w:r>
              <w:t>/（g/kg）</w:t>
            </w:r>
          </w:p>
        </w:tc>
        <w:tc>
          <w:tcPr>
            <w:tcW w:w="1268" w:type="dxa"/>
          </w:tcPr>
          <w:p>
            <w:pPr>
              <w:pStyle w:val="10"/>
              <w:spacing w:before="152"/>
              <w:ind w:left="107"/>
            </w:pPr>
            <w:r>
              <w:t>≤0.2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05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4" w:type="dxa"/>
          </w:tcPr>
          <w:p>
            <w:pPr>
              <w:pStyle w:val="10"/>
              <w:spacing w:before="154"/>
              <w:ind w:left="107"/>
              <w:rPr>
                <w:lang w:val="en-US"/>
              </w:rPr>
            </w:pPr>
            <w:r>
              <w:t>游离二苯基甲烷二异氰酸酯</w:t>
            </w:r>
            <w:r>
              <w:rPr>
                <w:lang w:val="en-US"/>
              </w:rPr>
              <w:t>（MDI）/（g/kg）</w:t>
            </w:r>
          </w:p>
        </w:tc>
        <w:tc>
          <w:tcPr>
            <w:tcW w:w="1268" w:type="dxa"/>
          </w:tcPr>
          <w:p>
            <w:pPr>
              <w:pStyle w:val="10"/>
              <w:spacing w:before="154"/>
              <w:ind w:left="107"/>
            </w:pPr>
            <w:r>
              <w:t>≤1.0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05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4" w:type="dxa"/>
          </w:tcPr>
          <w:p>
            <w:pPr>
              <w:pStyle w:val="10"/>
              <w:spacing w:before="152"/>
              <w:ind w:left="107"/>
            </w:pPr>
            <w:r>
              <w:t>可溶性铅/（mg/kg）</w:t>
            </w:r>
          </w:p>
        </w:tc>
        <w:tc>
          <w:tcPr>
            <w:tcW w:w="1268" w:type="dxa"/>
          </w:tcPr>
          <w:p>
            <w:pPr>
              <w:pStyle w:val="10"/>
              <w:spacing w:before="152"/>
              <w:ind w:left="107"/>
            </w:pPr>
            <w:r>
              <w:t>≤50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05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4" w:type="dxa"/>
          </w:tcPr>
          <w:p>
            <w:pPr>
              <w:pStyle w:val="10"/>
              <w:spacing w:before="152"/>
              <w:ind w:left="107"/>
            </w:pPr>
            <w:r>
              <w:t>可溶性镉/（mg/kg）</w:t>
            </w:r>
          </w:p>
        </w:tc>
        <w:tc>
          <w:tcPr>
            <w:tcW w:w="1268" w:type="dxa"/>
          </w:tcPr>
          <w:p>
            <w:pPr>
              <w:pStyle w:val="10"/>
              <w:spacing w:before="152"/>
              <w:ind w:left="107"/>
            </w:pPr>
            <w:r>
              <w:t>≤10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05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4" w:type="dxa"/>
          </w:tcPr>
          <w:p>
            <w:pPr>
              <w:pStyle w:val="10"/>
              <w:spacing w:before="152"/>
              <w:ind w:left="107"/>
            </w:pPr>
            <w:r>
              <w:t>可溶性铬/（mg/kg）</w:t>
            </w:r>
          </w:p>
        </w:tc>
        <w:tc>
          <w:tcPr>
            <w:tcW w:w="1268" w:type="dxa"/>
          </w:tcPr>
          <w:p>
            <w:pPr>
              <w:pStyle w:val="10"/>
              <w:spacing w:before="152"/>
              <w:ind w:left="107"/>
            </w:pPr>
            <w:r>
              <w:t>≤10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05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4" w:type="dxa"/>
          </w:tcPr>
          <w:p>
            <w:pPr>
              <w:pStyle w:val="10"/>
              <w:spacing w:before="152"/>
              <w:ind w:left="107"/>
              <w:rPr>
                <w:lang w:val="en-US"/>
              </w:rPr>
            </w:pPr>
            <w:r>
              <w:t>可溶性汞</w:t>
            </w:r>
            <w:r>
              <w:rPr>
                <w:lang w:val="en-US"/>
              </w:rPr>
              <w:t>/（mg/kg）</w:t>
            </w:r>
          </w:p>
        </w:tc>
        <w:tc>
          <w:tcPr>
            <w:tcW w:w="1268" w:type="dxa"/>
          </w:tcPr>
          <w:p>
            <w:pPr>
              <w:pStyle w:val="10"/>
              <w:spacing w:before="152"/>
              <w:ind w:left="107"/>
            </w:pPr>
            <w:r>
              <w:t>≤2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056" w:type="dxa"/>
            <w:vMerge w:val="restart"/>
          </w:tcPr>
          <w:p>
            <w:pPr>
              <w:pStyle w:val="10"/>
              <w:rPr>
                <w:b/>
                <w:sz w:val="20"/>
              </w:rPr>
            </w:pPr>
          </w:p>
          <w:p>
            <w:pPr>
              <w:pStyle w:val="10"/>
              <w:spacing w:before="4"/>
              <w:rPr>
                <w:b/>
                <w:sz w:val="27"/>
              </w:rPr>
            </w:pPr>
          </w:p>
          <w:p>
            <w:pPr>
              <w:pStyle w:val="10"/>
              <w:spacing w:before="1" w:line="230" w:lineRule="auto"/>
              <w:ind w:left="107" w:right="93"/>
            </w:pPr>
            <w:r>
              <w:t>有害物质释放量</w:t>
            </w:r>
          </w:p>
        </w:tc>
        <w:tc>
          <w:tcPr>
            <w:tcW w:w="6434" w:type="dxa"/>
          </w:tcPr>
          <w:p>
            <w:pPr>
              <w:pStyle w:val="10"/>
              <w:spacing w:before="142"/>
              <w:ind w:left="107"/>
            </w:pPr>
            <w:r>
              <w:t>总挥发性有机化合物（TV0C）/（mg/(m</w:t>
            </w:r>
            <w:r>
              <w:rPr>
                <w:position w:val="11"/>
                <w:sz w:val="11"/>
              </w:rPr>
              <w:t>2</w:t>
            </w:r>
            <w:r>
              <w:t>·h）)</w:t>
            </w:r>
          </w:p>
        </w:tc>
        <w:tc>
          <w:tcPr>
            <w:tcW w:w="1268" w:type="dxa"/>
          </w:tcPr>
          <w:p>
            <w:pPr>
              <w:pStyle w:val="10"/>
              <w:spacing w:before="152"/>
              <w:ind w:left="107"/>
            </w:pPr>
            <w:r>
              <w:t>≤5.0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056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4" w:type="dxa"/>
          </w:tcPr>
          <w:p>
            <w:pPr>
              <w:pStyle w:val="10"/>
              <w:spacing w:before="142"/>
              <w:ind w:left="107"/>
            </w:pPr>
            <w:r>
              <w:t>甲醛/（mg/(m</w:t>
            </w:r>
            <w:r>
              <w:rPr>
                <w:position w:val="11"/>
                <w:sz w:val="11"/>
              </w:rPr>
              <w:t>2</w:t>
            </w:r>
            <w:r>
              <w:t>·h）)</w:t>
            </w:r>
          </w:p>
        </w:tc>
        <w:tc>
          <w:tcPr>
            <w:tcW w:w="1268" w:type="dxa"/>
          </w:tcPr>
          <w:p>
            <w:pPr>
              <w:pStyle w:val="10"/>
              <w:spacing w:before="152"/>
              <w:ind w:left="107"/>
            </w:pPr>
            <w:r>
              <w:t>≤0.4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056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4" w:type="dxa"/>
          </w:tcPr>
          <w:p>
            <w:pPr>
              <w:pStyle w:val="10"/>
              <w:spacing w:before="142"/>
              <w:ind w:left="107"/>
            </w:pPr>
            <w:r>
              <w:t>苯/（mg/(m</w:t>
            </w:r>
            <w:r>
              <w:rPr>
                <w:position w:val="11"/>
                <w:sz w:val="11"/>
              </w:rPr>
              <w:t>2</w:t>
            </w:r>
            <w:r>
              <w:t>·h）)</w:t>
            </w:r>
          </w:p>
        </w:tc>
        <w:tc>
          <w:tcPr>
            <w:tcW w:w="1268" w:type="dxa"/>
          </w:tcPr>
          <w:p>
            <w:pPr>
              <w:pStyle w:val="10"/>
              <w:spacing w:before="152"/>
              <w:ind w:left="107"/>
            </w:pPr>
            <w:r>
              <w:t>≤1.0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056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4" w:type="dxa"/>
          </w:tcPr>
          <w:p>
            <w:pPr>
              <w:pStyle w:val="10"/>
              <w:spacing w:before="142"/>
              <w:ind w:left="107"/>
            </w:pPr>
            <w:r>
              <w:rPr>
                <w:rFonts w:hint="eastAsia"/>
              </w:rPr>
              <w:t>甲苯、二甲苯和乙苯总和</w:t>
            </w:r>
            <w:r>
              <w:t>/（mg/(m</w:t>
            </w:r>
            <w:r>
              <w:rPr>
                <w:position w:val="11"/>
                <w:sz w:val="11"/>
              </w:rPr>
              <w:t>2</w:t>
            </w:r>
            <w:r>
              <w:t>·h）)</w:t>
            </w:r>
          </w:p>
        </w:tc>
        <w:tc>
          <w:tcPr>
            <w:tcW w:w="1268" w:type="dxa"/>
          </w:tcPr>
          <w:p>
            <w:pPr>
              <w:pStyle w:val="10"/>
              <w:spacing w:before="152"/>
              <w:ind w:left="107"/>
              <w:rPr>
                <w:lang w:val="en-US"/>
              </w:rPr>
            </w:pPr>
            <w:r>
              <w:rPr>
                <w:rFonts w:hint="eastAsia"/>
              </w:rPr>
              <w:t>≤</w:t>
            </w:r>
            <w:r>
              <w:rPr>
                <w:rFonts w:hint="eastAsia"/>
                <w:lang w:val="en-US"/>
              </w:rPr>
              <w:t>1.0</w:t>
            </w:r>
          </w:p>
        </w:tc>
      </w:tr>
    </w:tbl>
    <w:p>
      <w:pPr>
        <w:spacing w:line="4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2.2硅PU球场物理性能符合 GB36246-2018《中小学合成材料面层运动场地》的要求：</w:t>
      </w:r>
    </w:p>
    <w:tbl>
      <w:tblPr>
        <w:tblStyle w:val="5"/>
        <w:tblW w:w="0" w:type="auto"/>
        <w:tblInd w:w="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6"/>
        <w:gridCol w:w="4155"/>
        <w:gridCol w:w="28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5681" w:type="dxa"/>
            <w:gridSpan w:val="2"/>
          </w:tcPr>
          <w:p>
            <w:pPr>
              <w:pStyle w:val="10"/>
              <w:spacing w:before="162"/>
              <w:ind w:left="2399" w:right="2391"/>
              <w:jc w:val="center"/>
            </w:pPr>
            <w:r>
              <w:t>检测项目</w:t>
            </w:r>
          </w:p>
        </w:tc>
        <w:tc>
          <w:tcPr>
            <w:tcW w:w="2842" w:type="dxa"/>
          </w:tcPr>
          <w:p>
            <w:pPr>
              <w:pStyle w:val="10"/>
              <w:spacing w:before="162"/>
              <w:ind w:left="983" w:right="969"/>
              <w:jc w:val="center"/>
            </w:pPr>
            <w:r>
              <w:t>技术要求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526" w:type="dxa"/>
          </w:tcPr>
          <w:p>
            <w:pPr>
              <w:pStyle w:val="10"/>
              <w:spacing w:before="164"/>
              <w:ind w:left="107"/>
            </w:pPr>
            <w:r>
              <w:t>厚度</w:t>
            </w:r>
          </w:p>
        </w:tc>
        <w:tc>
          <w:tcPr>
            <w:tcW w:w="4155" w:type="dxa"/>
          </w:tcPr>
          <w:p>
            <w:pPr>
              <w:pStyle w:val="10"/>
              <w:spacing w:before="164"/>
              <w:ind w:left="108"/>
            </w:pPr>
            <w:r>
              <w:t>田径场地</w:t>
            </w:r>
          </w:p>
        </w:tc>
        <w:tc>
          <w:tcPr>
            <w:tcW w:w="2842" w:type="dxa"/>
          </w:tcPr>
          <w:p>
            <w:pPr>
              <w:pStyle w:val="10"/>
              <w:spacing w:before="164"/>
              <w:ind w:left="108"/>
            </w:pPr>
            <w:r>
              <w:t>≥</w:t>
            </w:r>
            <w:r>
              <w:rPr>
                <w:rFonts w:hint="eastAsia"/>
                <w:lang w:val="en-US"/>
              </w:rPr>
              <w:t>8</w:t>
            </w:r>
            <w:r>
              <w:t>mm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526" w:type="dxa"/>
            <w:vMerge w:val="restart"/>
          </w:tcPr>
          <w:p>
            <w:pPr>
              <w:pStyle w:val="10"/>
              <w:rPr>
                <w:b/>
                <w:sz w:val="20"/>
              </w:rPr>
            </w:pPr>
          </w:p>
          <w:p>
            <w:pPr>
              <w:pStyle w:val="10"/>
              <w:rPr>
                <w:b/>
                <w:sz w:val="20"/>
              </w:rPr>
            </w:pPr>
          </w:p>
          <w:p>
            <w:pPr>
              <w:pStyle w:val="10"/>
              <w:rPr>
                <w:b/>
                <w:sz w:val="20"/>
              </w:rPr>
            </w:pPr>
          </w:p>
          <w:p>
            <w:pPr>
              <w:pStyle w:val="10"/>
              <w:rPr>
                <w:b/>
                <w:sz w:val="20"/>
              </w:rPr>
            </w:pPr>
          </w:p>
          <w:p>
            <w:pPr>
              <w:pStyle w:val="10"/>
              <w:rPr>
                <w:b/>
                <w:sz w:val="20"/>
              </w:rPr>
            </w:pPr>
          </w:p>
          <w:p>
            <w:pPr>
              <w:pStyle w:val="10"/>
              <w:spacing w:before="177" w:line="266" w:lineRule="auto"/>
              <w:ind w:left="107" w:right="94"/>
            </w:pPr>
            <w:r>
              <w:t>现浇型物理机械性能</w:t>
            </w:r>
          </w:p>
        </w:tc>
        <w:tc>
          <w:tcPr>
            <w:tcW w:w="4155" w:type="dxa"/>
          </w:tcPr>
          <w:p>
            <w:pPr>
              <w:pStyle w:val="10"/>
              <w:spacing w:before="164"/>
              <w:ind w:left="108"/>
            </w:pPr>
            <w:r>
              <w:t>冲击吸收/（%）</w:t>
            </w:r>
          </w:p>
        </w:tc>
        <w:tc>
          <w:tcPr>
            <w:tcW w:w="2842" w:type="dxa"/>
          </w:tcPr>
          <w:p>
            <w:pPr>
              <w:pStyle w:val="10"/>
              <w:spacing w:before="164"/>
              <w:ind w:left="108"/>
            </w:pPr>
            <w:r>
              <w:rPr>
                <w:rFonts w:hint="eastAsia"/>
                <w:lang w:val="en-US"/>
              </w:rPr>
              <w:t>20</w:t>
            </w:r>
            <w:r>
              <w:t>～50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52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55" w:type="dxa"/>
          </w:tcPr>
          <w:p>
            <w:pPr>
              <w:pStyle w:val="10"/>
              <w:spacing w:before="165"/>
              <w:ind w:left="108"/>
              <w:rPr>
                <w:lang w:val="en-US"/>
              </w:rPr>
            </w:pPr>
            <w:r>
              <w:t>抗滑值</w:t>
            </w:r>
            <w:r>
              <w:rPr>
                <w:lang w:val="en-US"/>
              </w:rPr>
              <w:t>/（BPN，20℃）</w:t>
            </w:r>
          </w:p>
        </w:tc>
        <w:tc>
          <w:tcPr>
            <w:tcW w:w="2842" w:type="dxa"/>
          </w:tcPr>
          <w:p>
            <w:pPr>
              <w:pStyle w:val="10"/>
              <w:spacing w:before="165"/>
              <w:ind w:left="108"/>
              <w:rPr>
                <w:lang w:val="en-US"/>
              </w:rPr>
            </w:pPr>
            <w:r>
              <w:rPr>
                <w:rFonts w:hint="eastAsia"/>
                <w:lang w:val="en-US"/>
              </w:rPr>
              <w:t>80</w:t>
            </w:r>
            <w:r>
              <w:t>～</w:t>
            </w:r>
            <w:r>
              <w:rPr>
                <w:rFonts w:hint="eastAsia"/>
                <w:lang w:val="en-US"/>
              </w:rPr>
              <w:t>110（干测）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52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55" w:type="dxa"/>
          </w:tcPr>
          <w:p>
            <w:pPr>
              <w:pStyle w:val="10"/>
              <w:spacing w:before="164"/>
              <w:ind w:left="108"/>
            </w:pPr>
            <w:r>
              <w:t>拉伸强度/（MPa）</w:t>
            </w:r>
          </w:p>
        </w:tc>
        <w:tc>
          <w:tcPr>
            <w:tcW w:w="2842" w:type="dxa"/>
          </w:tcPr>
          <w:p>
            <w:pPr>
              <w:pStyle w:val="10"/>
              <w:spacing w:before="164"/>
              <w:ind w:left="108"/>
            </w:pPr>
            <w:r>
              <w:t>≥0.</w:t>
            </w:r>
            <w:r>
              <w:rPr>
                <w:rFonts w:hint="eastAsia"/>
                <w:lang w:val="en-US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52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55" w:type="dxa"/>
          </w:tcPr>
          <w:p>
            <w:pPr>
              <w:pStyle w:val="10"/>
              <w:spacing w:before="162"/>
              <w:ind w:left="108"/>
            </w:pPr>
            <w:r>
              <w:t>垂直变形/(mm)</w:t>
            </w:r>
          </w:p>
        </w:tc>
        <w:tc>
          <w:tcPr>
            <w:tcW w:w="2842" w:type="dxa"/>
          </w:tcPr>
          <w:p>
            <w:pPr>
              <w:pStyle w:val="10"/>
              <w:spacing w:before="162"/>
              <w:ind w:left="108"/>
            </w:pPr>
            <w:r>
              <w:t>0.6～3.0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52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55" w:type="dxa"/>
          </w:tcPr>
          <w:p>
            <w:pPr>
              <w:pStyle w:val="10"/>
              <w:spacing w:before="164"/>
              <w:ind w:left="108"/>
            </w:pPr>
            <w:r>
              <w:t>拉断伸长率/（%）</w:t>
            </w:r>
          </w:p>
        </w:tc>
        <w:tc>
          <w:tcPr>
            <w:tcW w:w="2842" w:type="dxa"/>
          </w:tcPr>
          <w:p>
            <w:pPr>
              <w:pStyle w:val="10"/>
              <w:spacing w:before="164"/>
              <w:ind w:left="108"/>
            </w:pPr>
            <w:r>
              <w:t>≥40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52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55" w:type="dxa"/>
          </w:tcPr>
          <w:p>
            <w:pPr>
              <w:pStyle w:val="10"/>
              <w:spacing w:before="162"/>
              <w:ind w:left="108"/>
            </w:pPr>
            <w:r>
              <w:t>阻燃性能/（级）</w:t>
            </w:r>
          </w:p>
        </w:tc>
        <w:tc>
          <w:tcPr>
            <w:tcW w:w="2842" w:type="dxa"/>
          </w:tcPr>
          <w:p>
            <w:pPr>
              <w:pStyle w:val="10"/>
              <w:spacing w:before="162"/>
              <w:ind w:left="108"/>
            </w:pPr>
            <w:r>
              <w:t>Ⅰ</w:t>
            </w:r>
          </w:p>
        </w:tc>
      </w:tr>
    </w:tbl>
    <w:p>
      <w:pPr>
        <w:spacing w:line="46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>★</w:t>
      </w:r>
      <w:r>
        <w:rPr>
          <w:rFonts w:hint="eastAsia" w:ascii="宋体" w:hAnsi="宋体" w:cs="宋体"/>
          <w:color w:val="auto"/>
          <w:sz w:val="24"/>
        </w:rPr>
        <w:t>2</w:t>
      </w:r>
      <w:r>
        <w:rPr>
          <w:rFonts w:ascii="宋体" w:hAnsi="宋体" w:cs="宋体"/>
          <w:color w:val="auto"/>
          <w:sz w:val="24"/>
        </w:rPr>
        <w:t>.3</w:t>
      </w:r>
      <w:r>
        <w:rPr>
          <w:rFonts w:hint="eastAsia" w:ascii="宋体" w:hAnsi="宋体" w:cs="宋体"/>
          <w:color w:val="auto"/>
          <w:sz w:val="24"/>
        </w:rPr>
        <w:t>硅PU球场在60d浸泡时间下，长期吸水性≤5%，符合GB/T 30807-2014检测标准要求。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（提供加盖制造商公章的复印件）。</w:t>
      </w:r>
    </w:p>
    <w:p>
      <w:pPr>
        <w:spacing w:line="46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>★</w:t>
      </w:r>
      <w:r>
        <w:rPr>
          <w:rFonts w:hint="eastAsia" w:ascii="宋体" w:hAnsi="宋体" w:cs="宋体"/>
          <w:color w:val="auto"/>
          <w:sz w:val="24"/>
        </w:rPr>
        <w:t>2</w:t>
      </w:r>
      <w:r>
        <w:rPr>
          <w:rFonts w:ascii="宋体" w:hAnsi="宋体" w:cs="宋体"/>
          <w:color w:val="auto"/>
          <w:sz w:val="24"/>
        </w:rPr>
        <w:t>.4</w:t>
      </w:r>
      <w:r>
        <w:rPr>
          <w:rFonts w:hint="eastAsia" w:ascii="宋体" w:hAnsi="宋体" w:cs="宋体"/>
          <w:color w:val="auto"/>
          <w:sz w:val="24"/>
        </w:rPr>
        <w:t>硅PU球场疲劳寿命经循环疲劳试验不低于14万次，符合GB/T 35465.4-2020检测标准要求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（提供加盖制造商公章的复印件）。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>★</w:t>
      </w:r>
      <w:r>
        <w:rPr>
          <w:rFonts w:hint="eastAsia" w:ascii="宋体" w:hAnsi="宋体" w:cs="宋体"/>
          <w:color w:val="auto"/>
          <w:sz w:val="24"/>
        </w:rPr>
        <w:t>2</w:t>
      </w:r>
      <w:r>
        <w:rPr>
          <w:rFonts w:ascii="宋体" w:hAnsi="宋体" w:cs="宋体"/>
          <w:color w:val="auto"/>
          <w:sz w:val="24"/>
        </w:rPr>
        <w:t>.5</w:t>
      </w:r>
      <w:r>
        <w:rPr>
          <w:rFonts w:hint="eastAsia" w:ascii="宋体" w:hAnsi="宋体" w:cs="宋体"/>
          <w:color w:val="auto"/>
          <w:sz w:val="24"/>
        </w:rPr>
        <w:t>硅PU球场材料取得合成材料运动场地面层生态产品认证证书，满足CEC 047-2021《CEC 生态产品评价技术规范 合成材料运动场地面层》五星级评价要求。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（提供加盖制造商公章的复印件）。</w:t>
      </w:r>
    </w:p>
    <w:p>
      <w:pPr>
        <w:spacing w:line="360" w:lineRule="auto"/>
        <w:ind w:firstLine="480" w:firstLineChars="200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>★2.6需提供硅PU样块一个。</w:t>
      </w:r>
      <w:bookmarkStart w:id="0" w:name="_GoBack"/>
      <w:bookmarkEnd w:id="0"/>
    </w:p>
    <w:p>
      <w:pPr>
        <w:spacing w:line="360" w:lineRule="auto"/>
        <w:ind w:firstLine="440" w:firstLineChars="200"/>
        <w:rPr>
          <w:rFonts w:ascii="宋体" w:hAnsi="宋体" w:eastAsia="微软雅黑" w:cs="宋体"/>
          <w:color w:val="auto"/>
          <w:sz w:val="22"/>
          <w:szCs w:val="22"/>
        </w:rPr>
      </w:pPr>
    </w:p>
    <w:p>
      <w:pPr>
        <w:spacing w:line="360" w:lineRule="auto"/>
        <w:ind w:firstLine="440" w:firstLineChars="200"/>
        <w:rPr>
          <w:rFonts w:ascii="宋体" w:hAnsi="宋体" w:eastAsia="微软雅黑" w:cs="宋体"/>
          <w:sz w:val="22"/>
          <w:szCs w:val="22"/>
        </w:rPr>
      </w:pPr>
    </w:p>
    <w:sectPr>
      <w:headerReference r:id="rId3" w:type="default"/>
      <w:footerReference r:id="rId4" w:type="default"/>
      <w:pgSz w:w="11906" w:h="16838"/>
      <w:pgMar w:top="709" w:right="1418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tabs>
        <w:tab w:val="left" w:pos="2535"/>
        <w:tab w:val="center" w:pos="4535"/>
      </w:tabs>
      <w:adjustRightInd w:val="0"/>
      <w:snapToGrid w:val="0"/>
      <w:spacing w:after="200" w:line="240" w:lineRule="exact"/>
      <w:jc w:val="left"/>
      <w:rPr>
        <w:rFonts w:ascii="宋体" w:hAnsi="宋体" w:cs="宋体"/>
        <w:sz w:val="18"/>
        <w:szCs w:val="18"/>
      </w:rPr>
    </w:pPr>
    <w:r>
      <w:rPr>
        <w:rFonts w:ascii="宋体" w:hAnsi="宋体" w:cs="宋体"/>
        <w:sz w:val="18"/>
        <w:szCs w:val="18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UyY2UxYjIzZWZjYzQwMTM0OTUzOTNhZWYzZDNmZDIifQ=="/>
  </w:docVars>
  <w:rsids>
    <w:rsidRoot w:val="00B557AB"/>
    <w:rsid w:val="000262D3"/>
    <w:rsid w:val="00352414"/>
    <w:rsid w:val="00391E71"/>
    <w:rsid w:val="003E6475"/>
    <w:rsid w:val="00597861"/>
    <w:rsid w:val="005C3BC6"/>
    <w:rsid w:val="00606BAE"/>
    <w:rsid w:val="006964EA"/>
    <w:rsid w:val="0084754F"/>
    <w:rsid w:val="00B07127"/>
    <w:rsid w:val="00B557AB"/>
    <w:rsid w:val="00F042CD"/>
    <w:rsid w:val="5D0A65EA"/>
    <w:rsid w:val="6FCC05CE"/>
    <w:rsid w:val="73A56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outlineLvl w:val="0"/>
    </w:pPr>
    <w:rPr>
      <w:rFonts w:ascii="隶书" w:eastAsia="隶书"/>
      <w:bCs/>
      <w:kern w:val="0"/>
      <w:sz w:val="30"/>
      <w:szCs w:val="3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qFormat/>
    <w:uiPriority w:val="0"/>
    <w:rPr>
      <w:rFonts w:ascii="隶书" w:hAnsi="Times New Roman" w:eastAsia="隶书" w:cs="Times New Roman"/>
      <w:bCs/>
      <w:kern w:val="0"/>
      <w:sz w:val="30"/>
      <w:szCs w:val="30"/>
    </w:rPr>
  </w:style>
  <w:style w:type="paragraph" w:customStyle="1" w:styleId="10">
    <w:name w:val="Table Paragraph"/>
    <w:basedOn w:val="1"/>
    <w:qFormat/>
    <w:uiPriority w:val="1"/>
    <w:rPr>
      <w:rFonts w:ascii="宋体" w:hAnsi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807</Words>
  <Characters>1067</Characters>
  <Lines>8</Lines>
  <Paragraphs>2</Paragraphs>
  <TotalTime>1</TotalTime>
  <ScaleCrop>false</ScaleCrop>
  <LinksUpToDate>false</LinksUpToDate>
  <CharactersWithSpaces>1082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2022-03-07T02:24:00Z</dcterms:created>
  <dc:creator>Microsoft 帐户</dc:creator>
  <cp:lastModifiedBy>孤家、寡人</cp:lastModifiedBy>
  <dcterms:modified xsi:type="dcterms:W3CDTF">2022-09-05T08:53:11Z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D2D705D8CE2647ABA90F35A7D7F59031</vt:lpwstr>
  </property>
</Properties>
</file>