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4"/>
          <w:szCs w:val="32"/>
          <w:lang w:val="en-US" w:eastAsia="zh-CN"/>
        </w:rPr>
      </w:pPr>
      <w:bookmarkStart w:id="34" w:name="_GoBack"/>
      <w:bookmarkEnd w:id="34"/>
    </w:p>
    <w:p>
      <w:pPr>
        <w:pStyle w:val="2"/>
        <w:ind w:left="0" w:leftChars="0" w:firstLine="0" w:firstLineChars="0"/>
        <w:rPr>
          <w:rFonts w:hint="eastAsia"/>
          <w:sz w:val="36"/>
          <w:szCs w:val="44"/>
          <w:highlight w:val="none"/>
          <w:lang w:val="en-US" w:eastAsia="zh-CN"/>
        </w:rPr>
      </w:pPr>
      <w:r>
        <w:rPr>
          <w:rFonts w:hint="eastAsia"/>
          <w:sz w:val="36"/>
          <w:szCs w:val="44"/>
          <w:highlight w:val="none"/>
          <w:lang w:val="en-US" w:eastAsia="zh-CN"/>
        </w:rPr>
        <w:t>技术要求</w:t>
      </w:r>
    </w:p>
    <w:p>
      <w:pPr>
        <w:pStyle w:val="4"/>
        <w:spacing w:after="0" w:line="560" w:lineRule="exact"/>
        <w:rPr>
          <w:rFonts w:ascii="Times New Roman" w:hAnsi="Times New Roman" w:eastAsia="黑体"/>
          <w:b w:val="0"/>
          <w:bCs w:val="0"/>
        </w:rPr>
      </w:pPr>
      <w:bookmarkStart w:id="0" w:name="_Toc468455942"/>
      <w:bookmarkStart w:id="1" w:name="_Toc78714089"/>
      <w:bookmarkStart w:id="2" w:name="_Toc449081462"/>
      <w:bookmarkStart w:id="3" w:name="_Toc308947297"/>
      <w:bookmarkStart w:id="4" w:name="_Toc112398122"/>
      <w:bookmarkStart w:id="5" w:name="_Toc75874914"/>
      <w:bookmarkStart w:id="6" w:name="_Toc78727391"/>
      <w:bookmarkStart w:id="7" w:name="_Toc78790008"/>
      <w:bookmarkStart w:id="8" w:name="_Toc449081428"/>
      <w:bookmarkStart w:id="9" w:name="_Toc20318650"/>
      <w:bookmarkStart w:id="10" w:name="_Toc75874917"/>
      <w:bookmarkStart w:id="11" w:name="_Toc22904719"/>
      <w:r>
        <w:rPr>
          <w:rFonts w:hint="eastAsia" w:ascii="Times New Roman" w:hAnsi="Times New Roman" w:eastAsia="黑体"/>
          <w:b w:val="0"/>
          <w:bCs w:val="0"/>
          <w:lang w:val="en-US" w:eastAsia="zh-CN"/>
        </w:rPr>
        <w:t>1</w:t>
      </w:r>
      <w:r>
        <w:rPr>
          <w:rFonts w:ascii="Times New Roman" w:hAnsi="Times New Roman" w:eastAsia="黑体"/>
          <w:b w:val="0"/>
          <w:bCs w:val="0"/>
        </w:rPr>
        <w:t>.1 立地类型</w:t>
      </w:r>
      <w:bookmarkEnd w:id="0"/>
      <w:bookmarkEnd w:id="1"/>
      <w:bookmarkEnd w:id="2"/>
      <w:bookmarkEnd w:id="3"/>
      <w:bookmarkEnd w:id="4"/>
      <w:bookmarkEnd w:id="5"/>
      <w:bookmarkEnd w:id="6"/>
      <w:bookmarkEnd w:id="7"/>
      <w:bookmarkEnd w:id="8"/>
    </w:p>
    <w:p>
      <w:pPr>
        <w:spacing w:line="360" w:lineRule="auto"/>
        <w:ind w:firstLine="560" w:firstLineChars="200"/>
        <w:rPr>
          <w:sz w:val="28"/>
          <w:szCs w:val="28"/>
        </w:rPr>
      </w:pPr>
      <w:bookmarkStart w:id="12" w:name="_Toc213578785"/>
      <w:bookmarkStart w:id="13" w:name="_Toc198697281"/>
      <w:r>
        <w:rPr>
          <w:sz w:val="28"/>
          <w:szCs w:val="28"/>
        </w:rPr>
        <w:t>按照《中国森林立地分类》的区划，根据项目作业区的立地分异特点，将地貌和坡度作为划分立地类型组的依据。经调查，本次森林植被恢复项目造林小班按分布的地域，海拔835-1040米之间，坡度为平坡。因此共划分低山平坡地、丘陵平坡地2个立地类型组。造林地块土壤主要为草甸土，土壤厚度30-60厘米，坡度为平坡，造林立地类型为平坡中层型，适宜造林树种包括云杉、落叶松、白桦等。</w:t>
      </w:r>
    </w:p>
    <w:bookmarkEnd w:id="12"/>
    <w:bookmarkEnd w:id="13"/>
    <w:p>
      <w:pPr>
        <w:pStyle w:val="4"/>
        <w:spacing w:before="0" w:after="0" w:line="560" w:lineRule="exact"/>
        <w:rPr>
          <w:rFonts w:ascii="Times New Roman" w:hAnsi="Times New Roman" w:eastAsia="黑体"/>
          <w:b w:val="0"/>
          <w:bCs w:val="0"/>
        </w:rPr>
      </w:pPr>
      <w:bookmarkStart w:id="14" w:name="_Toc112398123"/>
      <w:bookmarkStart w:id="15" w:name="_Toc449081430"/>
      <w:bookmarkStart w:id="16" w:name="_Toc75874915"/>
      <w:bookmarkStart w:id="17" w:name="_Toc78790009"/>
      <w:bookmarkStart w:id="18" w:name="_Toc78714090"/>
      <w:bookmarkStart w:id="19" w:name="_Toc449081464"/>
      <w:bookmarkStart w:id="20" w:name="_Toc468455943"/>
      <w:bookmarkStart w:id="21" w:name="_Toc78727392"/>
      <w:r>
        <w:rPr>
          <w:rFonts w:hint="eastAsia" w:ascii="Times New Roman" w:hAnsi="Times New Roman" w:eastAsia="黑体"/>
          <w:b w:val="0"/>
          <w:bCs w:val="0"/>
          <w:lang w:val="en-US" w:eastAsia="zh-CN"/>
        </w:rPr>
        <w:t>1</w:t>
      </w:r>
      <w:r>
        <w:rPr>
          <w:rFonts w:ascii="Times New Roman" w:hAnsi="Times New Roman" w:eastAsia="黑体"/>
          <w:b w:val="0"/>
          <w:bCs w:val="0"/>
        </w:rPr>
        <w:t>.2 人工造林作业设计</w:t>
      </w:r>
      <w:bookmarkEnd w:id="14"/>
      <w:bookmarkEnd w:id="15"/>
      <w:bookmarkEnd w:id="16"/>
      <w:bookmarkEnd w:id="17"/>
      <w:bookmarkEnd w:id="18"/>
      <w:bookmarkEnd w:id="19"/>
      <w:bookmarkEnd w:id="20"/>
      <w:bookmarkEnd w:id="21"/>
    </w:p>
    <w:p>
      <w:pPr>
        <w:spacing w:line="560" w:lineRule="exact"/>
        <w:rPr>
          <w:rFonts w:eastAsia="黑体"/>
          <w:sz w:val="30"/>
          <w:szCs w:val="30"/>
        </w:rPr>
      </w:pPr>
      <w:r>
        <w:rPr>
          <w:rFonts w:hint="eastAsia" w:eastAsia="黑体"/>
          <w:sz w:val="30"/>
          <w:szCs w:val="30"/>
          <w:lang w:val="en-US" w:eastAsia="zh-CN"/>
        </w:rPr>
        <w:t>1</w:t>
      </w:r>
      <w:r>
        <w:rPr>
          <w:rFonts w:eastAsia="黑体"/>
          <w:sz w:val="30"/>
          <w:szCs w:val="30"/>
        </w:rPr>
        <w:t>.2.1造林类型</w:t>
      </w:r>
    </w:p>
    <w:p>
      <w:pPr>
        <w:spacing w:line="360" w:lineRule="auto"/>
        <w:ind w:firstLine="560" w:firstLineChars="200"/>
        <w:rPr>
          <w:spacing w:val="6"/>
          <w:sz w:val="28"/>
          <w:szCs w:val="28"/>
        </w:rPr>
      </w:pPr>
      <w:r>
        <w:rPr>
          <w:sz w:val="28"/>
          <w:szCs w:val="28"/>
        </w:rPr>
        <w:t>建设项目地块坡度为平坡，土壤为草甸土，土层厚度30-60cm，肥力较好，表层石砾含量中。</w:t>
      </w:r>
      <w:r>
        <w:rPr>
          <w:spacing w:val="6"/>
          <w:sz w:val="28"/>
          <w:szCs w:val="28"/>
        </w:rPr>
        <w:t>本次造林根据各造林小班的土壤水肥状况，共设计云杉纯林1个造林类型。</w:t>
      </w:r>
    </w:p>
    <w:p>
      <w:pPr>
        <w:spacing w:line="560" w:lineRule="exact"/>
        <w:rPr>
          <w:rFonts w:eastAsia="黑体"/>
          <w:sz w:val="30"/>
          <w:szCs w:val="30"/>
        </w:rPr>
      </w:pPr>
      <w:r>
        <w:rPr>
          <w:rFonts w:hint="eastAsia" w:eastAsia="黑体"/>
          <w:sz w:val="30"/>
          <w:szCs w:val="30"/>
          <w:lang w:val="en-US" w:eastAsia="zh-CN"/>
        </w:rPr>
        <w:t>1</w:t>
      </w:r>
      <w:r>
        <w:rPr>
          <w:rFonts w:eastAsia="黑体"/>
          <w:sz w:val="30"/>
          <w:szCs w:val="30"/>
        </w:rPr>
        <w:t>.2.2林种选择</w:t>
      </w:r>
    </w:p>
    <w:p>
      <w:pPr>
        <w:spacing w:line="360" w:lineRule="auto"/>
        <w:ind w:firstLine="560" w:firstLineChars="200"/>
        <w:rPr>
          <w:bCs/>
          <w:kern w:val="0"/>
          <w:sz w:val="28"/>
          <w:szCs w:val="32"/>
        </w:rPr>
      </w:pPr>
      <w:r>
        <w:rPr>
          <w:bCs/>
          <w:kern w:val="0"/>
          <w:sz w:val="28"/>
          <w:szCs w:val="32"/>
        </w:rPr>
        <w:t>依据森林分类结果，林种为水源涵养林。</w:t>
      </w:r>
    </w:p>
    <w:p>
      <w:pPr>
        <w:spacing w:line="560" w:lineRule="exact"/>
        <w:rPr>
          <w:rFonts w:eastAsia="黑体"/>
          <w:sz w:val="30"/>
          <w:szCs w:val="30"/>
        </w:rPr>
      </w:pPr>
      <w:r>
        <w:rPr>
          <w:rFonts w:hint="eastAsia" w:eastAsia="黑体"/>
          <w:sz w:val="30"/>
          <w:szCs w:val="30"/>
          <w:lang w:val="en-US" w:eastAsia="zh-CN"/>
        </w:rPr>
        <w:t>1</w:t>
      </w:r>
      <w:r>
        <w:rPr>
          <w:rFonts w:eastAsia="黑体"/>
          <w:sz w:val="30"/>
          <w:szCs w:val="30"/>
        </w:rPr>
        <w:t xml:space="preserve">.2.3树种选择 </w:t>
      </w:r>
    </w:p>
    <w:p>
      <w:pPr>
        <w:spacing w:line="360" w:lineRule="auto"/>
        <w:ind w:firstLine="560" w:firstLineChars="200"/>
        <w:rPr>
          <w:sz w:val="28"/>
          <w:szCs w:val="28"/>
        </w:rPr>
      </w:pPr>
      <w:r>
        <w:rPr>
          <w:sz w:val="28"/>
          <w:szCs w:val="28"/>
        </w:rPr>
        <w:t>根据项目区的树种分布、造林地块的立地条件以及气候等因素，按照适地适树的原则，确定造林树种为云杉。</w:t>
      </w:r>
    </w:p>
    <w:p>
      <w:pPr>
        <w:spacing w:line="560" w:lineRule="exact"/>
        <w:rPr>
          <w:rFonts w:eastAsia="黑体"/>
          <w:sz w:val="30"/>
          <w:szCs w:val="30"/>
        </w:rPr>
      </w:pPr>
      <w:r>
        <w:rPr>
          <w:rFonts w:hint="eastAsia" w:eastAsia="黑体"/>
          <w:sz w:val="30"/>
          <w:szCs w:val="30"/>
          <w:lang w:val="en-US" w:eastAsia="zh-CN"/>
        </w:rPr>
        <w:t>1</w:t>
      </w:r>
      <w:r>
        <w:rPr>
          <w:rFonts w:eastAsia="黑体"/>
          <w:sz w:val="30"/>
          <w:szCs w:val="30"/>
        </w:rPr>
        <w:t>.2.4造林模式</w:t>
      </w:r>
    </w:p>
    <w:p>
      <w:pPr>
        <w:spacing w:line="360" w:lineRule="auto"/>
        <w:ind w:firstLine="560" w:firstLineChars="200"/>
        <w:rPr>
          <w:sz w:val="28"/>
          <w:szCs w:val="28"/>
        </w:rPr>
      </w:pPr>
      <w:r>
        <w:rPr>
          <w:sz w:val="28"/>
          <w:szCs w:val="28"/>
        </w:rPr>
        <w:t>造林配置方式为品字型配置。设计株距2米，行距3米。初植密度为111株/亩。详见表5-1和造林模式图。</w:t>
      </w:r>
    </w:p>
    <w:p>
      <w:pPr>
        <w:pStyle w:val="2"/>
      </w:pPr>
    </w:p>
    <w:tbl>
      <w:tblPr>
        <w:tblStyle w:val="6"/>
        <w:tblW w:w="5178" w:type="pct"/>
        <w:jc w:val="center"/>
        <w:tblLayout w:type="autofit"/>
        <w:tblCellMar>
          <w:top w:w="0" w:type="dxa"/>
          <w:left w:w="108" w:type="dxa"/>
          <w:bottom w:w="0" w:type="dxa"/>
          <w:right w:w="108" w:type="dxa"/>
        </w:tblCellMar>
      </w:tblPr>
      <w:tblGrid>
        <w:gridCol w:w="517"/>
        <w:gridCol w:w="615"/>
        <w:gridCol w:w="635"/>
        <w:gridCol w:w="615"/>
        <w:gridCol w:w="665"/>
        <w:gridCol w:w="849"/>
        <w:gridCol w:w="849"/>
        <w:gridCol w:w="616"/>
        <w:gridCol w:w="1291"/>
        <w:gridCol w:w="999"/>
        <w:gridCol w:w="1174"/>
      </w:tblGrid>
      <w:tr>
        <w:tblPrEx>
          <w:tblCellMar>
            <w:top w:w="0" w:type="dxa"/>
            <w:left w:w="108" w:type="dxa"/>
            <w:bottom w:w="0" w:type="dxa"/>
            <w:right w:w="108" w:type="dxa"/>
          </w:tblCellMar>
        </w:tblPrEx>
        <w:trPr>
          <w:trHeight w:val="20" w:hRule="atLeast"/>
          <w:jc w:val="center"/>
        </w:trPr>
        <w:tc>
          <w:tcPr>
            <w:tcW w:w="5000" w:type="pct"/>
            <w:gridSpan w:val="11"/>
            <w:tcBorders>
              <w:top w:val="nil"/>
              <w:left w:val="nil"/>
              <w:bottom w:val="nil"/>
              <w:right w:val="nil"/>
            </w:tcBorders>
            <w:shd w:val="clear" w:color="auto" w:fill="auto"/>
            <w:noWrap/>
            <w:vAlign w:val="center"/>
          </w:tcPr>
          <w:p>
            <w:pPr>
              <w:widowControl/>
              <w:jc w:val="center"/>
              <w:rPr>
                <w:color w:val="000000"/>
                <w:kern w:val="0"/>
                <w:sz w:val="32"/>
                <w:szCs w:val="32"/>
              </w:rPr>
            </w:pPr>
            <w:r>
              <w:rPr>
                <w:color w:val="000000"/>
                <w:kern w:val="0"/>
                <w:sz w:val="32"/>
                <w:szCs w:val="32"/>
              </w:rPr>
              <w:t>植被恢复项目造林模式设计表</w:t>
            </w:r>
          </w:p>
        </w:tc>
      </w:tr>
      <w:tr>
        <w:tblPrEx>
          <w:tblCellMar>
            <w:top w:w="0" w:type="dxa"/>
            <w:left w:w="108" w:type="dxa"/>
            <w:bottom w:w="0" w:type="dxa"/>
            <w:right w:w="108" w:type="dxa"/>
          </w:tblCellMar>
        </w:tblPrEx>
        <w:trPr>
          <w:trHeight w:val="68" w:hRule="atLeast"/>
          <w:jc w:val="center"/>
        </w:trPr>
        <w:tc>
          <w:tcPr>
            <w:tcW w:w="656" w:type="pct"/>
            <w:gridSpan w:val="2"/>
            <w:tcBorders>
              <w:top w:val="nil"/>
              <w:left w:val="nil"/>
              <w:bottom w:val="single" w:color="auto" w:sz="4" w:space="0"/>
              <w:right w:val="nil"/>
            </w:tcBorders>
            <w:shd w:val="clear" w:color="auto" w:fill="auto"/>
            <w:noWrap/>
            <w:vAlign w:val="center"/>
          </w:tcPr>
          <w:p>
            <w:pPr>
              <w:widowControl/>
              <w:jc w:val="center"/>
              <w:rPr>
                <w:color w:val="000000"/>
                <w:kern w:val="0"/>
                <w:szCs w:val="21"/>
              </w:rPr>
            </w:pPr>
            <w:r>
              <w:rPr>
                <w:color w:val="000000"/>
                <w:kern w:val="0"/>
                <w:szCs w:val="21"/>
              </w:rPr>
              <w:t>表5-1</w:t>
            </w:r>
          </w:p>
        </w:tc>
        <w:tc>
          <w:tcPr>
            <w:tcW w:w="367" w:type="pct"/>
            <w:tcBorders>
              <w:top w:val="nil"/>
              <w:left w:val="nil"/>
              <w:bottom w:val="single" w:color="auto" w:sz="4" w:space="0"/>
              <w:right w:val="nil"/>
            </w:tcBorders>
            <w:shd w:val="clear" w:color="auto" w:fill="auto"/>
            <w:noWrap/>
            <w:vAlign w:val="center"/>
          </w:tcPr>
          <w:p>
            <w:pPr>
              <w:widowControl/>
              <w:jc w:val="center"/>
              <w:rPr>
                <w:color w:val="000000"/>
                <w:kern w:val="0"/>
                <w:szCs w:val="21"/>
              </w:rPr>
            </w:pPr>
            <w:r>
              <w:rPr>
                <w:color w:val="000000"/>
                <w:kern w:val="0"/>
                <w:szCs w:val="21"/>
              </w:rPr>
              <w:t>　</w:t>
            </w:r>
          </w:p>
        </w:tc>
        <w:tc>
          <w:tcPr>
            <w:tcW w:w="356" w:type="pct"/>
            <w:tcBorders>
              <w:top w:val="nil"/>
              <w:left w:val="nil"/>
              <w:bottom w:val="single" w:color="auto" w:sz="4" w:space="0"/>
              <w:right w:val="nil"/>
            </w:tcBorders>
            <w:shd w:val="clear" w:color="auto" w:fill="auto"/>
            <w:noWrap/>
            <w:vAlign w:val="center"/>
          </w:tcPr>
          <w:p>
            <w:pPr>
              <w:widowControl/>
              <w:jc w:val="center"/>
              <w:rPr>
                <w:color w:val="000000"/>
                <w:kern w:val="0"/>
                <w:szCs w:val="21"/>
              </w:rPr>
            </w:pPr>
            <w:r>
              <w:rPr>
                <w:color w:val="000000"/>
                <w:kern w:val="0"/>
                <w:szCs w:val="21"/>
              </w:rPr>
              <w:t>　</w:t>
            </w:r>
          </w:p>
        </w:tc>
        <w:tc>
          <w:tcPr>
            <w:tcW w:w="384" w:type="pct"/>
            <w:tcBorders>
              <w:top w:val="nil"/>
              <w:left w:val="nil"/>
              <w:bottom w:val="single" w:color="auto" w:sz="4" w:space="0"/>
              <w:right w:val="nil"/>
            </w:tcBorders>
            <w:shd w:val="clear" w:color="auto" w:fill="auto"/>
            <w:noWrap/>
            <w:vAlign w:val="center"/>
          </w:tcPr>
          <w:p>
            <w:pPr>
              <w:widowControl/>
              <w:jc w:val="center"/>
              <w:rPr>
                <w:color w:val="000000"/>
                <w:kern w:val="0"/>
                <w:szCs w:val="21"/>
              </w:rPr>
            </w:pPr>
            <w:r>
              <w:rPr>
                <w:color w:val="000000"/>
                <w:kern w:val="0"/>
                <w:szCs w:val="21"/>
              </w:rPr>
              <w:t>　</w:t>
            </w:r>
          </w:p>
        </w:tc>
        <w:tc>
          <w:tcPr>
            <w:tcW w:w="449" w:type="pct"/>
            <w:tcBorders>
              <w:top w:val="nil"/>
              <w:left w:val="nil"/>
              <w:bottom w:val="single" w:color="auto" w:sz="4" w:space="0"/>
              <w:right w:val="nil"/>
            </w:tcBorders>
            <w:shd w:val="clear" w:color="auto" w:fill="auto"/>
            <w:noWrap/>
            <w:vAlign w:val="center"/>
          </w:tcPr>
          <w:p>
            <w:pPr>
              <w:widowControl/>
              <w:jc w:val="center"/>
              <w:rPr>
                <w:color w:val="000000"/>
                <w:kern w:val="0"/>
                <w:szCs w:val="21"/>
              </w:rPr>
            </w:pPr>
            <w:r>
              <w:rPr>
                <w:color w:val="000000"/>
                <w:kern w:val="0"/>
                <w:szCs w:val="21"/>
              </w:rPr>
              <w:t>　</w:t>
            </w:r>
          </w:p>
        </w:tc>
        <w:tc>
          <w:tcPr>
            <w:tcW w:w="449" w:type="pct"/>
            <w:tcBorders>
              <w:top w:val="nil"/>
              <w:left w:val="nil"/>
              <w:bottom w:val="single" w:color="auto" w:sz="4" w:space="0"/>
              <w:right w:val="nil"/>
            </w:tcBorders>
            <w:shd w:val="clear" w:color="auto" w:fill="auto"/>
            <w:noWrap/>
            <w:vAlign w:val="center"/>
          </w:tcPr>
          <w:p>
            <w:pPr>
              <w:widowControl/>
              <w:jc w:val="center"/>
              <w:rPr>
                <w:color w:val="000000"/>
                <w:kern w:val="0"/>
                <w:szCs w:val="21"/>
              </w:rPr>
            </w:pPr>
            <w:r>
              <w:rPr>
                <w:color w:val="000000"/>
                <w:kern w:val="0"/>
                <w:szCs w:val="21"/>
              </w:rPr>
              <w:t>　</w:t>
            </w:r>
          </w:p>
        </w:tc>
        <w:tc>
          <w:tcPr>
            <w:tcW w:w="356" w:type="pct"/>
            <w:tcBorders>
              <w:top w:val="nil"/>
              <w:left w:val="nil"/>
              <w:bottom w:val="single" w:color="auto" w:sz="4" w:space="0"/>
              <w:right w:val="nil"/>
            </w:tcBorders>
            <w:shd w:val="clear" w:color="auto" w:fill="auto"/>
            <w:noWrap/>
            <w:vAlign w:val="center"/>
          </w:tcPr>
          <w:p>
            <w:pPr>
              <w:widowControl/>
              <w:jc w:val="center"/>
              <w:rPr>
                <w:color w:val="000000"/>
                <w:kern w:val="0"/>
                <w:szCs w:val="21"/>
              </w:rPr>
            </w:pPr>
            <w:r>
              <w:rPr>
                <w:color w:val="000000"/>
                <w:kern w:val="0"/>
                <w:szCs w:val="21"/>
              </w:rPr>
              <w:t>　</w:t>
            </w:r>
          </w:p>
        </w:tc>
        <w:tc>
          <w:tcPr>
            <w:tcW w:w="738" w:type="pct"/>
            <w:tcBorders>
              <w:top w:val="nil"/>
              <w:left w:val="nil"/>
              <w:bottom w:val="single" w:color="auto" w:sz="4" w:space="0"/>
              <w:right w:val="nil"/>
            </w:tcBorders>
            <w:shd w:val="clear" w:color="auto" w:fill="auto"/>
            <w:noWrap/>
            <w:vAlign w:val="center"/>
          </w:tcPr>
          <w:p>
            <w:pPr>
              <w:widowControl/>
              <w:jc w:val="center"/>
              <w:rPr>
                <w:color w:val="000000"/>
                <w:kern w:val="0"/>
                <w:szCs w:val="21"/>
              </w:rPr>
            </w:pPr>
            <w:r>
              <w:rPr>
                <w:color w:val="000000"/>
                <w:kern w:val="0"/>
                <w:szCs w:val="21"/>
              </w:rPr>
              <w:t>　</w:t>
            </w:r>
          </w:p>
        </w:tc>
        <w:tc>
          <w:tcPr>
            <w:tcW w:w="573" w:type="pct"/>
            <w:tcBorders>
              <w:top w:val="nil"/>
              <w:left w:val="nil"/>
              <w:bottom w:val="nil"/>
              <w:right w:val="nil"/>
            </w:tcBorders>
            <w:shd w:val="clear" w:color="auto" w:fill="auto"/>
            <w:noWrap/>
            <w:vAlign w:val="center"/>
          </w:tcPr>
          <w:p>
            <w:pPr>
              <w:widowControl/>
              <w:jc w:val="center"/>
              <w:rPr>
                <w:color w:val="000000"/>
                <w:kern w:val="0"/>
                <w:szCs w:val="21"/>
              </w:rPr>
            </w:pPr>
          </w:p>
        </w:tc>
        <w:tc>
          <w:tcPr>
            <w:tcW w:w="674" w:type="pct"/>
            <w:tcBorders>
              <w:top w:val="nil"/>
              <w:left w:val="nil"/>
              <w:bottom w:val="nil"/>
              <w:right w:val="nil"/>
            </w:tcBorders>
            <w:shd w:val="clear" w:color="auto" w:fill="auto"/>
            <w:noWrap/>
            <w:vAlign w:val="center"/>
          </w:tcPr>
          <w:p>
            <w:pPr>
              <w:widowControl/>
              <w:jc w:val="center"/>
              <w:rPr>
                <w:kern w:val="0"/>
                <w:szCs w:val="21"/>
              </w:rPr>
            </w:pPr>
          </w:p>
        </w:tc>
      </w:tr>
      <w:tr>
        <w:tblPrEx>
          <w:tblCellMar>
            <w:top w:w="0" w:type="dxa"/>
            <w:left w:w="108" w:type="dxa"/>
            <w:bottom w:w="0" w:type="dxa"/>
            <w:right w:w="108" w:type="dxa"/>
          </w:tblCellMar>
        </w:tblPrEx>
        <w:trPr>
          <w:trHeight w:val="20" w:hRule="atLeast"/>
          <w:jc w:val="center"/>
        </w:trPr>
        <w:tc>
          <w:tcPr>
            <w:tcW w:w="300" w:type="pc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b/>
                <w:bCs/>
                <w:color w:val="000000"/>
                <w:kern w:val="0"/>
                <w:sz w:val="18"/>
                <w:szCs w:val="18"/>
              </w:rPr>
            </w:pPr>
            <w:r>
              <w:rPr>
                <w:b/>
                <w:bCs/>
                <w:color w:val="000000"/>
                <w:kern w:val="0"/>
                <w:sz w:val="18"/>
                <w:szCs w:val="18"/>
              </w:rPr>
              <w:t>树 种</w:t>
            </w:r>
          </w:p>
        </w:tc>
        <w:tc>
          <w:tcPr>
            <w:tcW w:w="356" w:type="pct"/>
            <w:tcBorders>
              <w:top w:val="nil"/>
              <w:left w:val="nil"/>
              <w:bottom w:val="single" w:color="auto" w:sz="4" w:space="0"/>
              <w:right w:val="single" w:color="auto" w:sz="4" w:space="0"/>
            </w:tcBorders>
            <w:shd w:val="clear" w:color="auto" w:fill="auto"/>
            <w:noWrap w:val="0"/>
            <w:vAlign w:val="center"/>
          </w:tcPr>
          <w:p>
            <w:pPr>
              <w:widowControl/>
              <w:jc w:val="center"/>
              <w:rPr>
                <w:b/>
                <w:bCs/>
                <w:color w:val="000000"/>
                <w:kern w:val="0"/>
                <w:szCs w:val="21"/>
              </w:rPr>
            </w:pPr>
            <w:r>
              <w:rPr>
                <w:b/>
                <w:bCs/>
                <w:color w:val="000000"/>
                <w:kern w:val="0"/>
                <w:szCs w:val="21"/>
              </w:rPr>
              <w:t>结构</w:t>
            </w:r>
          </w:p>
        </w:tc>
        <w:tc>
          <w:tcPr>
            <w:tcW w:w="367" w:type="pct"/>
            <w:tcBorders>
              <w:top w:val="nil"/>
              <w:left w:val="nil"/>
              <w:bottom w:val="single" w:color="auto" w:sz="4" w:space="0"/>
              <w:right w:val="single" w:color="auto" w:sz="4" w:space="0"/>
            </w:tcBorders>
            <w:shd w:val="clear" w:color="auto" w:fill="auto"/>
            <w:noWrap w:val="0"/>
            <w:vAlign w:val="center"/>
          </w:tcPr>
          <w:p>
            <w:pPr>
              <w:widowControl/>
              <w:jc w:val="center"/>
              <w:rPr>
                <w:b/>
                <w:bCs/>
                <w:color w:val="000000"/>
                <w:kern w:val="0"/>
                <w:szCs w:val="21"/>
              </w:rPr>
            </w:pPr>
            <w:r>
              <w:rPr>
                <w:b/>
                <w:bCs/>
                <w:color w:val="000000"/>
                <w:kern w:val="0"/>
                <w:szCs w:val="21"/>
              </w:rPr>
              <w:t>混交比例</w:t>
            </w:r>
          </w:p>
        </w:tc>
        <w:tc>
          <w:tcPr>
            <w:tcW w:w="356" w:type="pct"/>
            <w:tcBorders>
              <w:top w:val="nil"/>
              <w:left w:val="nil"/>
              <w:bottom w:val="single" w:color="auto" w:sz="4" w:space="0"/>
              <w:right w:val="single" w:color="auto" w:sz="4" w:space="0"/>
            </w:tcBorders>
            <w:shd w:val="clear" w:color="auto" w:fill="auto"/>
            <w:noWrap w:val="0"/>
            <w:vAlign w:val="center"/>
          </w:tcPr>
          <w:p>
            <w:pPr>
              <w:widowControl/>
              <w:jc w:val="center"/>
              <w:rPr>
                <w:b/>
                <w:bCs/>
                <w:color w:val="000000"/>
                <w:kern w:val="0"/>
                <w:szCs w:val="21"/>
              </w:rPr>
            </w:pPr>
            <w:r>
              <w:rPr>
                <w:b/>
                <w:bCs/>
                <w:color w:val="000000"/>
                <w:kern w:val="0"/>
                <w:szCs w:val="21"/>
              </w:rPr>
              <w:t>造林 方式</w:t>
            </w:r>
          </w:p>
        </w:tc>
        <w:tc>
          <w:tcPr>
            <w:tcW w:w="384" w:type="pct"/>
            <w:tcBorders>
              <w:top w:val="nil"/>
              <w:left w:val="nil"/>
              <w:bottom w:val="single" w:color="auto" w:sz="4" w:space="0"/>
              <w:right w:val="single" w:color="auto" w:sz="4" w:space="0"/>
            </w:tcBorders>
            <w:shd w:val="clear" w:color="auto" w:fill="auto"/>
            <w:noWrap w:val="0"/>
            <w:vAlign w:val="center"/>
          </w:tcPr>
          <w:p>
            <w:pPr>
              <w:widowControl/>
              <w:jc w:val="center"/>
              <w:rPr>
                <w:b/>
                <w:bCs/>
                <w:color w:val="000000"/>
                <w:kern w:val="0"/>
                <w:szCs w:val="21"/>
              </w:rPr>
            </w:pPr>
            <w:r>
              <w:rPr>
                <w:b/>
                <w:bCs/>
                <w:color w:val="000000"/>
                <w:kern w:val="0"/>
                <w:szCs w:val="21"/>
              </w:rPr>
              <w:t>配置     方法</w:t>
            </w:r>
          </w:p>
        </w:tc>
        <w:tc>
          <w:tcPr>
            <w:tcW w:w="449" w:type="pct"/>
            <w:tcBorders>
              <w:top w:val="nil"/>
              <w:left w:val="nil"/>
              <w:bottom w:val="single" w:color="auto" w:sz="4" w:space="0"/>
              <w:right w:val="single" w:color="auto" w:sz="4" w:space="0"/>
            </w:tcBorders>
            <w:shd w:val="clear" w:color="auto" w:fill="auto"/>
            <w:noWrap w:val="0"/>
            <w:vAlign w:val="center"/>
          </w:tcPr>
          <w:p>
            <w:pPr>
              <w:widowControl/>
              <w:jc w:val="center"/>
              <w:rPr>
                <w:b/>
                <w:bCs/>
                <w:color w:val="000000"/>
                <w:kern w:val="0"/>
                <w:szCs w:val="21"/>
              </w:rPr>
            </w:pPr>
            <w:r>
              <w:rPr>
                <w:b/>
                <w:bCs/>
                <w:color w:val="000000"/>
                <w:kern w:val="0"/>
                <w:szCs w:val="21"/>
              </w:rPr>
              <w:t>株距 （米）</w:t>
            </w:r>
          </w:p>
        </w:tc>
        <w:tc>
          <w:tcPr>
            <w:tcW w:w="449" w:type="pct"/>
            <w:tcBorders>
              <w:top w:val="nil"/>
              <w:left w:val="nil"/>
              <w:bottom w:val="single" w:color="auto" w:sz="4" w:space="0"/>
              <w:right w:val="single" w:color="auto" w:sz="4" w:space="0"/>
            </w:tcBorders>
            <w:shd w:val="clear" w:color="auto" w:fill="auto"/>
            <w:noWrap w:val="0"/>
            <w:vAlign w:val="center"/>
          </w:tcPr>
          <w:p>
            <w:pPr>
              <w:widowControl/>
              <w:jc w:val="center"/>
              <w:rPr>
                <w:b/>
                <w:bCs/>
                <w:color w:val="000000"/>
                <w:kern w:val="0"/>
                <w:szCs w:val="21"/>
              </w:rPr>
            </w:pPr>
            <w:r>
              <w:rPr>
                <w:b/>
                <w:bCs/>
                <w:color w:val="000000"/>
                <w:kern w:val="0"/>
                <w:szCs w:val="21"/>
              </w:rPr>
              <w:t>行 距    （米）</w:t>
            </w:r>
          </w:p>
        </w:tc>
        <w:tc>
          <w:tcPr>
            <w:tcW w:w="356" w:type="pct"/>
            <w:tcBorders>
              <w:top w:val="nil"/>
              <w:left w:val="nil"/>
              <w:bottom w:val="single" w:color="auto" w:sz="4" w:space="0"/>
              <w:right w:val="single" w:color="auto" w:sz="4" w:space="0"/>
            </w:tcBorders>
            <w:shd w:val="clear" w:color="auto" w:fill="auto"/>
            <w:noWrap w:val="0"/>
            <w:vAlign w:val="center"/>
          </w:tcPr>
          <w:p>
            <w:pPr>
              <w:widowControl/>
              <w:jc w:val="center"/>
              <w:rPr>
                <w:b/>
                <w:bCs/>
                <w:color w:val="000000"/>
                <w:kern w:val="0"/>
                <w:szCs w:val="21"/>
              </w:rPr>
            </w:pPr>
            <w:r>
              <w:rPr>
                <w:b/>
                <w:bCs/>
                <w:color w:val="000000"/>
                <w:kern w:val="0"/>
                <w:szCs w:val="21"/>
              </w:rPr>
              <w:t>苗木  种类</w:t>
            </w:r>
          </w:p>
        </w:tc>
        <w:tc>
          <w:tcPr>
            <w:tcW w:w="738" w:type="pct"/>
            <w:tcBorders>
              <w:top w:val="nil"/>
              <w:left w:val="nil"/>
              <w:bottom w:val="single" w:color="auto" w:sz="4" w:space="0"/>
              <w:right w:val="single" w:color="auto" w:sz="4" w:space="0"/>
            </w:tcBorders>
            <w:shd w:val="clear" w:color="auto" w:fill="auto"/>
            <w:noWrap w:val="0"/>
            <w:vAlign w:val="center"/>
          </w:tcPr>
          <w:p>
            <w:pPr>
              <w:widowControl/>
              <w:jc w:val="center"/>
              <w:rPr>
                <w:b/>
                <w:bCs/>
                <w:color w:val="000000"/>
                <w:kern w:val="0"/>
                <w:szCs w:val="21"/>
              </w:rPr>
            </w:pPr>
            <w:r>
              <w:rPr>
                <w:b/>
                <w:bCs/>
                <w:color w:val="000000"/>
                <w:kern w:val="0"/>
                <w:szCs w:val="21"/>
              </w:rPr>
              <w:t>苗木规格</w:t>
            </w:r>
          </w:p>
        </w:tc>
        <w:tc>
          <w:tcPr>
            <w:tcW w:w="573" w:type="pct"/>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b/>
                <w:bCs/>
                <w:color w:val="000000"/>
                <w:kern w:val="0"/>
                <w:szCs w:val="21"/>
              </w:rPr>
            </w:pPr>
            <w:r>
              <w:rPr>
                <w:b/>
                <w:bCs/>
                <w:color w:val="000000"/>
                <w:kern w:val="0"/>
                <w:szCs w:val="21"/>
              </w:rPr>
              <w:t>初植密度  （株/亩）</w:t>
            </w:r>
          </w:p>
        </w:tc>
        <w:tc>
          <w:tcPr>
            <w:tcW w:w="674" w:type="pct"/>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b/>
                <w:bCs/>
                <w:color w:val="000000"/>
                <w:kern w:val="0"/>
                <w:szCs w:val="21"/>
              </w:rPr>
            </w:pPr>
            <w:r>
              <w:rPr>
                <w:b/>
                <w:bCs/>
                <w:color w:val="000000"/>
                <w:kern w:val="0"/>
                <w:szCs w:val="21"/>
              </w:rPr>
              <w:t>苗木需要量（株/亩）</w:t>
            </w:r>
          </w:p>
        </w:tc>
      </w:tr>
      <w:tr>
        <w:tblPrEx>
          <w:tblCellMar>
            <w:top w:w="0" w:type="dxa"/>
            <w:left w:w="108" w:type="dxa"/>
            <w:bottom w:w="0" w:type="dxa"/>
            <w:right w:w="108" w:type="dxa"/>
          </w:tblCellMar>
        </w:tblPrEx>
        <w:trPr>
          <w:trHeight w:val="20" w:hRule="atLeast"/>
          <w:jc w:val="center"/>
        </w:trPr>
        <w:tc>
          <w:tcPr>
            <w:tcW w:w="300" w:type="pc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云杉</w:t>
            </w:r>
          </w:p>
        </w:tc>
        <w:tc>
          <w:tcPr>
            <w:tcW w:w="356" w:type="pct"/>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Cs w:val="21"/>
              </w:rPr>
            </w:pPr>
            <w:r>
              <w:rPr>
                <w:color w:val="000000"/>
                <w:kern w:val="0"/>
                <w:szCs w:val="21"/>
              </w:rPr>
              <w:t>纯林</w:t>
            </w:r>
          </w:p>
        </w:tc>
        <w:tc>
          <w:tcPr>
            <w:tcW w:w="367" w:type="pct"/>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Cs w:val="21"/>
              </w:rPr>
            </w:pPr>
            <w:r>
              <w:rPr>
                <w:color w:val="000000"/>
                <w:kern w:val="0"/>
                <w:szCs w:val="21"/>
              </w:rPr>
              <w:t>　</w:t>
            </w:r>
          </w:p>
        </w:tc>
        <w:tc>
          <w:tcPr>
            <w:tcW w:w="356" w:type="pct"/>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Cs w:val="21"/>
              </w:rPr>
            </w:pPr>
            <w:r>
              <w:rPr>
                <w:color w:val="000000"/>
                <w:kern w:val="0"/>
                <w:szCs w:val="21"/>
              </w:rPr>
              <w:t>植苗</w:t>
            </w:r>
          </w:p>
        </w:tc>
        <w:tc>
          <w:tcPr>
            <w:tcW w:w="384" w:type="pct"/>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Cs w:val="21"/>
              </w:rPr>
            </w:pPr>
            <w:r>
              <w:rPr>
                <w:color w:val="000000"/>
                <w:kern w:val="0"/>
                <w:szCs w:val="21"/>
              </w:rPr>
              <w:t>品字型</w:t>
            </w:r>
          </w:p>
        </w:tc>
        <w:tc>
          <w:tcPr>
            <w:tcW w:w="449" w:type="pct"/>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Cs w:val="21"/>
              </w:rPr>
            </w:pPr>
            <w:r>
              <w:rPr>
                <w:color w:val="000000"/>
                <w:kern w:val="0"/>
                <w:szCs w:val="21"/>
              </w:rPr>
              <w:t>2.0</w:t>
            </w:r>
          </w:p>
        </w:tc>
        <w:tc>
          <w:tcPr>
            <w:tcW w:w="449" w:type="pct"/>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Cs w:val="21"/>
              </w:rPr>
            </w:pPr>
            <w:r>
              <w:rPr>
                <w:color w:val="000000"/>
                <w:kern w:val="0"/>
                <w:szCs w:val="21"/>
              </w:rPr>
              <w:t>3.0</w:t>
            </w:r>
          </w:p>
        </w:tc>
        <w:tc>
          <w:tcPr>
            <w:tcW w:w="356" w:type="pct"/>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Cs w:val="21"/>
              </w:rPr>
            </w:pPr>
            <w:r>
              <w:rPr>
                <w:color w:val="000000"/>
                <w:kern w:val="0"/>
                <w:szCs w:val="21"/>
              </w:rPr>
              <w:t>容器苗</w:t>
            </w:r>
          </w:p>
        </w:tc>
        <w:tc>
          <w:tcPr>
            <w:tcW w:w="738" w:type="pct"/>
            <w:tcBorders>
              <w:top w:val="nil"/>
              <w:left w:val="nil"/>
              <w:bottom w:val="single" w:color="auto" w:sz="4" w:space="0"/>
              <w:right w:val="single" w:color="auto" w:sz="4" w:space="0"/>
            </w:tcBorders>
            <w:shd w:val="clear" w:color="auto" w:fill="auto"/>
            <w:noWrap w:val="0"/>
            <w:vAlign w:val="center"/>
          </w:tcPr>
          <w:p>
            <w:pPr>
              <w:widowControl/>
              <w:jc w:val="left"/>
              <w:rPr>
                <w:color w:val="000000"/>
                <w:kern w:val="0"/>
                <w:szCs w:val="21"/>
              </w:rPr>
            </w:pPr>
            <w:r>
              <w:rPr>
                <w:color w:val="000000"/>
                <w:kern w:val="0"/>
                <w:szCs w:val="21"/>
              </w:rPr>
              <w:t>6-7年生，高30-50厘米</w:t>
            </w:r>
          </w:p>
        </w:tc>
        <w:tc>
          <w:tcPr>
            <w:tcW w:w="573" w:type="pct"/>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Cs w:val="21"/>
              </w:rPr>
            </w:pPr>
            <w:r>
              <w:rPr>
                <w:color w:val="000000"/>
                <w:kern w:val="0"/>
                <w:szCs w:val="21"/>
              </w:rPr>
              <w:t>111</w:t>
            </w:r>
          </w:p>
        </w:tc>
        <w:tc>
          <w:tcPr>
            <w:tcW w:w="674" w:type="pct"/>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128</w:t>
            </w:r>
          </w:p>
        </w:tc>
      </w:tr>
    </w:tbl>
    <w:p>
      <w:pPr>
        <w:tabs>
          <w:tab w:val="left" w:pos="0"/>
        </w:tabs>
        <w:rPr>
          <w:sz w:val="32"/>
          <w:szCs w:val="32"/>
        </w:rPr>
      </w:pPr>
      <w:r>
        <w:rPr>
          <w:sz w:val="32"/>
          <w:szCs w:val="32"/>
        </w:rPr>
        <w:t>造林模式图：</w:t>
      </w:r>
    </w:p>
    <w:p>
      <w:pPr>
        <w:tabs>
          <w:tab w:val="left" w:pos="0"/>
        </w:tabs>
        <w:jc w:val="center"/>
        <w:rPr>
          <w:rFonts w:eastAsia="仿宋"/>
          <w:sz w:val="28"/>
          <w:szCs w:val="28"/>
        </w:rPr>
      </w:pPr>
      <w:r>
        <w:rPr>
          <w:rFonts w:eastAsia="仿宋"/>
          <w:sz w:val="28"/>
          <w:szCs w:val="28"/>
        </w:rPr>
        <w:drawing>
          <wp:inline distT="0" distB="0" distL="114300" distR="114300">
            <wp:extent cx="5907405" cy="2938145"/>
            <wp:effectExtent l="0" t="0" r="17145" b="14605"/>
            <wp:docPr id="3" name="图片 1"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02"/>
                    <pic:cNvPicPr>
                      <a:picLocks noChangeAspect="1"/>
                    </pic:cNvPicPr>
                  </pic:nvPicPr>
                  <pic:blipFill>
                    <a:blip r:embed="rId4"/>
                    <a:stretch>
                      <a:fillRect/>
                    </a:stretch>
                  </pic:blipFill>
                  <pic:spPr>
                    <a:xfrm>
                      <a:off x="0" y="0"/>
                      <a:ext cx="5907405" cy="2938145"/>
                    </a:xfrm>
                    <a:prstGeom prst="rect">
                      <a:avLst/>
                    </a:prstGeom>
                    <a:noFill/>
                    <a:ln>
                      <a:noFill/>
                    </a:ln>
                  </pic:spPr>
                </pic:pic>
              </a:graphicData>
            </a:graphic>
          </wp:inline>
        </w:drawing>
      </w:r>
    </w:p>
    <w:p>
      <w:pPr>
        <w:spacing w:line="560" w:lineRule="exact"/>
        <w:rPr>
          <w:rFonts w:eastAsia="黑体"/>
          <w:sz w:val="30"/>
          <w:szCs w:val="30"/>
        </w:rPr>
      </w:pPr>
      <w:r>
        <w:rPr>
          <w:rFonts w:hint="eastAsia" w:eastAsia="黑体"/>
          <w:sz w:val="30"/>
          <w:szCs w:val="30"/>
          <w:lang w:val="en-US" w:eastAsia="zh-CN"/>
        </w:rPr>
        <w:t>1</w:t>
      </w:r>
      <w:r>
        <w:rPr>
          <w:rFonts w:eastAsia="黑体"/>
          <w:sz w:val="30"/>
          <w:szCs w:val="30"/>
        </w:rPr>
        <w:t>.2.5整地</w:t>
      </w:r>
    </w:p>
    <w:p>
      <w:pPr>
        <w:spacing w:line="360" w:lineRule="auto"/>
        <w:ind w:firstLine="560" w:firstLineChars="200"/>
        <w:rPr>
          <w:sz w:val="28"/>
          <w:szCs w:val="28"/>
        </w:rPr>
      </w:pPr>
      <w:r>
        <w:rPr>
          <w:sz w:val="28"/>
          <w:szCs w:val="28"/>
        </w:rPr>
        <w:t>造林前一年秋季整地，应进行机械开沟整地，要求沟深30厘米，沟间距为3.0米，开沟沿等高线方向，严禁全面机械整地，破坏原生植被。在沟内人工或机械穴状整地，整地规格为直径40厘米，深30厘米。穴状</w:t>
      </w:r>
      <w:r>
        <w:rPr>
          <w:rStyle w:val="8"/>
          <w:rFonts w:ascii="Times New Roman" w:hAnsi="Times New Roman"/>
          <w:sz w:val="28"/>
          <w:szCs w:val="28"/>
        </w:rPr>
        <w:t>整地将挖出的表土和下层土分开放置，穴底保留和回填5-10厘米疏松土壤。</w:t>
      </w:r>
    </w:p>
    <w:p>
      <w:pPr>
        <w:spacing w:line="360" w:lineRule="auto"/>
        <w:rPr>
          <w:rFonts w:eastAsia="仿宋_GB2312"/>
          <w:sz w:val="28"/>
          <w:szCs w:val="28"/>
        </w:rPr>
      </w:pPr>
      <w:r>
        <w:drawing>
          <wp:anchor distT="0" distB="0" distL="114300" distR="114300" simplePos="0" relativeHeight="251659264" behindDoc="1" locked="0" layoutInCell="1" allowOverlap="1">
            <wp:simplePos x="0" y="0"/>
            <wp:positionH relativeFrom="column">
              <wp:posOffset>-1270</wp:posOffset>
            </wp:positionH>
            <wp:positionV relativeFrom="paragraph">
              <wp:posOffset>462280</wp:posOffset>
            </wp:positionV>
            <wp:extent cx="5638800" cy="144780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638800" cy="1447800"/>
                    </a:xfrm>
                    <a:prstGeom prst="rect">
                      <a:avLst/>
                    </a:prstGeom>
                    <a:noFill/>
                    <a:ln>
                      <a:noFill/>
                    </a:ln>
                  </pic:spPr>
                </pic:pic>
              </a:graphicData>
            </a:graphic>
          </wp:anchor>
        </w:drawing>
      </w:r>
      <w:r>
        <w:rPr>
          <w:sz w:val="28"/>
          <w:szCs w:val="28"/>
        </w:rPr>
        <w:t>整地模式图：</w:t>
      </w:r>
    </w:p>
    <w:p>
      <w:pPr>
        <w:spacing w:line="540" w:lineRule="exact"/>
        <w:rPr>
          <w:rFonts w:eastAsia="黑体"/>
          <w:sz w:val="30"/>
          <w:szCs w:val="30"/>
        </w:rPr>
      </w:pPr>
      <w:r>
        <w:rPr>
          <w:rFonts w:hint="eastAsia" w:eastAsia="黑体"/>
          <w:sz w:val="30"/>
          <w:szCs w:val="30"/>
          <w:lang w:val="en-US" w:eastAsia="zh-CN"/>
        </w:rPr>
        <w:t>1</w:t>
      </w:r>
      <w:r>
        <w:rPr>
          <w:rFonts w:eastAsia="黑体"/>
          <w:sz w:val="30"/>
          <w:szCs w:val="30"/>
        </w:rPr>
        <w:t>.2.6栽植</w:t>
      </w:r>
    </w:p>
    <w:p>
      <w:pPr>
        <w:spacing w:line="540" w:lineRule="exact"/>
        <w:ind w:firstLine="560" w:firstLineChars="200"/>
        <w:rPr>
          <w:sz w:val="28"/>
          <w:szCs w:val="28"/>
        </w:rPr>
      </w:pPr>
      <w:r>
        <w:rPr>
          <w:sz w:val="28"/>
          <w:szCs w:val="28"/>
        </w:rPr>
        <w:t>（1）春季采用人工植苗造林方式，栽植时要求将容器苗放正立直，深浅适宜，</w:t>
      </w:r>
      <w:r>
        <w:rPr>
          <w:rStyle w:val="8"/>
          <w:rFonts w:ascii="Times New Roman" w:hAnsi="Times New Roman"/>
          <w:sz w:val="28"/>
          <w:szCs w:val="28"/>
        </w:rPr>
        <w:t>然后用挖出的表层土壤</w:t>
      </w:r>
      <w:r>
        <w:rPr>
          <w:sz w:val="28"/>
          <w:szCs w:val="28"/>
        </w:rPr>
        <w:t>分层回</w:t>
      </w:r>
      <w:r>
        <w:rPr>
          <w:rStyle w:val="8"/>
          <w:rFonts w:ascii="Times New Roman" w:hAnsi="Times New Roman"/>
          <w:sz w:val="28"/>
          <w:szCs w:val="28"/>
        </w:rPr>
        <w:t>填</w:t>
      </w:r>
      <w:r>
        <w:rPr>
          <w:sz w:val="28"/>
          <w:szCs w:val="28"/>
        </w:rPr>
        <w:t>覆土</w:t>
      </w:r>
      <w:r>
        <w:rPr>
          <w:rStyle w:val="8"/>
          <w:rFonts w:ascii="Times New Roman" w:hAnsi="Times New Roman"/>
          <w:sz w:val="28"/>
          <w:szCs w:val="28"/>
        </w:rPr>
        <w:t>踏实，</w:t>
      </w:r>
      <w:r>
        <w:rPr>
          <w:sz w:val="28"/>
          <w:szCs w:val="28"/>
        </w:rPr>
        <w:t>埋土深度适中，</w:t>
      </w:r>
      <w:r>
        <w:rPr>
          <w:rStyle w:val="8"/>
          <w:rFonts w:ascii="Times New Roman" w:hAnsi="Times New Roman"/>
          <w:sz w:val="28"/>
          <w:szCs w:val="28"/>
        </w:rPr>
        <w:t>踏实后穴内表面</w:t>
      </w:r>
      <w:r>
        <w:rPr>
          <w:sz w:val="28"/>
          <w:szCs w:val="28"/>
        </w:rPr>
        <w:t>不要超过苗木根径位置，并</w:t>
      </w:r>
      <w:r>
        <w:rPr>
          <w:rStyle w:val="8"/>
          <w:rFonts w:ascii="Times New Roman" w:hAnsi="Times New Roman"/>
          <w:sz w:val="28"/>
          <w:szCs w:val="28"/>
        </w:rPr>
        <w:t>保留蓄水坑5-10厘米</w:t>
      </w:r>
      <w:r>
        <w:rPr>
          <w:sz w:val="28"/>
          <w:szCs w:val="28"/>
        </w:rPr>
        <w:t>。</w:t>
      </w:r>
    </w:p>
    <w:p>
      <w:pPr>
        <w:spacing w:line="540" w:lineRule="exact"/>
        <w:ind w:firstLine="570"/>
        <w:rPr>
          <w:rFonts w:eastAsia="仿宋_GB2312"/>
          <w:sz w:val="28"/>
          <w:szCs w:val="28"/>
        </w:rPr>
      </w:pPr>
      <w:r>
        <w:rPr>
          <w:rStyle w:val="8"/>
          <w:rFonts w:ascii="Times New Roman" w:hAnsi="Times New Roman"/>
          <w:sz w:val="28"/>
          <w:szCs w:val="28"/>
        </w:rPr>
        <w:t>（2）栽植的苗木最好是随起随栽，当天起当天栽，</w:t>
      </w:r>
      <w:r>
        <w:rPr>
          <w:sz w:val="28"/>
          <w:szCs w:val="28"/>
        </w:rPr>
        <w:t>运到造林地的苗木，要及时栽植。若当天苗木供应栽植有剩余，应将其进行假植。</w:t>
      </w:r>
    </w:p>
    <w:p>
      <w:pPr>
        <w:spacing w:line="540" w:lineRule="exact"/>
        <w:rPr>
          <w:rFonts w:eastAsia="黑体"/>
          <w:sz w:val="30"/>
          <w:szCs w:val="30"/>
        </w:rPr>
      </w:pPr>
      <w:r>
        <w:rPr>
          <w:rFonts w:hint="eastAsia" w:eastAsia="黑体"/>
          <w:sz w:val="30"/>
          <w:szCs w:val="30"/>
          <w:lang w:val="en-US" w:eastAsia="zh-CN"/>
        </w:rPr>
        <w:t>1</w:t>
      </w:r>
      <w:r>
        <w:rPr>
          <w:rFonts w:eastAsia="黑体"/>
          <w:sz w:val="30"/>
          <w:szCs w:val="30"/>
        </w:rPr>
        <w:t>.2.7初植浇水</w:t>
      </w:r>
    </w:p>
    <w:p>
      <w:pPr>
        <w:spacing w:line="540" w:lineRule="exact"/>
        <w:ind w:firstLine="570"/>
        <w:rPr>
          <w:rStyle w:val="8"/>
          <w:rFonts w:ascii="Times New Roman" w:hAnsi="Times New Roman"/>
          <w:sz w:val="28"/>
          <w:szCs w:val="28"/>
        </w:rPr>
      </w:pPr>
      <w:r>
        <w:rPr>
          <w:rStyle w:val="8"/>
          <w:rFonts w:ascii="Times New Roman" w:hAnsi="Times New Roman"/>
          <w:sz w:val="28"/>
          <w:szCs w:val="28"/>
        </w:rPr>
        <w:t>根据墒情栽植完成并踏实后，如果土壤干燥，要进行适量浇足水，保证苗木成活。</w:t>
      </w:r>
    </w:p>
    <w:p>
      <w:pPr>
        <w:spacing w:line="540" w:lineRule="exact"/>
        <w:rPr>
          <w:rFonts w:eastAsia="黑体"/>
          <w:sz w:val="30"/>
          <w:szCs w:val="30"/>
        </w:rPr>
      </w:pPr>
      <w:r>
        <w:rPr>
          <w:rFonts w:hint="eastAsia" w:eastAsia="黑体"/>
          <w:sz w:val="30"/>
          <w:szCs w:val="30"/>
          <w:lang w:val="en-US" w:eastAsia="zh-CN"/>
        </w:rPr>
        <w:t>1</w:t>
      </w:r>
      <w:r>
        <w:rPr>
          <w:rFonts w:eastAsia="黑体"/>
          <w:sz w:val="30"/>
          <w:szCs w:val="30"/>
        </w:rPr>
        <w:t>.2.8未成林抚育</w:t>
      </w:r>
    </w:p>
    <w:p>
      <w:pPr>
        <w:pStyle w:val="5"/>
        <w:spacing w:line="540" w:lineRule="exact"/>
        <w:ind w:firstLine="560" w:firstLineChars="200"/>
        <w:rPr>
          <w:rFonts w:ascii="Times New Roman" w:hAnsi="Times New Roman"/>
          <w:sz w:val="28"/>
          <w:szCs w:val="28"/>
        </w:rPr>
      </w:pPr>
      <w:r>
        <w:rPr>
          <w:rFonts w:ascii="Times New Roman" w:hAnsi="Times New Roman"/>
          <w:sz w:val="28"/>
          <w:szCs w:val="28"/>
        </w:rPr>
        <w:t>造林后三年共抚育5次，即第一年和第二年各2次，第三年1次，包括松土、除草、浇水等。</w:t>
      </w:r>
    </w:p>
    <w:p>
      <w:pPr>
        <w:spacing w:line="540" w:lineRule="exact"/>
        <w:rPr>
          <w:rFonts w:eastAsia="黑体"/>
          <w:sz w:val="30"/>
          <w:szCs w:val="30"/>
        </w:rPr>
      </w:pPr>
      <w:r>
        <w:rPr>
          <w:rFonts w:hint="eastAsia" w:eastAsia="黑体"/>
          <w:sz w:val="30"/>
          <w:szCs w:val="30"/>
          <w:lang w:val="en-US" w:eastAsia="zh-CN"/>
        </w:rPr>
        <w:t>1</w:t>
      </w:r>
      <w:r>
        <w:rPr>
          <w:rFonts w:eastAsia="黑体"/>
          <w:sz w:val="30"/>
          <w:szCs w:val="30"/>
        </w:rPr>
        <w:t>.2.9补植</w:t>
      </w:r>
    </w:p>
    <w:p>
      <w:pPr>
        <w:spacing w:line="540" w:lineRule="exact"/>
        <w:ind w:firstLine="560" w:firstLineChars="200"/>
        <w:rPr>
          <w:sz w:val="28"/>
          <w:szCs w:val="28"/>
        </w:rPr>
      </w:pPr>
      <w:r>
        <w:rPr>
          <w:sz w:val="28"/>
          <w:szCs w:val="28"/>
        </w:rPr>
        <w:t>按设计完成造林任务且当年造林成活率在85%以上视为造林合格，成活率在41-84%应进行补植，成活率在40%以下进行重造。</w:t>
      </w:r>
    </w:p>
    <w:p>
      <w:pPr>
        <w:spacing w:line="540" w:lineRule="exact"/>
        <w:rPr>
          <w:rFonts w:eastAsia="黑体"/>
          <w:sz w:val="30"/>
          <w:szCs w:val="30"/>
        </w:rPr>
      </w:pPr>
      <w:r>
        <w:rPr>
          <w:rFonts w:hint="eastAsia" w:eastAsia="黑体"/>
          <w:sz w:val="30"/>
          <w:szCs w:val="30"/>
          <w:lang w:val="en-US" w:eastAsia="zh-CN"/>
        </w:rPr>
        <w:t>1</w:t>
      </w:r>
      <w:r>
        <w:rPr>
          <w:rFonts w:eastAsia="黑体"/>
          <w:sz w:val="30"/>
          <w:szCs w:val="30"/>
        </w:rPr>
        <w:t>.2.10防火、病虫害防治</w:t>
      </w:r>
    </w:p>
    <w:p>
      <w:pPr>
        <w:tabs>
          <w:tab w:val="left" w:pos="2985"/>
        </w:tabs>
        <w:spacing w:line="540" w:lineRule="exact"/>
        <w:ind w:firstLine="560" w:firstLineChars="200"/>
        <w:rPr>
          <w:sz w:val="28"/>
          <w:szCs w:val="28"/>
        </w:rPr>
      </w:pPr>
      <w:r>
        <w:rPr>
          <w:sz w:val="28"/>
          <w:szCs w:val="28"/>
        </w:rPr>
        <w:t>安排专职人员对造林地定期进行巡护，防止森林火灾、病虫害的发生和人畜破坏。对发现火情及病虫鼠害及时上报和防治，对发生人畜破坏造林地的，依法依规严肃处理。</w:t>
      </w:r>
    </w:p>
    <w:p>
      <w:pPr>
        <w:spacing w:line="560" w:lineRule="exact"/>
        <w:contextualSpacing/>
        <w:rPr>
          <w:rFonts w:eastAsia="黑体"/>
          <w:b/>
          <w:sz w:val="30"/>
          <w:szCs w:val="30"/>
        </w:rPr>
      </w:pPr>
      <w:r>
        <w:rPr>
          <w:rFonts w:hint="eastAsia" w:eastAsia="黑体"/>
          <w:sz w:val="30"/>
          <w:szCs w:val="30"/>
          <w:lang w:val="en-US" w:eastAsia="zh-CN"/>
        </w:rPr>
        <w:t>2</w:t>
      </w:r>
      <w:r>
        <w:rPr>
          <w:rFonts w:eastAsia="黑体"/>
          <w:sz w:val="30"/>
          <w:szCs w:val="30"/>
        </w:rPr>
        <w:t>.1.1苗木规格</w:t>
      </w:r>
      <w:bookmarkEnd w:id="9"/>
      <w:bookmarkEnd w:id="10"/>
      <w:bookmarkEnd w:id="11"/>
      <w:r>
        <w:rPr>
          <w:rFonts w:eastAsia="黑体"/>
          <w:sz w:val="30"/>
          <w:szCs w:val="30"/>
        </w:rPr>
        <w:t xml:space="preserve"> </w:t>
      </w:r>
    </w:p>
    <w:p>
      <w:pPr>
        <w:spacing w:line="560" w:lineRule="exact"/>
        <w:ind w:firstLine="700" w:firstLineChars="250"/>
        <w:rPr>
          <w:sz w:val="28"/>
          <w:szCs w:val="28"/>
        </w:rPr>
      </w:pPr>
      <w:r>
        <w:rPr>
          <w:bCs/>
          <w:sz w:val="28"/>
          <w:szCs w:val="28"/>
        </w:rPr>
        <w:t>项目造林苗木应达到《主要造林树种苗木质量分级》（GB/6000-1999））标准规定的苗木。</w:t>
      </w:r>
      <w:r>
        <w:rPr>
          <w:sz w:val="28"/>
          <w:szCs w:val="28"/>
        </w:rPr>
        <w:t>按照《容器育苗技术》</w:t>
      </w:r>
      <w:r>
        <w:rPr>
          <w:bCs/>
          <w:sz w:val="28"/>
          <w:szCs w:val="28"/>
        </w:rPr>
        <w:t>（GB/T1000-1991）</w:t>
      </w:r>
      <w:r>
        <w:rPr>
          <w:sz w:val="28"/>
          <w:szCs w:val="28"/>
        </w:rPr>
        <w:t>标准，苗木规格为6-7年生云杉容器苗,苗高不低于30厘米，地径不小于0.5厘米。</w:t>
      </w:r>
    </w:p>
    <w:p>
      <w:pPr>
        <w:spacing w:line="560" w:lineRule="exact"/>
        <w:contextualSpacing/>
        <w:rPr>
          <w:rFonts w:eastAsia="黑体"/>
          <w:sz w:val="28"/>
          <w:szCs w:val="28"/>
        </w:rPr>
      </w:pPr>
      <w:r>
        <w:rPr>
          <w:rFonts w:hint="eastAsia" w:eastAsia="黑体"/>
          <w:sz w:val="30"/>
          <w:szCs w:val="30"/>
          <w:lang w:val="en-US" w:eastAsia="zh-CN"/>
        </w:rPr>
        <w:t>2</w:t>
      </w:r>
      <w:r>
        <w:rPr>
          <w:rFonts w:eastAsia="黑体"/>
          <w:sz w:val="30"/>
          <w:szCs w:val="30"/>
        </w:rPr>
        <w:t>.1.2苗木需求量测算</w:t>
      </w:r>
    </w:p>
    <w:p>
      <w:pPr>
        <w:spacing w:line="560" w:lineRule="exact"/>
        <w:ind w:firstLine="560" w:firstLineChars="200"/>
        <w:rPr>
          <w:sz w:val="28"/>
          <w:szCs w:val="28"/>
        </w:rPr>
      </w:pPr>
      <w:r>
        <w:rPr>
          <w:sz w:val="28"/>
          <w:szCs w:val="28"/>
        </w:rPr>
        <w:t>按照确定的造林树种、初植密度和每亩苗木需要量设计，经计算共需要云杉容器苗512000株。</w:t>
      </w:r>
    </w:p>
    <w:p>
      <w:pPr>
        <w:pStyle w:val="4"/>
        <w:spacing w:before="0" w:after="0" w:line="560" w:lineRule="exact"/>
        <w:contextualSpacing/>
        <w:rPr>
          <w:rFonts w:ascii="Times New Roman" w:hAnsi="Times New Roman" w:eastAsia="黑体"/>
          <w:b w:val="0"/>
          <w:bCs w:val="0"/>
        </w:rPr>
      </w:pPr>
      <w:bookmarkStart w:id="22" w:name="_Toc78727396"/>
      <w:bookmarkStart w:id="23" w:name="_Toc112398126"/>
      <w:bookmarkStart w:id="24" w:name="_Toc78714094"/>
      <w:bookmarkStart w:id="25" w:name="_Toc78790013"/>
      <w:r>
        <w:rPr>
          <w:rFonts w:hint="eastAsia" w:ascii="Times New Roman" w:hAnsi="Times New Roman" w:eastAsia="黑体"/>
          <w:b w:val="0"/>
          <w:bCs w:val="0"/>
          <w:lang w:val="en-US" w:eastAsia="zh-CN"/>
        </w:rPr>
        <w:t>2</w:t>
      </w:r>
      <w:r>
        <w:rPr>
          <w:rFonts w:ascii="Times New Roman" w:hAnsi="Times New Roman" w:eastAsia="黑体"/>
          <w:b w:val="0"/>
          <w:bCs w:val="0"/>
        </w:rPr>
        <w:t>.2苗木供需平衡</w:t>
      </w:r>
      <w:bookmarkEnd w:id="22"/>
      <w:bookmarkEnd w:id="23"/>
      <w:bookmarkEnd w:id="24"/>
      <w:bookmarkEnd w:id="25"/>
    </w:p>
    <w:p>
      <w:pPr>
        <w:tabs>
          <w:tab w:val="left" w:pos="0"/>
          <w:tab w:val="left" w:pos="210"/>
        </w:tabs>
        <w:spacing w:line="560" w:lineRule="exact"/>
        <w:ind w:firstLine="560" w:firstLineChars="200"/>
        <w:rPr>
          <w:sz w:val="28"/>
          <w:szCs w:val="28"/>
        </w:rPr>
      </w:pPr>
      <w:r>
        <w:rPr>
          <w:sz w:val="28"/>
          <w:szCs w:val="28"/>
        </w:rPr>
        <w:t>苗木符合《容器育苗技术》标准，同时采购的苗木符合本项目造林对苗木的要求，方可造林作业。经调查，林业局各林场施业区内及其周边地区实有符合条件的云杉苗木供应充足，完全满足本森林植被恢复项目对苗木的需求。</w:t>
      </w:r>
    </w:p>
    <w:p>
      <w:pPr>
        <w:pStyle w:val="4"/>
        <w:spacing w:before="0" w:after="0" w:line="560" w:lineRule="exact"/>
        <w:contextualSpacing/>
        <w:rPr>
          <w:rFonts w:ascii="Times New Roman" w:hAnsi="Times New Roman" w:eastAsia="黑体"/>
          <w:b w:val="0"/>
          <w:bCs w:val="0"/>
        </w:rPr>
      </w:pPr>
      <w:bookmarkStart w:id="26" w:name="_Toc78714095"/>
      <w:bookmarkStart w:id="27" w:name="_Toc112398127"/>
      <w:bookmarkStart w:id="28" w:name="_Toc78790014"/>
      <w:bookmarkStart w:id="29" w:name="_Toc78727397"/>
      <w:r>
        <w:rPr>
          <w:rFonts w:hint="eastAsia" w:ascii="Times New Roman" w:hAnsi="Times New Roman" w:eastAsia="黑体"/>
          <w:b w:val="0"/>
          <w:bCs w:val="0"/>
          <w:lang w:val="en-US" w:eastAsia="zh-CN"/>
        </w:rPr>
        <w:t>2</w:t>
      </w:r>
      <w:r>
        <w:rPr>
          <w:rFonts w:ascii="Times New Roman" w:hAnsi="Times New Roman" w:eastAsia="黑体"/>
          <w:b w:val="0"/>
          <w:bCs w:val="0"/>
        </w:rPr>
        <w:t>.3苗木检疫</w:t>
      </w:r>
      <w:bookmarkEnd w:id="26"/>
      <w:bookmarkEnd w:id="27"/>
      <w:bookmarkEnd w:id="28"/>
      <w:bookmarkEnd w:id="29"/>
    </w:p>
    <w:p>
      <w:pPr>
        <w:tabs>
          <w:tab w:val="left" w:pos="0"/>
          <w:tab w:val="left" w:pos="210"/>
        </w:tabs>
        <w:spacing w:line="560" w:lineRule="exact"/>
        <w:ind w:firstLine="630" w:firstLineChars="225"/>
        <w:rPr>
          <w:sz w:val="28"/>
          <w:szCs w:val="28"/>
        </w:rPr>
      </w:pPr>
      <w:r>
        <w:rPr>
          <w:sz w:val="28"/>
          <w:szCs w:val="28"/>
        </w:rPr>
        <w:t>项目所需苗木的生产和经营实行“三证一签”制度，必须具备质量检验证、植物检疫证。杜绝在造林过程中使用劣质的、带疫情的不合格苗木和来源不明的苗木。</w:t>
      </w:r>
    </w:p>
    <w:p>
      <w:pPr>
        <w:pStyle w:val="4"/>
        <w:spacing w:before="0" w:after="0" w:line="560" w:lineRule="exact"/>
        <w:contextualSpacing/>
        <w:rPr>
          <w:rFonts w:ascii="Times New Roman" w:hAnsi="Times New Roman" w:eastAsia="黑体"/>
          <w:b w:val="0"/>
          <w:bCs w:val="0"/>
        </w:rPr>
      </w:pPr>
      <w:bookmarkStart w:id="30" w:name="_Toc78727398"/>
      <w:bookmarkStart w:id="31" w:name="_Toc78790015"/>
      <w:bookmarkStart w:id="32" w:name="_Toc112398128"/>
      <w:bookmarkStart w:id="33" w:name="_Toc78714096"/>
      <w:r>
        <w:rPr>
          <w:rFonts w:hint="eastAsia" w:ascii="Times New Roman" w:hAnsi="Times New Roman" w:eastAsia="黑体"/>
          <w:b w:val="0"/>
          <w:bCs w:val="0"/>
          <w:lang w:val="en-US" w:eastAsia="zh-CN"/>
        </w:rPr>
        <w:t>2</w:t>
      </w:r>
      <w:r>
        <w:rPr>
          <w:rFonts w:ascii="Times New Roman" w:hAnsi="Times New Roman" w:eastAsia="黑体"/>
          <w:b w:val="0"/>
          <w:bCs w:val="0"/>
        </w:rPr>
        <w:t>.4苗木运输管理</w:t>
      </w:r>
      <w:bookmarkEnd w:id="30"/>
      <w:bookmarkEnd w:id="31"/>
      <w:bookmarkEnd w:id="32"/>
      <w:bookmarkEnd w:id="33"/>
    </w:p>
    <w:p>
      <w:pPr>
        <w:tabs>
          <w:tab w:val="left" w:pos="0"/>
          <w:tab w:val="left" w:pos="210"/>
        </w:tabs>
        <w:spacing w:line="560" w:lineRule="exact"/>
        <w:ind w:firstLine="560" w:firstLineChars="200"/>
        <w:rPr>
          <w:sz w:val="28"/>
          <w:szCs w:val="28"/>
        </w:rPr>
      </w:pPr>
      <w:r>
        <w:rPr>
          <w:sz w:val="28"/>
          <w:szCs w:val="28"/>
        </w:rPr>
        <w:t>苗木在运输过程中应加强管理，将苗木用苫布盖好，保持容器苗湿度，确保苗木的水分不被蒸发和容器的完整。应尽量缩短从起苗到栽植的时间，使起苗与造林紧密衔接，为提高造林成活率提供保障。</w:t>
      </w:r>
    </w:p>
    <w:p>
      <w:pPr>
        <w:rPr>
          <w:rFonts w:hint="default"/>
          <w:lang w:val="en-US" w:eastAsia="zh-CN"/>
        </w:rPr>
      </w:pPr>
    </w:p>
    <w:p>
      <w:pPr>
        <w:rPr>
          <w:rFonts w:hint="eastAsia"/>
          <w:lang w:val="en-US" w:eastAsia="zh-CN"/>
        </w:rPr>
      </w:pPr>
    </w:p>
    <w:p>
      <w:pPr>
        <w:pStyle w:val="2"/>
        <w:rPr>
          <w:rFonts w:hint="default"/>
          <w:lang w:val="en-US" w:eastAsia="zh-CN"/>
        </w:rPr>
      </w:pPr>
    </w:p>
    <w:p>
      <w:pPr>
        <w:rPr>
          <w:rFonts w:hint="default"/>
          <w:lang w:val="en-US"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iODBjZDhiYzdmOTM3M2JmOGNlMDM0MDYwYmI5ZjEifQ=="/>
  </w:docVars>
  <w:rsids>
    <w:rsidRoot w:val="21931BC6"/>
    <w:rsid w:val="1FFE0E34"/>
    <w:rsid w:val="21931BC6"/>
    <w:rsid w:val="4C152F74"/>
    <w:rsid w:val="58FA5515"/>
    <w:rsid w:val="6A29609D"/>
    <w:rsid w:val="7CE01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Chars="200" w:hanging="200" w:hangingChars="200"/>
    </w:pPr>
  </w:style>
  <w:style w:type="paragraph" w:styleId="5">
    <w:name w:val="Plain Text"/>
    <w:basedOn w:val="1"/>
    <w:link w:val="8"/>
    <w:uiPriority w:val="0"/>
    <w:rPr>
      <w:rFonts w:ascii="宋体" w:hAnsi="Courier New" w:eastAsia="宋体"/>
      <w:kern w:val="2"/>
      <w:sz w:val="21"/>
      <w:lang w:val="en-US" w:eastAsia="zh-CN"/>
    </w:rPr>
  </w:style>
  <w:style w:type="character" w:customStyle="1" w:styleId="8">
    <w:name w:val="纯文本 字符"/>
    <w:link w:val="5"/>
    <w:qFormat/>
    <w:uiPriority w:val="0"/>
    <w:rPr>
      <w:rFonts w:ascii="宋体" w:hAnsi="Courier New" w:eastAsia="宋体"/>
      <w:kern w:val="2"/>
      <w:sz w:val="21"/>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1411</Words>
  <Characters>1560</Characters>
  <Lines>0</Lines>
  <Paragraphs>0</Paragraphs>
  <TotalTime>24</TotalTime>
  <ScaleCrop>false</ScaleCrop>
  <LinksUpToDate>false</LinksUpToDate>
  <CharactersWithSpaces>1589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2022-09-29T09:50:00Z</dcterms:created>
  <dc:creator>Hello！好大儿</dc:creator>
  <cp:lastModifiedBy>Lenovo</cp:lastModifiedBy>
  <dcterms:modified xsi:type="dcterms:W3CDTF">2023-03-01T08:59:24Z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02129B2A00544DE6A904F178A08B374E</vt:lpwstr>
  </property>
</Properties>
</file>