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sz w:val="28"/>
          <w:szCs w:val="28"/>
        </w:rPr>
      </w:pPr>
      <w:r>
        <w:rPr>
          <w:rFonts w:hint="eastAsia"/>
          <w:sz w:val="28"/>
          <w:szCs w:val="28"/>
        </w:rPr>
        <w:t>技术标准与要求</w:t>
      </w:r>
    </w:p>
    <w:tbl>
      <w:tblPr>
        <w:tblStyle w:val="9"/>
        <w:tblW w:w="896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0"/>
        <w:gridCol w:w="2002"/>
        <w:gridCol w:w="1800"/>
        <w:gridCol w:w="1091"/>
        <w:gridCol w:w="948"/>
        <w:gridCol w:w="1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序号</w:t>
            </w:r>
          </w:p>
        </w:tc>
        <w:tc>
          <w:tcPr>
            <w:tcW w:w="85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核心产品要求（“△”）</w:t>
            </w:r>
          </w:p>
        </w:tc>
        <w:tc>
          <w:tcPr>
            <w:tcW w:w="2002"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品目名称</w:t>
            </w:r>
          </w:p>
        </w:tc>
        <w:tc>
          <w:tcPr>
            <w:tcW w:w="180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标的需求名称</w:t>
            </w:r>
          </w:p>
        </w:tc>
        <w:tc>
          <w:tcPr>
            <w:tcW w:w="1091"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数量</w:t>
            </w:r>
          </w:p>
        </w:tc>
        <w:tc>
          <w:tcPr>
            <w:tcW w:w="948"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单位</w:t>
            </w:r>
          </w:p>
        </w:tc>
        <w:tc>
          <w:tcPr>
            <w:tcW w:w="1425"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招标技术要求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12"/>
              <w:numPr>
                <w:ilvl w:val="0"/>
                <w:numId w:val="1"/>
              </w:numPr>
              <w:spacing w:line="360" w:lineRule="auto"/>
              <w:ind w:firstLineChars="0"/>
              <w:rPr>
                <w:rFonts w:hint="eastAsia" w:ascii="宋体" w:hAnsi="宋体" w:eastAsia="宋体" w:cs="宋体"/>
                <w:b w:val="0"/>
                <w:bCs w:val="0"/>
                <w:color w:val="000000" w:themeColor="text1"/>
                <w:kern w:val="0"/>
                <w:sz w:val="24"/>
                <w:szCs w:val="24"/>
                <w14:textFill>
                  <w14:solidFill>
                    <w14:schemeClr w14:val="tx1"/>
                  </w14:solidFill>
                </w14:textFill>
              </w:rPr>
            </w:pPr>
          </w:p>
        </w:tc>
        <w:tc>
          <w:tcPr>
            <w:tcW w:w="85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p>
        </w:tc>
        <w:tc>
          <w:tcPr>
            <w:tcW w:w="2002"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防火墙</w:t>
            </w:r>
          </w:p>
        </w:tc>
        <w:tc>
          <w:tcPr>
            <w:tcW w:w="180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防火墙</w:t>
            </w:r>
          </w:p>
        </w:tc>
        <w:tc>
          <w:tcPr>
            <w:tcW w:w="1091" w:type="dxa"/>
            <w:vAlign w:val="center"/>
          </w:tcPr>
          <w:p>
            <w:pPr>
              <w:spacing w:line="360" w:lineRule="auto"/>
              <w:jc w:val="center"/>
              <w:rPr>
                <w:rFonts w:hint="eastAsia" w:ascii="宋体" w:hAnsi="宋体" w:eastAsia="宋体" w:cs="宋体"/>
                <w:b w:val="0"/>
                <w:bCs w:val="0"/>
                <w:color w:val="000000" w:themeColor="text1"/>
                <w:kern w:val="0"/>
                <w:sz w:val="24"/>
                <w:szCs w:val="24"/>
                <w:lang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2</w:t>
            </w:r>
          </w:p>
        </w:tc>
        <w:tc>
          <w:tcPr>
            <w:tcW w:w="948"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套</w:t>
            </w:r>
          </w:p>
        </w:tc>
        <w:tc>
          <w:tcPr>
            <w:tcW w:w="1425"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附表一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 w:type="dxa"/>
          </w:tcPr>
          <w:p>
            <w:pPr>
              <w:pStyle w:val="12"/>
              <w:numPr>
                <w:ilvl w:val="0"/>
                <w:numId w:val="1"/>
              </w:numPr>
              <w:spacing w:line="360" w:lineRule="auto"/>
              <w:ind w:firstLineChars="0"/>
              <w:rPr>
                <w:rFonts w:hint="eastAsia" w:ascii="宋体" w:hAnsi="宋体" w:eastAsia="宋体" w:cs="宋体"/>
                <w:b w:val="0"/>
                <w:bCs w:val="0"/>
                <w:color w:val="000000" w:themeColor="text1"/>
                <w:kern w:val="0"/>
                <w:sz w:val="24"/>
                <w:szCs w:val="24"/>
                <w14:textFill>
                  <w14:solidFill>
                    <w14:schemeClr w14:val="tx1"/>
                  </w14:solidFill>
                </w14:textFill>
              </w:rPr>
            </w:pPr>
          </w:p>
        </w:tc>
        <w:tc>
          <w:tcPr>
            <w:tcW w:w="85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p>
        </w:tc>
        <w:tc>
          <w:tcPr>
            <w:tcW w:w="2002"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日志审计</w:t>
            </w:r>
          </w:p>
        </w:tc>
        <w:tc>
          <w:tcPr>
            <w:tcW w:w="1800"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日志审计</w:t>
            </w:r>
          </w:p>
        </w:tc>
        <w:tc>
          <w:tcPr>
            <w:tcW w:w="1091"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1</w:t>
            </w:r>
          </w:p>
        </w:tc>
        <w:tc>
          <w:tcPr>
            <w:tcW w:w="948"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套</w:t>
            </w:r>
          </w:p>
        </w:tc>
        <w:tc>
          <w:tcPr>
            <w:tcW w:w="1425" w:type="dxa"/>
            <w:vAlign w:val="center"/>
          </w:tcPr>
          <w:p>
            <w:pPr>
              <w:spacing w:line="360" w:lineRule="auto"/>
              <w:jc w:val="center"/>
              <w:rPr>
                <w:rFonts w:hint="eastAsia" w:ascii="宋体" w:hAnsi="宋体" w:eastAsia="宋体" w:cs="宋体"/>
                <w:b w:val="0"/>
                <w:bCs w:val="0"/>
                <w:color w:val="000000" w:themeColor="text1"/>
                <w:kern w:val="0"/>
                <w:sz w:val="24"/>
                <w:szCs w:val="24"/>
                <w:lang w:eastAsia="zh-CN"/>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附表</w:t>
            </w:r>
            <w:r>
              <w:rPr>
                <w:rFonts w:hint="eastAsia" w:ascii="宋体" w:hAnsi="宋体" w:cs="宋体"/>
                <w:b w:val="0"/>
                <w:bCs w:val="0"/>
                <w:color w:val="000000" w:themeColor="text1"/>
                <w:kern w:val="0"/>
                <w:sz w:val="24"/>
                <w:szCs w:val="24"/>
                <w:lang w:val="en-US" w:eastAsia="zh-CN"/>
                <w14:textFill>
                  <w14:solidFill>
                    <w14:schemeClr w14:val="tx1"/>
                  </w14:solidFill>
                </w14:textFill>
              </w:rPr>
              <w:t>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1" w:type="dxa"/>
          </w:tcPr>
          <w:p>
            <w:pPr>
              <w:pStyle w:val="12"/>
              <w:numPr>
                <w:ilvl w:val="0"/>
                <w:numId w:val="1"/>
              </w:numPr>
              <w:spacing w:line="360" w:lineRule="auto"/>
              <w:ind w:firstLineChars="0"/>
              <w:rPr>
                <w:rFonts w:hint="eastAsia" w:ascii="宋体" w:hAnsi="宋体" w:eastAsia="宋体" w:cs="宋体"/>
                <w:b w:val="0"/>
                <w:bCs w:val="0"/>
                <w:color w:val="000000" w:themeColor="text1"/>
                <w:kern w:val="0"/>
                <w:sz w:val="24"/>
                <w:szCs w:val="24"/>
                <w14:textFill>
                  <w14:solidFill>
                    <w14:schemeClr w14:val="tx1"/>
                  </w14:solidFill>
                </w14:textFill>
              </w:rPr>
            </w:pPr>
          </w:p>
        </w:tc>
        <w:tc>
          <w:tcPr>
            <w:tcW w:w="85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p>
        </w:tc>
        <w:tc>
          <w:tcPr>
            <w:tcW w:w="2002" w:type="dxa"/>
            <w:vAlign w:val="center"/>
          </w:tcPr>
          <w:p>
            <w:pPr>
              <w:spacing w:line="360" w:lineRule="auto"/>
              <w:jc w:val="center"/>
              <w:rPr>
                <w:rFonts w:hint="default"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漏洞扫描</w:t>
            </w:r>
          </w:p>
        </w:tc>
        <w:tc>
          <w:tcPr>
            <w:tcW w:w="1800"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t>漏洞扫描</w:t>
            </w:r>
          </w:p>
        </w:tc>
        <w:tc>
          <w:tcPr>
            <w:tcW w:w="1091"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1</w:t>
            </w:r>
          </w:p>
        </w:tc>
        <w:tc>
          <w:tcPr>
            <w:tcW w:w="948"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套</w:t>
            </w:r>
          </w:p>
        </w:tc>
        <w:tc>
          <w:tcPr>
            <w:tcW w:w="1425" w:type="dxa"/>
            <w:vAlign w:val="center"/>
          </w:tcPr>
          <w:p>
            <w:pPr>
              <w:spacing w:line="360" w:lineRule="auto"/>
              <w:jc w:val="center"/>
              <w:rPr>
                <w:rFonts w:hint="eastAsia" w:ascii="宋体" w:hAnsi="宋体" w:eastAsia="宋体" w:cs="宋体"/>
                <w:b w:val="0"/>
                <w:bCs w:val="0"/>
                <w:color w:val="000000" w:themeColor="text1"/>
                <w:kern w:val="0"/>
                <w:sz w:val="24"/>
                <w:szCs w:val="24"/>
                <w:lang w:eastAsia="zh-CN"/>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附表</w:t>
            </w:r>
            <w:r>
              <w:rPr>
                <w:rFonts w:hint="eastAsia" w:ascii="宋体" w:hAnsi="宋体" w:cs="宋体"/>
                <w:b w:val="0"/>
                <w:bCs w:val="0"/>
                <w:color w:val="000000" w:themeColor="text1"/>
                <w:kern w:val="0"/>
                <w:sz w:val="24"/>
                <w:szCs w:val="24"/>
                <w:lang w:val="en-US" w:eastAsia="zh-CN"/>
                <w14:textFill>
                  <w14:solidFill>
                    <w14:schemeClr w14:val="tx1"/>
                  </w14:solidFill>
                </w14:textFill>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1" w:type="dxa"/>
          </w:tcPr>
          <w:p>
            <w:pPr>
              <w:pStyle w:val="12"/>
              <w:numPr>
                <w:ilvl w:val="0"/>
                <w:numId w:val="1"/>
              </w:numPr>
              <w:spacing w:line="360" w:lineRule="auto"/>
              <w:ind w:firstLineChars="0"/>
              <w:rPr>
                <w:rFonts w:hint="eastAsia" w:ascii="宋体" w:hAnsi="宋体" w:eastAsia="宋体" w:cs="宋体"/>
                <w:b w:val="0"/>
                <w:bCs w:val="0"/>
                <w:color w:val="000000" w:themeColor="text1"/>
                <w:kern w:val="0"/>
                <w:sz w:val="24"/>
                <w:szCs w:val="24"/>
                <w14:textFill>
                  <w14:solidFill>
                    <w14:schemeClr w14:val="tx1"/>
                  </w14:solidFill>
                </w14:textFill>
              </w:rPr>
            </w:pPr>
          </w:p>
        </w:tc>
        <w:tc>
          <w:tcPr>
            <w:tcW w:w="850" w:type="dxa"/>
            <w:vAlign w:val="center"/>
          </w:tcPr>
          <w:p>
            <w:pPr>
              <w:spacing w:line="360" w:lineRule="auto"/>
              <w:jc w:val="center"/>
              <w:rPr>
                <w:rFonts w:hint="eastAsia" w:ascii="宋体" w:hAnsi="宋体" w:eastAsia="宋体" w:cs="宋体"/>
                <w:b w:val="0"/>
                <w:bCs w:val="0"/>
                <w:color w:val="000000" w:themeColor="text1"/>
                <w:kern w:val="0"/>
                <w:sz w:val="24"/>
                <w:szCs w:val="24"/>
                <w14:textFill>
                  <w14:solidFill>
                    <w14:schemeClr w14:val="tx1"/>
                  </w14:solidFill>
                </w14:textFill>
              </w:rPr>
            </w:pPr>
          </w:p>
        </w:tc>
        <w:tc>
          <w:tcPr>
            <w:tcW w:w="2002" w:type="dxa"/>
            <w:vAlign w:val="center"/>
          </w:tcPr>
          <w:p>
            <w:pPr>
              <w:spacing w:line="360" w:lineRule="auto"/>
              <w:jc w:val="center"/>
              <w:rPr>
                <w:rFonts w:hint="default" w:ascii="宋体" w:hAnsi="宋体" w:cs="宋体"/>
                <w:b w:val="0"/>
                <w:bCs w:val="0"/>
                <w:color w:val="000000" w:themeColor="text1"/>
                <w:kern w:val="0"/>
                <w:sz w:val="24"/>
                <w:szCs w:val="24"/>
                <w:lang w:val="en-US"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堡垒机</w:t>
            </w:r>
          </w:p>
        </w:tc>
        <w:tc>
          <w:tcPr>
            <w:tcW w:w="1800" w:type="dxa"/>
            <w:vAlign w:val="center"/>
          </w:tcPr>
          <w:p>
            <w:pPr>
              <w:spacing w:line="360" w:lineRule="auto"/>
              <w:jc w:val="center"/>
              <w:rPr>
                <w:rFonts w:hint="default"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堡垒机</w:t>
            </w:r>
          </w:p>
        </w:tc>
        <w:tc>
          <w:tcPr>
            <w:tcW w:w="1091"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1</w:t>
            </w:r>
          </w:p>
        </w:tc>
        <w:tc>
          <w:tcPr>
            <w:tcW w:w="948"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cs="宋体"/>
                <w:b w:val="0"/>
                <w:bCs w:val="0"/>
                <w:color w:val="000000" w:themeColor="text1"/>
                <w:kern w:val="0"/>
                <w:sz w:val="24"/>
                <w:szCs w:val="24"/>
                <w:lang w:val="en-US" w:eastAsia="zh-CN"/>
                <w14:textFill>
                  <w14:solidFill>
                    <w14:schemeClr w14:val="tx1"/>
                  </w14:solidFill>
                </w14:textFill>
              </w:rPr>
              <w:t>套</w:t>
            </w:r>
          </w:p>
        </w:tc>
        <w:tc>
          <w:tcPr>
            <w:tcW w:w="1425" w:type="dxa"/>
            <w:vAlign w:val="center"/>
          </w:tcPr>
          <w:p>
            <w:pPr>
              <w:spacing w:line="360" w:lineRule="auto"/>
              <w:jc w:val="center"/>
              <w:rPr>
                <w:rFonts w:hint="eastAsia" w:ascii="宋体" w:hAnsi="宋体" w:eastAsia="宋体" w:cs="宋体"/>
                <w:b w:val="0"/>
                <w:bCs w:val="0"/>
                <w:color w:val="000000" w:themeColor="text1"/>
                <w:kern w:val="0"/>
                <w:sz w:val="24"/>
                <w:szCs w:val="24"/>
                <w:lang w:val="en-US" w:eastAsia="zh-CN"/>
                <w14:textFill>
                  <w14:solidFill>
                    <w14:schemeClr w14:val="tx1"/>
                  </w14:solidFill>
                </w14:textFill>
              </w:rPr>
            </w:pPr>
            <w:r>
              <w:rPr>
                <w:rFonts w:hint="eastAsia" w:ascii="宋体" w:hAnsi="宋体" w:eastAsia="宋体" w:cs="宋体"/>
                <w:b w:val="0"/>
                <w:bCs w:val="0"/>
                <w:color w:val="000000" w:themeColor="text1"/>
                <w:kern w:val="0"/>
                <w:sz w:val="24"/>
                <w:szCs w:val="24"/>
                <w14:textFill>
                  <w14:solidFill>
                    <w14:schemeClr w14:val="tx1"/>
                  </w14:solidFill>
                </w14:textFill>
              </w:rPr>
              <w:t>附表</w:t>
            </w:r>
            <w:r>
              <w:rPr>
                <w:rFonts w:hint="eastAsia" w:ascii="宋体" w:hAnsi="宋体" w:cs="宋体"/>
                <w:b w:val="0"/>
                <w:bCs w:val="0"/>
                <w:color w:val="000000" w:themeColor="text1"/>
                <w:kern w:val="0"/>
                <w:sz w:val="24"/>
                <w:szCs w:val="24"/>
                <w:lang w:val="en-US" w:eastAsia="zh-CN"/>
                <w14:textFill>
                  <w14:solidFill>
                    <w14:schemeClr w14:val="tx1"/>
                  </w14:solidFill>
                </w14:textFill>
              </w:rPr>
              <w:t>四</w:t>
            </w:r>
          </w:p>
        </w:tc>
      </w:tr>
    </w:tbl>
    <w:p>
      <w:pPr>
        <w:widowControl/>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br w:type="page"/>
      </w:r>
      <w:r>
        <w:rPr>
          <w:rFonts w:hint="eastAsia" w:ascii="宋体" w:hAnsi="宋体" w:eastAsia="宋体" w:cs="宋体"/>
          <w:sz w:val="24"/>
          <w:szCs w:val="24"/>
        </w:rPr>
        <w:t>附表一:防火墙</w:t>
      </w:r>
    </w:p>
    <w:tbl>
      <w:tblPr>
        <w:tblStyle w:val="8"/>
        <w:tblW w:w="9632"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85"/>
        <w:gridCol w:w="709"/>
        <w:gridCol w:w="992"/>
        <w:gridCol w:w="6946"/>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参数性质</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编号</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技术指标名称</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具体技术（参数）要求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性能要求</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网络层吞吐量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4G，应用层吞吐量</w:t>
            </w: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G，IPS吞吐量</w:t>
            </w: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r>
              <w:rPr>
                <w:rFonts w:hint="eastAsia" w:ascii="宋体" w:hAnsi="宋体" w:eastAsia="宋体" w:cs="宋体"/>
                <w:b w:val="0"/>
                <w:bCs w:val="0"/>
                <w:color w:val="000000" w:themeColor="text1"/>
                <w:sz w:val="24"/>
                <w:szCs w:val="24"/>
                <w14:textFill>
                  <w14:solidFill>
                    <w14:schemeClr w14:val="tx1"/>
                  </w14:solidFill>
                </w14:textFill>
              </w:rPr>
              <w:t>00M，连接数</w:t>
            </w: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14:textFill>
                  <w14:solidFill>
                    <w14:schemeClr w14:val="tx1"/>
                  </w14:solidFill>
                </w14:textFill>
              </w:rPr>
              <w:t>00万，HTTP新建连接数</w:t>
            </w:r>
            <w:r>
              <w:rPr>
                <w:rFonts w:hint="eastAsia" w:ascii="宋体" w:hAnsi="宋体" w:eastAsia="宋体" w:cs="宋体"/>
                <w:b w:val="0"/>
                <w:bCs w:val="0"/>
                <w:color w:val="000000" w:themeColor="text1"/>
                <w:sz w:val="24"/>
                <w:szCs w:val="24"/>
                <w:lang w:val="en-US" w:eastAsia="zh-CN"/>
                <w14:textFill>
                  <w14:solidFill>
                    <w14:schemeClr w14:val="tx1"/>
                  </w14:solidFill>
                </w14:textFill>
              </w:rPr>
              <w:t>≥2.5</w:t>
            </w:r>
            <w:r>
              <w:rPr>
                <w:rFonts w:hint="eastAsia" w:ascii="宋体" w:hAnsi="宋体" w:eastAsia="宋体" w:cs="宋体"/>
                <w:b w:val="0"/>
                <w:bCs w:val="0"/>
                <w:color w:val="000000" w:themeColor="text1"/>
                <w:sz w:val="24"/>
                <w:szCs w:val="24"/>
                <w14:textFill>
                  <w14:solidFill>
                    <w14:schemeClr w14:val="tx1"/>
                  </w14:solidFill>
                </w14:textFill>
              </w:rPr>
              <w:t>万，IPSec VPN吞吐量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2</w:t>
            </w:r>
            <w:r>
              <w:rPr>
                <w:rFonts w:hint="eastAsia" w:ascii="宋体" w:hAnsi="宋体" w:eastAsia="宋体" w:cs="宋体"/>
                <w:b w:val="0"/>
                <w:bCs w:val="0"/>
                <w:color w:val="000000" w:themeColor="text1"/>
                <w:sz w:val="24"/>
                <w:szCs w:val="24"/>
                <w:lang w:val="en-US" w:eastAsia="zh-CN"/>
                <w14:textFill>
                  <w14:solidFill>
                    <w14:schemeClr w14:val="tx1"/>
                  </w14:solidFill>
                </w14:textFill>
              </w:rPr>
              <w:t>0</w:t>
            </w:r>
            <w:r>
              <w:rPr>
                <w:rFonts w:hint="eastAsia" w:ascii="宋体" w:hAnsi="宋体" w:eastAsia="宋体" w:cs="宋体"/>
                <w:b w:val="0"/>
                <w:bCs w:val="0"/>
                <w:color w:val="000000" w:themeColor="text1"/>
                <w:sz w:val="24"/>
                <w:szCs w:val="24"/>
                <w14:textFill>
                  <w14:solidFill>
                    <w14:schemeClr w14:val="tx1"/>
                  </w14:solidFill>
                </w14:textFill>
              </w:rPr>
              <w:t>0M</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内存大小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4G，硬盘容量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128G SSD，接口</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8千兆电口+2千兆光口SFP+2万兆光口SFP</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含光纤线-多模-LC-LC-3M≥2;万兆多模-850-300m-双纤≥2</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2.</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路由特性</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产品支持路由类型、协议类型、网络对象、国家地区等条件进行自动选路的策略路由，支持不少于3种的调度算法，至少包括带宽比例、加权流量、线路优先等。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9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3.</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VPN功能</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产品支持IPSec VPN智能选路功能，根据线路质量和应用实现自动链路切换</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4.</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应用识别</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产品支持应用管控功能，应用特征识别库数量大于9</w:t>
            </w:r>
            <w:r>
              <w:rPr>
                <w:rFonts w:hint="eastAsia" w:ascii="宋体" w:hAnsi="宋体" w:eastAsia="宋体" w:cs="宋体"/>
                <w:b w:val="0"/>
                <w:bCs w:val="0"/>
                <w:color w:val="000000" w:themeColor="text1"/>
                <w:sz w:val="24"/>
                <w:szCs w:val="24"/>
                <w:lang w:val="en-US" w:eastAsia="zh-CN"/>
                <w14:textFill>
                  <w14:solidFill>
                    <w14:schemeClr w14:val="tx1"/>
                  </w14:solidFill>
                </w14:textFill>
              </w:rPr>
              <w:t>00</w:t>
            </w:r>
            <w:r>
              <w:rPr>
                <w:rFonts w:hint="eastAsia" w:ascii="宋体" w:hAnsi="宋体" w:eastAsia="宋体" w:cs="宋体"/>
                <w:b w:val="0"/>
                <w:bCs w:val="0"/>
                <w:color w:val="000000" w:themeColor="text1"/>
                <w:sz w:val="24"/>
                <w:szCs w:val="24"/>
                <w14:textFill>
                  <w14:solidFill>
                    <w14:schemeClr w14:val="tx1"/>
                  </w14:solidFill>
                </w14:textFill>
              </w:rPr>
              <w:t>0种</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5.</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入侵防御</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产品支持僵尸主机检测功能，产品内置僵尸网络特征库超过12</w:t>
            </w:r>
            <w:r>
              <w:rPr>
                <w:rFonts w:hint="eastAsia" w:ascii="宋体" w:hAnsi="宋体" w:eastAsia="宋体" w:cs="宋体"/>
                <w:b w:val="0"/>
                <w:bCs w:val="0"/>
                <w:color w:val="000000" w:themeColor="text1"/>
                <w:sz w:val="24"/>
                <w:szCs w:val="24"/>
                <w:lang w:val="en-US" w:eastAsia="zh-CN"/>
                <w14:textFill>
                  <w14:solidFill>
                    <w14:schemeClr w14:val="tx1"/>
                  </w14:solidFill>
                </w14:textFill>
              </w:rPr>
              <w:t>0</w:t>
            </w:r>
            <w:r>
              <w:rPr>
                <w:rFonts w:hint="eastAsia" w:ascii="宋体" w:hAnsi="宋体" w:eastAsia="宋体" w:cs="宋体"/>
                <w:b w:val="0"/>
                <w:bCs w:val="0"/>
                <w:color w:val="000000" w:themeColor="text1"/>
                <w:sz w:val="24"/>
                <w:szCs w:val="24"/>
                <w14:textFill>
                  <w14:solidFill>
                    <w14:schemeClr w14:val="tx1"/>
                  </w14:solidFill>
                </w14:textFill>
              </w:rPr>
              <w:t>万种，可识别主机的异常外联行为</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6.</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认证方式</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产品支持3种以上的用户认证方式,包含但不限于单点登录、本地账号密码、外部账号密码认证。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7.</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访问控制策略</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产品支持基于网络区域、网络对象、MAC地址、服务、应用等维度进行访问控制策略设置。</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8.</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防病毒</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产品支持杀毒白名单设置，可以例外排除特定MD5和URL的病毒文件，针对特定文件不进行查杀。</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9.</w:t>
            </w:r>
          </w:p>
        </w:tc>
        <w:tc>
          <w:tcPr>
            <w:tcW w:w="992" w:type="dxa"/>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策略生命周期管理</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产品支持策略生命周期管理功能，支持对安全策略修改的时间、原因、变更类型进行统一管理，便于策略的运维与管理</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09" w:type="dxa"/>
            <w:tcBorders>
              <w:top w:val="single" w:color="000000" w:sz="4" w:space="0"/>
              <w:left w:val="single" w:color="000000" w:sz="4" w:space="0"/>
              <w:bottom w:val="single" w:color="000000" w:sz="4" w:space="0"/>
              <w:right w:val="single" w:color="auto"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cs="宋体"/>
                <w:b w:val="0"/>
                <w:bCs w:val="0"/>
                <w:color w:val="000000" w:themeColor="text1"/>
                <w:sz w:val="24"/>
                <w:szCs w:val="24"/>
                <w:lang w:val="en-US" w:eastAsia="zh-CN"/>
                <w14:textFill>
                  <w14:solidFill>
                    <w14:schemeClr w14:val="tx1"/>
                  </w14:solidFill>
                </w14:textFill>
              </w:rPr>
              <w:t>0</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质保要求</w:t>
            </w:r>
          </w:p>
        </w:tc>
        <w:tc>
          <w:tcPr>
            <w:tcW w:w="6946" w:type="dxa"/>
            <w:tcBorders>
              <w:top w:val="single" w:color="000000" w:sz="4" w:space="0"/>
              <w:left w:val="single" w:color="auto"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要求所提供的产品为整套设备，含硬件设备，含系统软件，含相应配件，含三年产品硬件质保,三年软件升级，三年相应安全规则库更新升级服务。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70" w:hRule="atLeast"/>
          <w:jc w:val="center"/>
        </w:trPr>
        <w:tc>
          <w:tcPr>
            <w:tcW w:w="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09"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r>
              <w:rPr>
                <w:rFonts w:hint="eastAsia" w:ascii="宋体" w:hAnsi="宋体" w:cs="宋体"/>
                <w:b w:val="0"/>
                <w:bCs w:val="0"/>
                <w:color w:val="000000" w:themeColor="text1"/>
                <w:sz w:val="24"/>
                <w:szCs w:val="24"/>
                <w:lang w:val="en-US" w:eastAsia="zh-CN"/>
                <w14:textFill>
                  <w14:solidFill>
                    <w14:schemeClr w14:val="tx1"/>
                  </w14:solidFill>
                </w14:textFill>
              </w:rPr>
              <w:t>1</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p>
        </w:tc>
        <w:tc>
          <w:tcPr>
            <w:tcW w:w="992" w:type="dxa"/>
            <w:tcBorders>
              <w:top w:val="single" w:color="auto"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其他</w:t>
            </w:r>
          </w:p>
        </w:tc>
        <w:tc>
          <w:tcPr>
            <w:tcW w:w="6946"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中标后五个工作日内，供应商提供样机进行上述功能要求的逐一测试验证，全部通过后才能执行合同流程，测试中发现不符合技术要求，存在虚假应标的行为将予以废标来进行处理并保留对该厂商及供应商追究相关责任的权利。</w:t>
            </w:r>
          </w:p>
        </w:tc>
      </w:tr>
    </w:tbl>
    <w:p>
      <w:pPr>
        <w:spacing w:line="360" w:lineRule="auto"/>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附表</w:t>
      </w:r>
      <w:r>
        <w:rPr>
          <w:rFonts w:hint="eastAsia" w:ascii="宋体" w:hAnsi="宋体" w:cs="宋体"/>
          <w:b w:val="0"/>
          <w:bCs w:val="0"/>
          <w:color w:val="000000" w:themeColor="text1"/>
          <w:sz w:val="24"/>
          <w:szCs w:val="24"/>
          <w:lang w:val="en-US" w:eastAsia="zh-CN"/>
          <w14:textFill>
            <w14:solidFill>
              <w14:schemeClr w14:val="tx1"/>
            </w14:solidFill>
          </w14:textFill>
        </w:rPr>
        <w:t>二</w:t>
      </w:r>
      <w:r>
        <w:rPr>
          <w:rFonts w:hint="eastAsia" w:ascii="宋体" w:hAnsi="宋体" w:eastAsia="宋体" w:cs="宋体"/>
          <w:b w:val="0"/>
          <w:bCs w:val="0"/>
          <w:color w:val="000000" w:themeColor="text1"/>
          <w:sz w:val="24"/>
          <w:szCs w:val="24"/>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日志审计</w:t>
      </w:r>
    </w:p>
    <w:tbl>
      <w:tblPr>
        <w:tblStyle w:val="8"/>
        <w:tblW w:w="5718"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autofit"/>
        <w:tblCellMar>
          <w:top w:w="0" w:type="dxa"/>
          <w:left w:w="0" w:type="dxa"/>
          <w:bottom w:w="0" w:type="dxa"/>
          <w:right w:w="0" w:type="dxa"/>
        </w:tblCellMar>
      </w:tblPr>
      <w:tblGrid>
        <w:gridCol w:w="1003"/>
        <w:gridCol w:w="715"/>
        <w:gridCol w:w="990"/>
        <w:gridCol w:w="697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3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参数性质</w:t>
            </w: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编号</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技术指标名称</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具体技术（参数）要求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3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性能参数</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主机审计许可证书数量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50，最大可扩展审计主机许可数</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150，可用存储量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2TB（RAID1 模式），平均每秒处理日志数最大性能</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2500。</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规格：2U，内存大小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16G，硬盘容量</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128G minisata+2T SATA*2，接口</w:t>
            </w:r>
            <w:r>
              <w:rPr>
                <w:rFonts w:hint="eastAsia" w:ascii="宋体" w:hAnsi="宋体" w:eastAsia="宋体" w:cs="宋体"/>
                <w:b w:val="0"/>
                <w:bCs w:val="0"/>
                <w:color w:val="000000" w:themeColor="text1"/>
                <w:sz w:val="24"/>
                <w:szCs w:val="24"/>
                <w:lang w:val="en-US"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6千兆电口+2万兆光口SFP+</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含光纤线-多模-LC-LC-3M≥2个;万兆多模-850-300m-双纤≥2个</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26"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2.</w:t>
            </w:r>
          </w:p>
        </w:tc>
        <w:tc>
          <w:tcPr>
            <w:tcW w:w="511" w:type="pct"/>
            <w:vMerge w:val="restart"/>
            <w:tcBorders>
              <w:top w:val="single" w:color="000000" w:sz="4" w:space="0"/>
              <w:left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日志采集</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支持通过正则、分隔符、json、xml的可视方式进行自定义规则解析，支持对解析结果字段的新增、合并、映射</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需</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74"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3.</w:t>
            </w:r>
          </w:p>
        </w:tc>
        <w:tc>
          <w:tcPr>
            <w:tcW w:w="511" w:type="pct"/>
            <w:vMerge w:val="continue"/>
            <w:tcBorders>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支持对每个日志源设置过滤条件规则，自动过滤无用日志，满足根据实际业务需求减少采集对象发送到核心服务器的安全事件数，减少对网络带宽和数据库存储空间的占用</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4.</w:t>
            </w:r>
          </w:p>
        </w:tc>
        <w:tc>
          <w:tcPr>
            <w:tcW w:w="511" w:type="pct"/>
            <w:vMerge w:val="restart"/>
            <w:tcBorders>
              <w:top w:val="single" w:color="000000" w:sz="4" w:space="0"/>
              <w:left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日志存储转发</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支持对单个/多个日志源批量转发，支持定时转发，可通过syslog和kafka方式转发到第三方平台，并且支持转发原始日志和已解析日志的两种日志</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5.</w:t>
            </w:r>
          </w:p>
        </w:tc>
        <w:tc>
          <w:tcPr>
            <w:tcW w:w="511" w:type="pct"/>
            <w:vMerge w:val="continue"/>
            <w:tcBorders>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支持接入TLS加密方式的日志，支持对日志传输状态、最近同步时间进行监控，可统计每个日志源的今日传输量和传输总量</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6.</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日志检索</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通配符、范围搜索、字段等多种输入方式、搜索框模糊搜索、指定语段进行语法搜索；可根据时间、严重等级等进行组合查询；可根据具体设备、来源/目的所属（可具体到外网、内网资产等）、IP地址、特征ID、URL进行具体条件搜索；支持可设置定时刷新频率，根据刷新时间显示实时接入日志事件</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7.</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日志告警</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支持告警事件归并、告警确认和告警归档，支持基于频率、频次、时间的设定条件</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8.</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资产管理</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支持对IPv4/ipv6对象的自动发现功能，对自动发现的设备可以修改、删除或转为资产。</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9.</w:t>
            </w:r>
          </w:p>
        </w:tc>
        <w:tc>
          <w:tcPr>
            <w:tcW w:w="511" w:type="pct"/>
            <w:vMerge w:val="restart"/>
            <w:tcBorders>
              <w:top w:val="single" w:color="000000" w:sz="4" w:space="0"/>
              <w:left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系统管理</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支持个性化定制，支持全系统更换logo与系统名称，支持一键恢复默认</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10.</w:t>
            </w:r>
          </w:p>
        </w:tc>
        <w:tc>
          <w:tcPr>
            <w:tcW w:w="511" w:type="pct"/>
            <w:vMerge w:val="continue"/>
            <w:tcBorders>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lang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支持POC测试工具一键生成数据</w:t>
            </w:r>
            <w:r>
              <w:rPr>
                <w:rFonts w:hint="eastAsia" w:ascii="宋体" w:hAnsi="宋体" w:eastAsia="宋体" w:cs="宋体"/>
                <w:b w:val="0"/>
                <w:bCs w:val="0"/>
                <w:color w:val="000000" w:themeColor="text1"/>
                <w:sz w:val="24"/>
                <w:szCs w:val="24"/>
                <w:lang w:eastAsia="zh-CN"/>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02"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11.</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日志分析</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网站攻击、漏洞利用、C&amp;C通信、暴力破解、拒绝服务、主机脆弱性、主机异常、恶意软件、账号异常、权限异常、侦查探测等内置关联分析规则，内置关联分析规则数量达到350条以上，支持自定义关联分析规则</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745"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12.</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首页可视</w:t>
            </w:r>
          </w:p>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可视化展示，包括数据分布、安全事件趋势图、关联规则告警趋势图、接入设备概况等，可提供设备专项分析场景。如防火墙外部攻击场景分析、VPN账号异常场景分析、Windows服务器主机异常场景分析等，通过设备专项页面对每一台设备安全情况深度专业化分析。</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688"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13.</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质保要求</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要求所提供的产品为整套设备，含硬件设备，含系统软件，含相应配件，含三年产品硬件质保,三年软件升级，三年相应安全规则库更新升级服务。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825" w:hRule="atLeast"/>
          <w:jc w:val="center"/>
        </w:trPr>
        <w:tc>
          <w:tcPr>
            <w:tcW w:w="518"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lang w:val="en-US" w:eastAsia="zh-CN"/>
                <w14:textFill>
                  <w14:solidFill>
                    <w14:schemeClr w14:val="tx1"/>
                  </w14:solidFill>
                </w14:textFill>
              </w:rPr>
              <w:t>14.</w:t>
            </w:r>
          </w:p>
        </w:tc>
        <w:tc>
          <w:tcPr>
            <w:tcW w:w="511" w:type="pct"/>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60" w:lineRule="auto"/>
              <w:jc w:val="center"/>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其他</w:t>
            </w:r>
          </w:p>
        </w:tc>
        <w:tc>
          <w:tcPr>
            <w:tcW w:w="3601"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中标后五个工作日内，供应商提供样机进行上述功能要求的逐一测试验证，全部通过后才能执行合同流程，测试中发现不符合技术要求，存在虚假应标的行为将予以废标来进行处理并保留对该厂商及供应商追究相关责任的权利。</w:t>
            </w:r>
          </w:p>
        </w:tc>
      </w:tr>
    </w:tbl>
    <w:p>
      <w:pPr>
        <w:spacing w:line="360" w:lineRule="auto"/>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附表</w:t>
      </w:r>
      <w:r>
        <w:rPr>
          <w:rFonts w:hint="eastAsia" w:ascii="宋体" w:hAnsi="宋体" w:eastAsia="宋体" w:cs="宋体"/>
          <w:b w:val="0"/>
          <w:bCs w:val="0"/>
          <w:color w:val="000000" w:themeColor="text1"/>
          <w:sz w:val="24"/>
          <w:szCs w:val="24"/>
          <w:lang w:val="en-US" w:eastAsia="zh-CN"/>
          <w14:textFill>
            <w14:solidFill>
              <w14:schemeClr w14:val="tx1"/>
            </w14:solidFill>
          </w14:textFill>
        </w:rPr>
        <w:t>三</w:t>
      </w:r>
      <w:r>
        <w:rPr>
          <w:rFonts w:hint="eastAsia" w:ascii="宋体" w:hAnsi="宋体" w:eastAsia="宋体" w:cs="宋体"/>
          <w:b w:val="0"/>
          <w:bCs w:val="0"/>
          <w:color w:val="000000" w:themeColor="text1"/>
          <w:sz w:val="24"/>
          <w:szCs w:val="24"/>
          <w14:textFill>
            <w14:solidFill>
              <w14:schemeClr w14:val="tx1"/>
            </w14:solidFill>
          </w14:textFill>
        </w:rPr>
        <w:t>：漏洞扫描</w:t>
      </w:r>
    </w:p>
    <w:tbl>
      <w:tblPr>
        <w:tblStyle w:val="8"/>
        <w:tblW w:w="9677"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89"/>
        <w:gridCol w:w="723"/>
        <w:gridCol w:w="995"/>
        <w:gridCol w:w="6970"/>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1099"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参数性质</w:t>
            </w: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编号</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技术指标名称</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具体技术（参数）要求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性能要求</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系统漏扫授权IP数≥100，WEB漏扫授权URL数≥20，主机漏扫最大并发IP数≥</w:t>
            </w:r>
            <w:r>
              <w:rPr>
                <w:rFonts w:hint="eastAsia" w:ascii="宋体" w:hAnsi="宋体" w:cs="宋体"/>
                <w:b w:val="0"/>
                <w:bCs w:val="0"/>
                <w:color w:val="000000" w:themeColor="text1"/>
                <w:sz w:val="24"/>
                <w:szCs w:val="24"/>
                <w:lang w:val="en-US" w:eastAsia="zh-CN"/>
                <w14:textFill>
                  <w14:solidFill>
                    <w14:schemeClr w14:val="tx1"/>
                  </w14:solidFill>
                </w14:textFill>
              </w:rPr>
              <w:t>150</w:t>
            </w:r>
            <w:r>
              <w:rPr>
                <w:rFonts w:hint="eastAsia" w:ascii="宋体" w:hAnsi="宋体" w:eastAsia="宋体" w:cs="宋体"/>
                <w:b w:val="0"/>
                <w:bCs w:val="0"/>
                <w:color w:val="000000" w:themeColor="text1"/>
                <w:sz w:val="24"/>
                <w:szCs w:val="24"/>
                <w14:textFill>
                  <w14:solidFill>
                    <w14:schemeClr w14:val="tx1"/>
                  </w14:solidFill>
                </w14:textFill>
              </w:rPr>
              <w:t>，WEB漏扫最大并发URL数≥5，内存大小≥8G，硬盘容量≥128GB SSD+ 2TB SATA，接口：6千兆电口+2千兆光口SFP。</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2.</w:t>
            </w:r>
          </w:p>
        </w:tc>
        <w:tc>
          <w:tcPr>
            <w:tcW w:w="995" w:type="dxa"/>
            <w:vMerge w:val="restart"/>
            <w:tcBorders>
              <w:top w:val="single" w:color="000000" w:sz="8" w:space="0"/>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风险统计</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支持从紧急漏洞的视角展示主机风险，清晰呈现已发生和未发生的紧急漏洞类型，支持以报表形式展示紧急漏洞的风险等级、影响资产数、漏洞数量、最近发现时间，可关联漏洞详情。</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9"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3.</w:t>
            </w:r>
          </w:p>
        </w:tc>
        <w:tc>
          <w:tcPr>
            <w:tcW w:w="995" w:type="dxa"/>
            <w:vMerge w:val="continue"/>
            <w:tcBorders>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支持全局风险统计功能，通过扇形图、条状图、标签、表格等形式直观展示资产风险分布、漏洞风险等级分布、紧急漏洞、风险资产清单等信息，并可查看详情，</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4.</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任务类型</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支持全面扫描、资产发现、系统漏洞扫描、弱口令扫描、WEB漏洞扫描、基线配置核查六种任务类型，其中全面扫描支持系统漏洞扫描、WEB漏洞扫描、弱口令扫描同时执行，</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0"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5.</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资产发现</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资产发现支持存活探测、服务和端口探测、操作系统识别、数据库识别、中间件识别等功能，其中服务和端口探测支持常用端口、全局端口和自定义端口三种探测方式。</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6.</w:t>
            </w:r>
          </w:p>
        </w:tc>
        <w:tc>
          <w:tcPr>
            <w:tcW w:w="995" w:type="dxa"/>
            <w:vMerge w:val="restart"/>
            <w:tcBorders>
              <w:top w:val="single" w:color="000000" w:sz="8" w:space="0"/>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系统漏洞扫描</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支持认证管理功能，对系统登录信息进行统一管理和配置，提供登录信息的新增、删除和批量导入功能，在系统漏洞扫描和基线核查登录扫描时，可从认证管理中批</w:t>
            </w:r>
            <w:bookmarkStart w:id="0" w:name="_GoBack"/>
            <w:bookmarkEnd w:id="0"/>
            <w:r>
              <w:rPr>
                <w:rFonts w:hint="eastAsia" w:ascii="宋体" w:hAnsi="宋体" w:eastAsia="宋体" w:cs="宋体"/>
                <w:b w:val="0"/>
                <w:bCs w:val="0"/>
                <w:color w:val="000000" w:themeColor="text1"/>
                <w:sz w:val="24"/>
                <w:szCs w:val="24"/>
                <w14:textFill>
                  <w14:solidFill>
                    <w14:schemeClr w14:val="tx1"/>
                  </w14:solidFill>
                </w14:textFill>
              </w:rPr>
              <w:t>量导入登录信息。</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099"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7.</w:t>
            </w:r>
          </w:p>
        </w:tc>
        <w:tc>
          <w:tcPr>
            <w:tcW w:w="995" w:type="dxa"/>
            <w:vMerge w:val="continue"/>
            <w:tcBorders>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支持国产数据库的漏洞扫描，包括达梦、人大金仓、南大通用等，</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8.</w:t>
            </w:r>
          </w:p>
        </w:tc>
        <w:tc>
          <w:tcPr>
            <w:tcW w:w="995" w:type="dxa"/>
            <w:vMerge w:val="continue"/>
            <w:tcBorders>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系统漏洞扫描支持高级配置功能，可支持存活性探测配置、端口扫描策略配置、UDP扫描启用、低可信度漏洞扫描、web应用扫描启用等配置功能，</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482"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9.</w:t>
            </w:r>
          </w:p>
        </w:tc>
        <w:tc>
          <w:tcPr>
            <w:tcW w:w="995" w:type="dxa"/>
            <w:vMerge w:val="restart"/>
            <w:tcBorders>
              <w:top w:val="single" w:color="000000" w:sz="8" w:space="0"/>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合规自检平台</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支持域管理功能，系统默认数据域、内置终端接入域、运维管理域、其他业务域、核心业务域、核心交换域、对外服务域、外联域、互联网出口域等，可根据客户实际情况进行自定义管理，</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39"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10.</w:t>
            </w:r>
          </w:p>
        </w:tc>
        <w:tc>
          <w:tcPr>
            <w:tcW w:w="995" w:type="dxa"/>
            <w:vMerge w:val="continue"/>
            <w:tcBorders>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提供检测结果综述分析，按照等保2.0的检测项要求，统计客户业务系统存在的不符合、部分符合、符合、待确认、不适用检测项，直观了解自身业务系统合规情况，</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942"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11.</w:t>
            </w:r>
          </w:p>
        </w:tc>
        <w:tc>
          <w:tcPr>
            <w:tcW w:w="995" w:type="dxa"/>
            <w:vMerge w:val="continue"/>
            <w:tcBorders>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按“一个中心、三重防护”的架构展示检测结果，每个检测结果呈现具体问题及整改建议，系统支持手动核查确认、整改后重新检测、以及手动导入全局分析和人工核查报告来对测评报告中的结果进行核查确认，其中手动核查确认支持单项核查确认和批量核查确认，</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1"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12.</w:t>
            </w:r>
          </w:p>
        </w:tc>
        <w:tc>
          <w:tcPr>
            <w:tcW w:w="995" w:type="dxa"/>
            <w:vMerge w:val="restart"/>
            <w:tcBorders>
              <w:top w:val="single" w:color="000000" w:sz="8" w:space="0"/>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报告管理</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cs="宋体"/>
                <w:b w:val="0"/>
                <w:bCs w:val="0"/>
                <w:color w:val="000000" w:themeColor="text1"/>
                <w:sz w:val="24"/>
                <w:szCs w:val="24"/>
                <w:lang w:eastAsia="zh-CN"/>
                <w14:textFill>
                  <w14:solidFill>
                    <w14:schemeClr w14:val="tx1"/>
                  </w14:solidFill>
                </w14:textFill>
              </w:rPr>
              <w:t>产品</w:t>
            </w:r>
            <w:r>
              <w:rPr>
                <w:rFonts w:hint="eastAsia" w:ascii="宋体" w:hAnsi="宋体" w:eastAsia="宋体" w:cs="宋体"/>
                <w:b w:val="0"/>
                <w:bCs w:val="0"/>
                <w:color w:val="000000" w:themeColor="text1"/>
                <w:sz w:val="24"/>
                <w:szCs w:val="24"/>
                <w14:textFill>
                  <w14:solidFill>
                    <w14:schemeClr w14:val="tx1"/>
                  </w14:solidFill>
                </w14:textFill>
              </w:rPr>
              <w:t>支持对系统漏洞、WEB漏洞、基线配置、弱口令进行扫描和分析，可同时输出包含系统漏洞扫描、WEB漏洞扫描、基线配置核查、弱口令扫描结果的报表，</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3403"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13.</w:t>
            </w:r>
          </w:p>
        </w:tc>
        <w:tc>
          <w:tcPr>
            <w:tcW w:w="995" w:type="dxa"/>
            <w:vMerge w:val="continue"/>
            <w:tcBorders>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导出统计报表和详细报告，统计报告包括综述信息、风险概况、资产风险列表、风险详情、参考标准、安全建议等内容；详细报告包括风险概述、资产风险列表、资产风险详情等内容，其中，基线风险会展示检测结果、风险等级、基线ID、基线项类型、风险值、检查点描述、解决方案等内容。漏洞风险会展示风险页面、风险等级、风险描述、危害影响、解决方案、参考资料、风险举证等内容。</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0"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14.</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质保要求</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要求所提供的产品为整套设备</w:t>
            </w:r>
            <w:r>
              <w:rPr>
                <w:rFonts w:hint="eastAsia" w:ascii="宋体" w:hAnsi="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14:textFill>
                  <w14:solidFill>
                    <w14:schemeClr w14:val="tx1"/>
                  </w14:solidFill>
                </w14:textFill>
              </w:rPr>
              <w:t>含硬件设备，含系统软件，含相应配件，含三年硬件质保,三年软件升级，三年相应规则库更新升级服务。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2043" w:hRule="atLeast"/>
          <w:jc w:val="center"/>
        </w:trPr>
        <w:tc>
          <w:tcPr>
            <w:tcW w:w="989"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23"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15.</w:t>
            </w:r>
          </w:p>
        </w:tc>
        <w:tc>
          <w:tcPr>
            <w:tcW w:w="995"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其他</w:t>
            </w:r>
          </w:p>
        </w:tc>
        <w:tc>
          <w:tcPr>
            <w:tcW w:w="6970"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中标后五个工作日内，供应商提供样机进行上述功能要求的逐一测试验证，全部通过后才能执行合同流程，测试中发现不符合技术要求，存在虚假应标的行为将予以废标来进行处理并保留对该厂商及供应商追究相关责任的权利。</w:t>
            </w:r>
          </w:p>
        </w:tc>
      </w:tr>
    </w:tbl>
    <w:p>
      <w:pPr>
        <w:bidi w:val="0"/>
        <w:rPr>
          <w:rFonts w:hint="eastAsia" w:eastAsia="宋体"/>
          <w:sz w:val="24"/>
          <w:szCs w:val="24"/>
          <w:lang w:eastAsia="zh-CN"/>
        </w:rPr>
      </w:pPr>
      <w:r>
        <w:rPr>
          <w:rFonts w:hint="eastAsia"/>
          <w:sz w:val="24"/>
          <w:szCs w:val="24"/>
        </w:rPr>
        <w:t>附表</w:t>
      </w:r>
      <w:r>
        <w:rPr>
          <w:rFonts w:hint="eastAsia"/>
          <w:sz w:val="24"/>
          <w:szCs w:val="24"/>
          <w:lang w:val="en-US" w:eastAsia="zh-CN"/>
        </w:rPr>
        <w:t>四</w:t>
      </w:r>
      <w:r>
        <w:rPr>
          <w:rFonts w:hint="eastAsia"/>
          <w:sz w:val="24"/>
          <w:szCs w:val="24"/>
        </w:rPr>
        <w:t>：</w:t>
      </w:r>
      <w:r>
        <w:rPr>
          <w:rFonts w:hint="eastAsia"/>
          <w:sz w:val="24"/>
          <w:szCs w:val="24"/>
          <w:lang w:val="en-US" w:eastAsia="zh-CN"/>
        </w:rPr>
        <w:t>堡垒机</w:t>
      </w:r>
    </w:p>
    <w:tbl>
      <w:tblPr>
        <w:tblStyle w:val="8"/>
        <w:tblW w:w="9559" w:type="dxa"/>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0" w:type="dxa"/>
          <w:bottom w:w="0" w:type="dxa"/>
          <w:right w:w="0" w:type="dxa"/>
        </w:tblCellMar>
      </w:tblPr>
      <w:tblGrid>
        <w:gridCol w:w="961"/>
        <w:gridCol w:w="717"/>
        <w:gridCol w:w="987"/>
        <w:gridCol w:w="6894"/>
      </w:tblGrid>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02"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参数性质</w:t>
            </w: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编号</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技术指标名称</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具体技术（参数）要求</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性能要求</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性能要求：默认包含运维授权数≥50，最大可扩展资产数≥150，图形运维最大并发数≥100，字符运维最大并发数≥200，内存大小≥8G，硬盘容量≥2T SATA，接口≥6千兆电口。</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640"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2.</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系统部署</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物理旁路单臂部署，以逻辑网关方式工作；不改变现有网络结构。</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02"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3.</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支持协议</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支持通过协议前置机进行协议扩展，至少支持扩展KVM、Vmware、数据库、http/https、CS应用等。</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4.</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动作流</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支持通过动作流配置提供广泛的应用接入支持，无论被接入的资源如何设计登录动作，通过动作流配置都可以实现单点登陆和审计接入，</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5.</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用户管理</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用户登陆认证方式支持静态口令认证、手机动态口令认证、Usbkey（数字证书）认证、AD域认证、Radius认证等认证方式；并支持各种认证方式和静态口令组合认证。</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6.</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角色划分</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内置三员角色的同时支持角色灵活自定义，可根据用户实际的管理特性或特殊的安全管理组织架构，划分管理角色的管理范畴，</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7.</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资源管理</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支持RDP安全模式（RDP、NLA、TLS、ANY）设置，以适应RDP-Tcp属性中的所有功能配置，包括加密级别为客户端兼容、低、高、符合FIPS标准等加密级别。</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102"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8.</w:t>
            </w:r>
          </w:p>
        </w:tc>
        <w:tc>
          <w:tcPr>
            <w:tcW w:w="987" w:type="dxa"/>
            <w:vMerge w:val="restart"/>
            <w:tcBorders>
              <w:top w:val="single" w:color="000000" w:sz="8" w:space="0"/>
              <w:left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运维授权</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支持跨部门的交叉授权操作，部门资源管理员可将本部门资源授权给其他部门用户，实现资源临时/长期跨部门访问。</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9.</w:t>
            </w:r>
          </w:p>
        </w:tc>
        <w:tc>
          <w:tcPr>
            <w:tcW w:w="987" w:type="dxa"/>
            <w:vMerge w:val="continue"/>
            <w:tcBorders>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支持在授权基础上自定义访问审批流程，可设置一级或多级审批人，每级审批可指定通过投票数，需逐级审批通过才可最终发起运维操作，</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10.</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口令策略</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可以配置口令长度，是否包含字母及字母的长度，是否包含数字及数字的长度，是否包含符号及符号的长度，口令时效性；口令策略还可以配置禁止包含的关键字。</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11.</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访问控制</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支持命令审批规则，用户执行高危命令时需要管理员审批后才允许执行；命令审批规则可以指定运维人员、访问设备、设备账号及命令审批人，</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7"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12.</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运维方式</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支持web页面直接发起运维，无需安装任何控件，并同时支持调用SecureCRT、Xshell、Putty、WinSCP、FileZilla、RDP等客户端工具实现单点登陆，不改变运维人员操作习惯，</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27"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13.</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客户端兼容</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全面支持Windows、linux、国产麒麟系统、Android、IOS、Mac OS等客户端操作系统下的H5页面一站式运维，实现跨终端适应性BYOD（Bring Your Own Device），</w:t>
            </w:r>
            <w:r>
              <w:rPr>
                <w:rFonts w:hint="eastAsia" w:ascii="宋体" w:hAnsi="宋体" w:eastAsia="宋体" w:cs="宋体"/>
                <w:b w:val="0"/>
                <w:bCs w:val="0"/>
                <w:color w:val="000000" w:themeColor="text1"/>
                <w:sz w:val="24"/>
                <w:szCs w:val="24"/>
                <w:lang w:val="en-US" w:eastAsia="zh-CN"/>
                <w14:textFill>
                  <w14:solidFill>
                    <w14:schemeClr w14:val="tx1"/>
                  </w14:solidFill>
                </w14:textFill>
              </w:rPr>
              <w:t>提供生产厂家确认的、相应的功能证明材料（包括但不限于测试报告、检测报告、官网和功能截图等）</w:t>
            </w:r>
            <w:r>
              <w:rPr>
                <w:rFonts w:hint="eastAsia" w:ascii="宋体" w:hAnsi="宋体" w:eastAsia="宋体" w:cs="宋体"/>
                <w:b w:val="0"/>
                <w:bCs w:val="0"/>
                <w:color w:val="000000" w:themeColor="text1"/>
                <w:sz w:val="24"/>
                <w:szCs w:val="24"/>
                <w14:textFill>
                  <w14:solidFill>
                    <w14:schemeClr w14:val="tx1"/>
                  </w14:solidFill>
                </w14:textFill>
              </w:rPr>
              <w:t>。</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1565"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14.</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质保要求</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要求所提供的产品为整套设备</w:t>
            </w:r>
            <w:r>
              <w:rPr>
                <w:rFonts w:hint="eastAsia" w:ascii="宋体" w:hAnsi="宋体" w:eastAsia="宋体" w:cs="宋体"/>
                <w:b w:val="0"/>
                <w:bCs w:val="0"/>
                <w:color w:val="000000" w:themeColor="text1"/>
                <w:sz w:val="24"/>
                <w:szCs w:val="24"/>
                <w:lang w:eastAsia="zh-CN"/>
                <w14:textFill>
                  <w14:solidFill>
                    <w14:schemeClr w14:val="tx1"/>
                  </w14:solidFill>
                </w14:textFill>
              </w:rPr>
              <w:t>，</w:t>
            </w:r>
            <w:r>
              <w:rPr>
                <w:rFonts w:hint="eastAsia" w:ascii="宋体" w:hAnsi="宋体" w:eastAsia="宋体" w:cs="宋体"/>
                <w:b w:val="0"/>
                <w:bCs w:val="0"/>
                <w:color w:val="000000" w:themeColor="text1"/>
                <w:sz w:val="24"/>
                <w:szCs w:val="24"/>
                <w:lang w:val="en-US" w:eastAsia="zh-CN"/>
                <w14:textFill>
                  <w14:solidFill>
                    <w14:schemeClr w14:val="tx1"/>
                  </w14:solidFill>
                </w14:textFill>
              </w:rPr>
              <w:t>含硬件设备</w:t>
            </w:r>
            <w:r>
              <w:rPr>
                <w:rFonts w:hint="eastAsia" w:ascii="宋体" w:hAnsi="宋体" w:eastAsia="宋体" w:cs="宋体"/>
                <w:b w:val="0"/>
                <w:bCs w:val="0"/>
                <w:color w:val="000000" w:themeColor="text1"/>
                <w:sz w:val="24"/>
                <w:szCs w:val="24"/>
                <w14:textFill>
                  <w14:solidFill>
                    <w14:schemeClr w14:val="tx1"/>
                  </w14:solidFill>
                </w14:textFill>
              </w:rPr>
              <w:t>，含系统软件，含相应配件，含三年硬件质保,三年软件升级，三年相应规则库更新升级服务。</w:t>
            </w:r>
          </w:p>
        </w:tc>
      </w:tr>
      <w:tr>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0" w:type="dxa"/>
            <w:bottom w:w="0" w:type="dxa"/>
            <w:right w:w="0" w:type="dxa"/>
          </w:tblCellMar>
        </w:tblPrEx>
        <w:trPr>
          <w:trHeight w:val="2047" w:hRule="atLeast"/>
          <w:jc w:val="center"/>
        </w:trPr>
        <w:tc>
          <w:tcPr>
            <w:tcW w:w="961"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w:t>
            </w:r>
          </w:p>
        </w:tc>
        <w:tc>
          <w:tcPr>
            <w:tcW w:w="717"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cente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cs="宋体"/>
                <w:b w:val="0"/>
                <w:bCs w:val="0"/>
                <w:color w:val="000000" w:themeColor="text1"/>
                <w:sz w:val="24"/>
                <w:szCs w:val="24"/>
                <w:lang w:val="en-US" w:eastAsia="zh-CN"/>
                <w14:textFill>
                  <w14:solidFill>
                    <w14:schemeClr w14:val="tx1"/>
                  </w14:solidFill>
                </w14:textFill>
              </w:rPr>
              <w:t>15.</w:t>
            </w:r>
          </w:p>
        </w:tc>
        <w:tc>
          <w:tcPr>
            <w:tcW w:w="98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pPr>
              <w:spacing w:line="360" w:lineRule="auto"/>
              <w:jc w:val="center"/>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其他</w:t>
            </w:r>
          </w:p>
        </w:tc>
        <w:tc>
          <w:tcPr>
            <w:tcW w:w="6894" w:type="dxa"/>
            <w:tcBorders>
              <w:top w:val="single" w:color="000000" w:sz="8" w:space="0"/>
              <w:left w:val="single" w:color="000000" w:sz="8" w:space="0"/>
              <w:bottom w:val="single" w:color="000000" w:sz="8" w:space="0"/>
              <w:right w:val="single" w:color="000000" w:sz="8" w:space="0"/>
            </w:tcBorders>
            <w:shd w:val="clear" w:color="auto" w:fill="FFFFFF"/>
            <w:noWrap w:val="0"/>
            <w:tcMar>
              <w:top w:w="80" w:type="dxa"/>
              <w:left w:w="80" w:type="dxa"/>
              <w:bottom w:w="80" w:type="dxa"/>
              <w:right w:w="80" w:type="dxa"/>
            </w:tcMar>
            <w:vAlign w:val="center"/>
          </w:tcPr>
          <w:p>
            <w:pPr>
              <w:spacing w:line="360" w:lineRule="auto"/>
              <w:jc w:val="left"/>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要求中标后五个工作日内，供应商提供样机进行上述功能要求的逐一测试验证，全部通过后才能执行合同流程，测试中发现不符合技术要求，存在虚假应标的行为将予以废标来进行处理并保留对该厂商及供应商追究相关责任的权利。</w:t>
            </w:r>
          </w:p>
        </w:tc>
      </w:tr>
    </w:tbl>
    <w:p>
      <w:pPr>
        <w:spacing w:line="360" w:lineRule="auto"/>
        <w:rPr>
          <w:rFonts w:hint="eastAsia" w:ascii="宋体" w:hAnsi="宋体" w:eastAsia="宋体" w:cs="宋体"/>
          <w:b w:val="0"/>
          <w:bCs w:val="0"/>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17340B"/>
    <w:multiLevelType w:val="multilevel"/>
    <w:tmpl w:val="2417340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FmZTIzZjlmNzQzZTEwNWYyZjRjYThhNWRmOGE2NmIifQ=="/>
  </w:docVars>
  <w:rsids>
    <w:rsidRoot w:val="00875DFE"/>
    <w:rsid w:val="00005225"/>
    <w:rsid w:val="00013C74"/>
    <w:rsid w:val="000654BA"/>
    <w:rsid w:val="0008066B"/>
    <w:rsid w:val="00081E48"/>
    <w:rsid w:val="000852E0"/>
    <w:rsid w:val="000B13DB"/>
    <w:rsid w:val="000B4EAA"/>
    <w:rsid w:val="000C161B"/>
    <w:rsid w:val="000C65E4"/>
    <w:rsid w:val="000D4DB7"/>
    <w:rsid w:val="000E281C"/>
    <w:rsid w:val="000E33C5"/>
    <w:rsid w:val="000F5652"/>
    <w:rsid w:val="00117F00"/>
    <w:rsid w:val="0012081D"/>
    <w:rsid w:val="00124A39"/>
    <w:rsid w:val="00126B34"/>
    <w:rsid w:val="00126E9B"/>
    <w:rsid w:val="001535D0"/>
    <w:rsid w:val="0015754F"/>
    <w:rsid w:val="001633FE"/>
    <w:rsid w:val="001860FD"/>
    <w:rsid w:val="00190B0B"/>
    <w:rsid w:val="001A73E9"/>
    <w:rsid w:val="001B17E0"/>
    <w:rsid w:val="001E559A"/>
    <w:rsid w:val="001F3602"/>
    <w:rsid w:val="001F4BB0"/>
    <w:rsid w:val="001F62F0"/>
    <w:rsid w:val="002279DB"/>
    <w:rsid w:val="002571DC"/>
    <w:rsid w:val="0026437F"/>
    <w:rsid w:val="0028436F"/>
    <w:rsid w:val="00292BA2"/>
    <w:rsid w:val="002A0426"/>
    <w:rsid w:val="002A1B0C"/>
    <w:rsid w:val="002C4C4A"/>
    <w:rsid w:val="002D1ABA"/>
    <w:rsid w:val="002D7CF9"/>
    <w:rsid w:val="002F2E20"/>
    <w:rsid w:val="00301ED1"/>
    <w:rsid w:val="00310424"/>
    <w:rsid w:val="003155A6"/>
    <w:rsid w:val="00324822"/>
    <w:rsid w:val="00334047"/>
    <w:rsid w:val="00364CE1"/>
    <w:rsid w:val="003D476C"/>
    <w:rsid w:val="003E3600"/>
    <w:rsid w:val="003E3CCB"/>
    <w:rsid w:val="003E4CC5"/>
    <w:rsid w:val="003F047F"/>
    <w:rsid w:val="00400C2B"/>
    <w:rsid w:val="004329B2"/>
    <w:rsid w:val="00451DD4"/>
    <w:rsid w:val="00457DE7"/>
    <w:rsid w:val="00461F3B"/>
    <w:rsid w:val="0047357A"/>
    <w:rsid w:val="004A39C2"/>
    <w:rsid w:val="004C3A2A"/>
    <w:rsid w:val="004C5403"/>
    <w:rsid w:val="004D65D9"/>
    <w:rsid w:val="0051328D"/>
    <w:rsid w:val="00537E06"/>
    <w:rsid w:val="00557B13"/>
    <w:rsid w:val="00592C1A"/>
    <w:rsid w:val="005A0C8D"/>
    <w:rsid w:val="00660702"/>
    <w:rsid w:val="00682C0B"/>
    <w:rsid w:val="0069221C"/>
    <w:rsid w:val="006949B3"/>
    <w:rsid w:val="006A7EB3"/>
    <w:rsid w:val="00702A59"/>
    <w:rsid w:val="007045B9"/>
    <w:rsid w:val="007075FE"/>
    <w:rsid w:val="007245D7"/>
    <w:rsid w:val="00726F2C"/>
    <w:rsid w:val="00772717"/>
    <w:rsid w:val="007A5DD5"/>
    <w:rsid w:val="007C1096"/>
    <w:rsid w:val="007C49D7"/>
    <w:rsid w:val="007C6193"/>
    <w:rsid w:val="007E7328"/>
    <w:rsid w:val="00807820"/>
    <w:rsid w:val="00814710"/>
    <w:rsid w:val="00850BAE"/>
    <w:rsid w:val="008636D8"/>
    <w:rsid w:val="00875DFE"/>
    <w:rsid w:val="00880D94"/>
    <w:rsid w:val="00891A9B"/>
    <w:rsid w:val="008A40E0"/>
    <w:rsid w:val="008A7F60"/>
    <w:rsid w:val="008C5D15"/>
    <w:rsid w:val="008D2F09"/>
    <w:rsid w:val="008E4A82"/>
    <w:rsid w:val="008E6089"/>
    <w:rsid w:val="009032D5"/>
    <w:rsid w:val="0090373B"/>
    <w:rsid w:val="00937D40"/>
    <w:rsid w:val="00960472"/>
    <w:rsid w:val="00974305"/>
    <w:rsid w:val="00974951"/>
    <w:rsid w:val="009C1AED"/>
    <w:rsid w:val="009E24F2"/>
    <w:rsid w:val="009E713A"/>
    <w:rsid w:val="009F2039"/>
    <w:rsid w:val="009F5EEC"/>
    <w:rsid w:val="00A24297"/>
    <w:rsid w:val="00A34C94"/>
    <w:rsid w:val="00A61EF8"/>
    <w:rsid w:val="00A84BF7"/>
    <w:rsid w:val="00AA47D5"/>
    <w:rsid w:val="00AB341D"/>
    <w:rsid w:val="00AC506A"/>
    <w:rsid w:val="00AE3123"/>
    <w:rsid w:val="00B03305"/>
    <w:rsid w:val="00B16039"/>
    <w:rsid w:val="00B26BCB"/>
    <w:rsid w:val="00B6419F"/>
    <w:rsid w:val="00B8110E"/>
    <w:rsid w:val="00B83DA5"/>
    <w:rsid w:val="00BB239A"/>
    <w:rsid w:val="00BB4A08"/>
    <w:rsid w:val="00BE70F2"/>
    <w:rsid w:val="00C042AC"/>
    <w:rsid w:val="00C05060"/>
    <w:rsid w:val="00C15456"/>
    <w:rsid w:val="00C21F6D"/>
    <w:rsid w:val="00C26EE0"/>
    <w:rsid w:val="00C41B8E"/>
    <w:rsid w:val="00C440D1"/>
    <w:rsid w:val="00C50E25"/>
    <w:rsid w:val="00C84337"/>
    <w:rsid w:val="00C86373"/>
    <w:rsid w:val="00C92611"/>
    <w:rsid w:val="00CA416E"/>
    <w:rsid w:val="00CB4C6F"/>
    <w:rsid w:val="00CC4C08"/>
    <w:rsid w:val="00D077D3"/>
    <w:rsid w:val="00D149D2"/>
    <w:rsid w:val="00D213A0"/>
    <w:rsid w:val="00D4032A"/>
    <w:rsid w:val="00D51038"/>
    <w:rsid w:val="00D578C9"/>
    <w:rsid w:val="00D62B79"/>
    <w:rsid w:val="00D632E0"/>
    <w:rsid w:val="00D75C3B"/>
    <w:rsid w:val="00D774D8"/>
    <w:rsid w:val="00D86D15"/>
    <w:rsid w:val="00D93A7B"/>
    <w:rsid w:val="00DA16DE"/>
    <w:rsid w:val="00DD1AD0"/>
    <w:rsid w:val="00DF48D0"/>
    <w:rsid w:val="00DF58DA"/>
    <w:rsid w:val="00DF5A55"/>
    <w:rsid w:val="00E1088F"/>
    <w:rsid w:val="00E1242C"/>
    <w:rsid w:val="00E147DE"/>
    <w:rsid w:val="00E3276C"/>
    <w:rsid w:val="00E41C17"/>
    <w:rsid w:val="00E51471"/>
    <w:rsid w:val="00E536A8"/>
    <w:rsid w:val="00E57918"/>
    <w:rsid w:val="00E60C9A"/>
    <w:rsid w:val="00E874EE"/>
    <w:rsid w:val="00E920D0"/>
    <w:rsid w:val="00EA0785"/>
    <w:rsid w:val="00EC7E43"/>
    <w:rsid w:val="00EE7918"/>
    <w:rsid w:val="00F14130"/>
    <w:rsid w:val="00F22746"/>
    <w:rsid w:val="00F262DB"/>
    <w:rsid w:val="00F61248"/>
    <w:rsid w:val="00F65B54"/>
    <w:rsid w:val="00F772AA"/>
    <w:rsid w:val="00F802D1"/>
    <w:rsid w:val="00F9455C"/>
    <w:rsid w:val="00FF5779"/>
    <w:rsid w:val="07C939D9"/>
    <w:rsid w:val="091E1AFD"/>
    <w:rsid w:val="112158FB"/>
    <w:rsid w:val="12E148DF"/>
    <w:rsid w:val="157F2C40"/>
    <w:rsid w:val="1E356D8E"/>
    <w:rsid w:val="221B7D84"/>
    <w:rsid w:val="3D7E615E"/>
    <w:rsid w:val="569874F5"/>
    <w:rsid w:val="59FD7C43"/>
    <w:rsid w:val="5ABF25D7"/>
    <w:rsid w:val="640A2BD3"/>
    <w:rsid w:val="7EF44AF2"/>
    <w:rsid w:val="7F3B748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qFormat="1"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4"/>
    <w:qFormat/>
    <w:uiPriority w:val="9"/>
    <w:pPr>
      <w:widowControl/>
      <w:spacing w:before="100" w:beforeAutospacing="1" w:after="100" w:afterAutospacing="1"/>
      <w:jc w:val="left"/>
      <w:outlineLvl w:val="0"/>
    </w:pPr>
    <w:rPr>
      <w:rFonts w:ascii="宋体" w:hAnsi="宋体" w:eastAsia="微软雅黑" w:cs="宋体"/>
      <w:b/>
      <w:bCs/>
      <w:kern w:val="36"/>
      <w:sz w:val="28"/>
      <w:szCs w:val="48"/>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3"/>
    <w:unhideWhenUsed/>
    <w:qFormat/>
    <w:uiPriority w:val="99"/>
    <w:pPr>
      <w:jc w:val="left"/>
    </w:pPr>
    <w:rPr>
      <w:rFonts w:eastAsia="微软雅黑" w:asciiTheme="minorHAnsi" w:hAnsiTheme="minorHAnsi" w:cstheme="minorBidi"/>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rPr>
      <w:sz w:val="24"/>
    </w:rPr>
  </w:style>
  <w:style w:type="table" w:styleId="9">
    <w:name w:val="Table Grid"/>
    <w:basedOn w:val="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styleId="12">
    <w:name w:val="List Paragraph"/>
    <w:basedOn w:val="1"/>
    <w:qFormat/>
    <w:uiPriority w:val="34"/>
    <w:pPr>
      <w:ind w:firstLine="420" w:firstLineChars="200"/>
    </w:pPr>
  </w:style>
  <w:style w:type="character" w:customStyle="1" w:styleId="13">
    <w:name w:val="批注文字 字符"/>
    <w:basedOn w:val="10"/>
    <w:link w:val="4"/>
    <w:qFormat/>
    <w:uiPriority w:val="99"/>
    <w:rPr>
      <w:rFonts w:eastAsia="微软雅黑"/>
    </w:rPr>
  </w:style>
  <w:style w:type="character" w:customStyle="1" w:styleId="14">
    <w:name w:val="标题 1 字符"/>
    <w:basedOn w:val="10"/>
    <w:link w:val="2"/>
    <w:qFormat/>
    <w:uiPriority w:val="9"/>
    <w:rPr>
      <w:rFonts w:ascii="宋体" w:hAnsi="宋体" w:eastAsia="微软雅黑" w:cs="宋体"/>
      <w:b/>
      <w:bCs/>
      <w:kern w:val="36"/>
      <w:sz w:val="28"/>
      <w:szCs w:val="48"/>
    </w:rPr>
  </w:style>
  <w:style w:type="character" w:customStyle="1" w:styleId="15">
    <w:name w:val="页眉 字符"/>
    <w:basedOn w:val="10"/>
    <w:link w:val="6"/>
    <w:qFormat/>
    <w:uiPriority w:val="99"/>
    <w:rPr>
      <w:rFonts w:ascii="Times New Roman" w:hAnsi="Times New Roman" w:eastAsia="宋体" w:cs="Times New Roman"/>
      <w:sz w:val="18"/>
      <w:szCs w:val="18"/>
    </w:rPr>
  </w:style>
  <w:style w:type="character" w:customStyle="1" w:styleId="16">
    <w:name w:val="页脚 字符"/>
    <w:basedOn w:val="10"/>
    <w:link w:val="5"/>
    <w:qFormat/>
    <w:uiPriority w:val="99"/>
    <w:rPr>
      <w:rFonts w:ascii="Times New Roman" w:hAnsi="Times New Roman" w:eastAsia="宋体" w:cs="Times New Roman"/>
      <w:sz w:val="18"/>
      <w:szCs w:val="18"/>
    </w:rPr>
  </w:style>
  <w:style w:type="character" w:customStyle="1" w:styleId="17">
    <w:name w:val="标题 2 Char"/>
    <w:link w:val="3"/>
    <w:qFormat/>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BA7AAE7B-ECC3-42FD-AE4E-D5B6E9A17B6A}">
  <ds:schemaRefs/>
</ds:datastoreItem>
</file>

<file path=docProps/app.xml><?xml version="1.0" encoding="utf-8"?>
<Properties xmlns="http://schemas.openxmlformats.org/officeDocument/2006/extended-properties" xmlns:vt="http://schemas.openxmlformats.org/officeDocument/2006/docPropsVTypes">
  <Pages>10</Pages>
  <Words>5378</Words>
  <Characters>5802</Characters>
  <Lines>1</Lines>
  <Paragraphs>1</Paragraphs>
  <TotalTime>1</TotalTime>
  <ScaleCrop>false</ScaleCrop>
  <LinksUpToDate>false</LinksUpToDate>
  <CharactersWithSpaces>5816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2022-07-03T06:13:00Z</dcterms:created>
  <dc:creator>lenovo</dc:creator>
  <cp:lastModifiedBy>哦</cp:lastModifiedBy>
  <dcterms:modified xsi:type="dcterms:W3CDTF">2023-08-11T01:56:26Z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D414E9035D144347B51CE813C11125B8</vt:lpwstr>
  </property>
</Properties>
</file>