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numPr>
          <w:ilvl w:val="0"/>
          <w:numId w:val="2"/>
        </w:numPr>
        <w:ind w:firstLineChars="0"/>
        <w:rPr>
          <w:color w:val="000000" w:themeColor="text1"/>
          <w14:textFill>
            <w14:solidFill>
              <w14:schemeClr w14:val="tx1"/>
            </w14:solidFill>
          </w14:textFill>
        </w:rPr>
      </w:pPr>
      <w:bookmarkStart w:id="1" w:name="_GoBack"/>
      <w:bookmarkEnd w:id="1"/>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支持与HIS系统</w:t>
      </w:r>
      <w:r>
        <w:rPr>
          <w:color w:val="000000" w:themeColor="text1"/>
          <w14:textFill>
            <w14:solidFill>
              <w14:schemeClr w14:val="tx1"/>
            </w14:solidFill>
          </w14:textFill>
        </w:rPr>
        <w:t>一体化应用</w:t>
      </w:r>
      <w:r>
        <w:rPr>
          <w:rFonts w:hint="eastAsia"/>
          <w:color w:val="000000" w:themeColor="text1"/>
          <w14:textFill>
            <w14:solidFill>
              <w14:schemeClr w14:val="tx1"/>
            </w14:solidFill>
          </w14:textFill>
        </w:rPr>
        <w:t>。</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支持与HIS系统建立熔断机制以保障意外情况下临床业务不受影响。</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支持多维度、灵活、可配置的访问授权控制体系，病案室可对不同业务场景、不同角色、不同访问方式等进行权限控制</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支持病案归档时接入C</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签名认证，对患者所有归档文档统一认证</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支持将各类业务信息系统产生的、须进行病案归档管理的医疗文书，自动采集生成P</w:t>
      </w:r>
      <w:r>
        <w:rPr>
          <w:color w:val="000000" w:themeColor="text1"/>
          <w14:textFill>
            <w14:solidFill>
              <w14:schemeClr w14:val="tx1"/>
            </w14:solidFill>
          </w14:textFill>
        </w:rPr>
        <w:t>DF</w:t>
      </w:r>
      <w:r>
        <w:rPr>
          <w:rFonts w:hint="eastAsia"/>
          <w:color w:val="000000" w:themeColor="text1"/>
          <w14:textFill>
            <w14:solidFill>
              <w14:schemeClr w14:val="tx1"/>
            </w14:solidFill>
          </w14:textFill>
        </w:rPr>
        <w:t>文件和结构化文档数据，集中存储，形成完整、规范的电子化诊疗文书档案</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支持虚拟打印、电子签章接入、文档水印等综合应用</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遵循《电子病历应用管理规范》、《电子病历基本规范》、《卫生系统电子认证服务管理办法》等政策法规的要求</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支持通过可视化配置</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支持线上访问申请和审核，包括针对历史纸质归档病案进行线上借阅和审核</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支持多维度组合条件检索患者</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支持针对病案的示踪管理</w:t>
      </w:r>
    </w:p>
    <w:p>
      <w:pPr>
        <w:pStyle w:val="40"/>
        <w:numPr>
          <w:ilvl w:val="0"/>
          <w:numId w:val="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支持对操作人员按岗位进行角色划分，模块功能按角色进行展现</w:t>
      </w:r>
    </w:p>
    <w:p>
      <w:pPr>
        <w:pStyle w:val="40"/>
        <w:numPr>
          <w:ilvl w:val="0"/>
          <w:numId w:val="2"/>
        </w:numPr>
        <w:ind w:firstLineChars="0"/>
        <w:rPr>
          <w:color w:val="000000" w:themeColor="text1"/>
          <w14:textFill>
            <w14:solidFill>
              <w14:schemeClr w14:val="tx1"/>
            </w14:solidFill>
          </w14:textFill>
        </w:rPr>
      </w:pPr>
      <w:r>
        <w:rPr>
          <w:rFonts w:ascii="宋体" w:hAnsi="宋体" w:cs="宋体"/>
          <w:kern w:val="0"/>
          <w:sz w:val="24"/>
          <w:szCs w:val="24"/>
          <w:highlight w:val="none"/>
        </w:rPr>
        <w:t>★</w:t>
      </w:r>
      <w:r>
        <w:rPr>
          <w:rFonts w:hint="eastAsia"/>
          <w:color w:val="000000" w:themeColor="text1"/>
          <w14:textFill>
            <w14:solidFill>
              <w14:schemeClr w14:val="tx1"/>
            </w14:solidFill>
          </w14:textFill>
        </w:rPr>
        <w:t>支持无纸化系统应该可以接入集成院内集成平台系统，实现与接入集成平台及CDR系统的数据互通，由此产生的技术问题及商务问题由供应商解决</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病案核查提交</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支持对患者所有归档文书检查核对</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支持与所有业务系统进行对接，获取三方C</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签字后的P</w:t>
      </w:r>
      <w:r>
        <w:rPr>
          <w:color w:val="000000" w:themeColor="text1"/>
          <w14:textFill>
            <w14:solidFill>
              <w14:schemeClr w14:val="tx1"/>
            </w14:solidFill>
          </w14:textFill>
        </w:rPr>
        <w:t>DF</w:t>
      </w:r>
      <w:r>
        <w:rPr>
          <w:rFonts w:hint="eastAsia"/>
          <w:color w:val="000000" w:themeColor="text1"/>
          <w14:textFill>
            <w14:solidFill>
              <w14:schemeClr w14:val="tx1"/>
            </w14:solidFill>
          </w14:textFill>
        </w:rPr>
        <w:t>文书</w:t>
      </w:r>
    </w:p>
    <w:p>
      <w:pPr>
        <w:pStyle w:val="40"/>
        <w:numPr>
          <w:ilvl w:val="0"/>
          <w:numId w:val="3"/>
        </w:numPr>
        <w:ind w:firstLineChars="0"/>
        <w:rPr>
          <w:color w:val="000000" w:themeColor="text1"/>
          <w14:textFill>
            <w14:solidFill>
              <w14:schemeClr w14:val="tx1"/>
            </w14:solidFill>
          </w14:textFill>
        </w:rPr>
      </w:pPr>
      <w:r>
        <w:rPr>
          <w:rFonts w:ascii="宋体" w:hAnsi="宋体" w:cs="宋体"/>
          <w:kern w:val="0"/>
          <w:sz w:val="24"/>
          <w:szCs w:val="24"/>
          <w:highlight w:val="none"/>
        </w:rPr>
        <w:t>★</w:t>
      </w:r>
      <w:r>
        <w:rPr>
          <w:rFonts w:hint="eastAsia"/>
          <w:color w:val="000000" w:themeColor="text1"/>
          <w14:textFill>
            <w14:solidFill>
              <w14:schemeClr w14:val="tx1"/>
            </w14:solidFill>
          </w14:textFill>
        </w:rPr>
        <w:t>支持分系统查看各业务系统应归档文档数量</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支持对各业务系统应归档文档数量与实际归档文档数据进行对比，得出缺失文档清单</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支持临床科室质控医生和质控护士双确认提交模式</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P</w:t>
      </w:r>
      <w:r>
        <w:rPr>
          <w:color w:val="000000" w:themeColor="text1"/>
          <w14:textFill>
            <w14:solidFill>
              <w14:schemeClr w14:val="tx1"/>
            </w14:solidFill>
          </w14:textFill>
        </w:rPr>
        <w:t>DF</w:t>
      </w:r>
      <w:r>
        <w:rPr>
          <w:rFonts w:hint="eastAsia"/>
          <w:color w:val="000000" w:themeColor="text1"/>
          <w14:textFill>
            <w14:solidFill>
              <w14:schemeClr w14:val="tx1"/>
            </w14:solidFill>
          </w14:textFill>
        </w:rPr>
        <w:t>文书支持以数据库或F</w:t>
      </w:r>
      <w:r>
        <w:rPr>
          <w:color w:val="000000" w:themeColor="text1"/>
          <w14:textFill>
            <w14:solidFill>
              <w14:schemeClr w14:val="tx1"/>
            </w14:solidFill>
          </w14:textFill>
        </w:rPr>
        <w:t>TP</w:t>
      </w:r>
      <w:r>
        <w:rPr>
          <w:rFonts w:hint="eastAsia"/>
          <w:color w:val="000000" w:themeColor="text1"/>
          <w14:textFill>
            <w14:solidFill>
              <w14:schemeClr w14:val="tx1"/>
            </w14:solidFill>
          </w14:textFill>
        </w:rPr>
        <w:t>的方式进行存储</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支持对病案室回退病案进行集中查询和提醒</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数字化报告系统</w:t>
      </w:r>
    </w:p>
    <w:p>
      <w:pPr>
        <w:pStyle w:val="40"/>
        <w:numPr>
          <w:ilvl w:val="0"/>
          <w:numId w:val="3"/>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实现院内单机报告系统数字化管理</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将单机报告接入数字化报告共享系统</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并完成无纸化归档接口集成</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档案管理</w:t>
      </w:r>
    </w:p>
    <w:p>
      <w:pPr>
        <w:pStyle w:val="40"/>
        <w:ind w:left="420" w:firstLine="0" w:firstLineChars="0"/>
        <w:rPr>
          <w:color w:val="000000" w:themeColor="text1"/>
          <w14:textFill>
            <w14:solidFill>
              <w14:schemeClr w14:val="tx1"/>
            </w14:solidFill>
          </w14:textFill>
        </w:rPr>
      </w:pPr>
      <w:r>
        <w:rPr>
          <w:rFonts w:hint="eastAsia"/>
          <w:b/>
          <w:color w:val="000000" w:themeColor="text1"/>
          <w14:textFill>
            <w14:solidFill>
              <w14:schemeClr w14:val="tx1"/>
            </w14:solidFill>
          </w14:textFill>
        </w:rPr>
        <w:t>归档</w:t>
      </w:r>
      <w:r>
        <w:rPr>
          <w:b/>
          <w:color w:val="000000" w:themeColor="text1"/>
          <w14:textFill>
            <w14:solidFill>
              <w14:schemeClr w14:val="tx1"/>
            </w14:solidFill>
          </w14:textFill>
        </w:rPr>
        <w:t>：</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支持归档时对归档人和归档内容进行C</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签名</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支持归档时检查患者所有归档文书</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支持对归档文书进行问题标注</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支持对标注问题反馈到指定医护人员</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支持将病案退回到指定医护人员</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支持病历分类以树形展示</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支持以P</w:t>
      </w:r>
      <w:r>
        <w:rPr>
          <w:color w:val="000000" w:themeColor="text1"/>
          <w14:textFill>
            <w14:solidFill>
              <w14:schemeClr w14:val="tx1"/>
            </w14:solidFill>
          </w14:textFill>
        </w:rPr>
        <w:t>DF</w:t>
      </w:r>
      <w:r>
        <w:rPr>
          <w:rFonts w:hint="eastAsia"/>
          <w:color w:val="000000" w:themeColor="text1"/>
          <w14:textFill>
            <w14:solidFill>
              <w14:schemeClr w14:val="tx1"/>
            </w14:solidFill>
          </w14:textFill>
        </w:rPr>
        <w:t>展示患者所有电子病案文书</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支持查看各业务系统应归档文档数量</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支持对各业务系统应归档文档数量与实际归档文档数据进行对比，核查缺失文档清单</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支持按照纸质病案归档排序进行文档排序展示，支持自定义排序</w:t>
      </w:r>
    </w:p>
    <w:p>
      <w:pPr>
        <w:ind w:left="420"/>
        <w:rPr>
          <w:b/>
          <w:color w:val="000000" w:themeColor="text1"/>
          <w14:textFill>
            <w14:solidFill>
              <w14:schemeClr w14:val="tx1"/>
            </w14:solidFill>
          </w14:textFill>
        </w:rPr>
      </w:pPr>
      <w:r>
        <w:rPr>
          <w:rFonts w:hint="eastAsia"/>
          <w:b/>
          <w:color w:val="000000" w:themeColor="text1"/>
          <w14:textFill>
            <w14:solidFill>
              <w14:schemeClr w14:val="tx1"/>
            </w14:solidFill>
          </w14:textFill>
        </w:rPr>
        <w:t>追加归档</w:t>
      </w:r>
      <w:r>
        <w:rPr>
          <w:b/>
          <w:color w:val="000000" w:themeColor="text1"/>
          <w14:textFill>
            <w14:solidFill>
              <w14:schemeClr w14:val="tx1"/>
            </w14:solidFill>
          </w14:textFill>
        </w:rPr>
        <w:t>：</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支持临床发起追加归档流程</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支持对临床补充病案内容进行追加归档</w:t>
      </w:r>
    </w:p>
    <w:p>
      <w:pPr>
        <w:ind w:left="420"/>
        <w:rPr>
          <w:color w:val="000000" w:themeColor="text1"/>
          <w14:textFill>
            <w14:solidFill>
              <w14:schemeClr w14:val="tx1"/>
            </w14:solidFill>
          </w14:textFill>
        </w:rPr>
      </w:pPr>
      <w:r>
        <w:rPr>
          <w:rFonts w:hint="eastAsia"/>
          <w:b/>
          <w:color w:val="000000" w:themeColor="text1"/>
          <w14:textFill>
            <w14:solidFill>
              <w14:schemeClr w14:val="tx1"/>
            </w14:solidFill>
          </w14:textFill>
        </w:rPr>
        <w:t>封存与解封</w:t>
      </w:r>
      <w:r>
        <w:rPr>
          <w:b/>
          <w:color w:val="000000" w:themeColor="text1"/>
          <w14:textFill>
            <w14:solidFill>
              <w14:schemeClr w14:val="tx1"/>
            </w14:solidFill>
          </w14:textFill>
        </w:rPr>
        <w:t>：</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支持对特殊病案进行封存，封存后病案对外不提供查看和打印</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支持与病历系统进行对接，同步封存状态</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支持对已封存病案进行解封</w:t>
      </w:r>
    </w:p>
    <w:p>
      <w:pPr>
        <w:ind w:left="420"/>
        <w:rPr>
          <w:b/>
          <w:color w:val="000000" w:themeColor="text1"/>
          <w14:textFill>
            <w14:solidFill>
              <w14:schemeClr w14:val="tx1"/>
            </w14:solidFill>
          </w14:textFill>
        </w:rPr>
      </w:pPr>
      <w:r>
        <w:rPr>
          <w:rFonts w:hint="eastAsia"/>
          <w:b/>
          <w:color w:val="000000" w:themeColor="text1"/>
          <w14:textFill>
            <w14:solidFill>
              <w14:schemeClr w14:val="tx1"/>
            </w14:solidFill>
          </w14:textFill>
        </w:rPr>
        <w:t>访问授权</w:t>
      </w:r>
      <w:r>
        <w:rPr>
          <w:b/>
          <w:color w:val="000000" w:themeColor="text1"/>
          <w14:textFill>
            <w14:solidFill>
              <w14:schemeClr w14:val="tx1"/>
            </w14:solidFill>
          </w14:textFill>
        </w:rPr>
        <w:t>：</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支持对临床访问申请进行审核</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包括历史纸质归档病案借阅申请审核</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支持对临床访问申请进行修改，包括借阅时间、借阅范围等</w:t>
      </w:r>
    </w:p>
    <w:p>
      <w:pPr>
        <w:ind w:left="420"/>
        <w:rPr>
          <w:color w:val="000000" w:themeColor="text1"/>
          <w14:textFill>
            <w14:solidFill>
              <w14:schemeClr w14:val="tx1"/>
            </w14:solidFill>
          </w14:textFill>
        </w:rPr>
      </w:pPr>
      <w:r>
        <w:rPr>
          <w:rFonts w:hint="eastAsia"/>
          <w:b/>
          <w:color w:val="000000" w:themeColor="text1"/>
          <w14:textFill>
            <w14:solidFill>
              <w14:schemeClr w14:val="tx1"/>
            </w14:solidFill>
          </w14:textFill>
        </w:rPr>
        <w:t>终末抽查</w:t>
      </w:r>
      <w:r>
        <w:rPr>
          <w:b/>
          <w:color w:val="000000" w:themeColor="text1"/>
          <w14:textFill>
            <w14:solidFill>
              <w14:schemeClr w14:val="tx1"/>
            </w14:solidFill>
          </w14:textFill>
        </w:rPr>
        <w:t>：</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支持病案终末抽查环节与归档环节进行融合</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支持对病案评分标准进行维护</w:t>
      </w:r>
    </w:p>
    <w:p>
      <w:pPr>
        <w:pStyle w:val="40"/>
        <w:numPr>
          <w:ilvl w:val="0"/>
          <w:numId w:val="4"/>
        </w:numPr>
        <w:ind w:firstLineChars="0"/>
        <w:rPr>
          <w:color w:val="000000" w:themeColor="text1"/>
          <w14:textFill>
            <w14:solidFill>
              <w14:schemeClr w14:val="tx1"/>
            </w14:solidFill>
          </w14:textFill>
        </w:rPr>
      </w:pPr>
      <w:r>
        <w:rPr>
          <w:rFonts w:ascii="宋体" w:hAnsi="宋体" w:cs="宋体"/>
          <w:kern w:val="0"/>
          <w:sz w:val="24"/>
          <w:szCs w:val="24"/>
          <w:highlight w:val="none"/>
        </w:rPr>
        <w:t>★</w:t>
      </w:r>
      <w:r>
        <w:rPr>
          <w:rFonts w:hint="eastAsia"/>
          <w:color w:val="000000" w:themeColor="text1"/>
          <w14:textFill>
            <w14:solidFill>
              <w14:schemeClr w14:val="tx1"/>
            </w14:solidFill>
          </w14:textFill>
        </w:rPr>
        <w:t>支持将终末抽查问题反馈到临床指定医护人员</w:t>
      </w:r>
    </w:p>
    <w:p>
      <w:pPr>
        <w:pStyle w:val="40"/>
        <w:numPr>
          <w:ilvl w:val="0"/>
          <w:numId w:val="4"/>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支持对终末抽查中问题进行统计</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病案查阅</w:t>
      </w:r>
    </w:p>
    <w:p>
      <w:pPr>
        <w:pStyle w:val="40"/>
        <w:numPr>
          <w:ilvl w:val="0"/>
          <w:numId w:val="5"/>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支持根据使用场景进行可查阅文档类别配置</w:t>
      </w:r>
    </w:p>
    <w:p>
      <w:pPr>
        <w:pStyle w:val="40"/>
        <w:numPr>
          <w:ilvl w:val="0"/>
          <w:numId w:val="5"/>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支持基于部分结构化数据查询</w:t>
      </w:r>
    </w:p>
    <w:p>
      <w:pPr>
        <w:pStyle w:val="40"/>
        <w:numPr>
          <w:ilvl w:val="0"/>
          <w:numId w:val="5"/>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支持结合应用业务场景展现重点信息，避免大量不需要信息造成干扰，提供高效、便捷的查阅</w:t>
      </w:r>
    </w:p>
    <w:p>
      <w:pPr>
        <w:pStyle w:val="40"/>
        <w:numPr>
          <w:ilvl w:val="0"/>
          <w:numId w:val="5"/>
        </w:numPr>
        <w:ind w:firstLineChars="0"/>
        <w:rPr>
          <w:color w:val="000000" w:themeColor="text1"/>
          <w14:textFill>
            <w14:solidFill>
              <w14:schemeClr w14:val="tx1"/>
            </w14:solidFill>
          </w14:textFill>
        </w:rPr>
      </w:pPr>
      <w:r>
        <w:rPr>
          <w:rFonts w:ascii="宋体" w:hAnsi="宋体" w:cs="宋体"/>
          <w:kern w:val="0"/>
          <w:sz w:val="24"/>
          <w:szCs w:val="24"/>
          <w:highlight w:val="none"/>
        </w:rPr>
        <w:t>★</w:t>
      </w:r>
      <w:r>
        <w:rPr>
          <w:rFonts w:hint="eastAsia"/>
          <w:color w:val="000000" w:themeColor="text1"/>
          <w14:textFill>
            <w14:solidFill>
              <w14:schemeClr w14:val="tx1"/>
            </w14:solidFill>
          </w14:textFill>
        </w:rPr>
        <w:t>支持嵌套到HIS系统工作站</w:t>
      </w:r>
    </w:p>
    <w:p>
      <w:pPr>
        <w:pStyle w:val="40"/>
        <w:numPr>
          <w:ilvl w:val="0"/>
          <w:numId w:val="5"/>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支持通过授权控制，可查阅病历的历史病案信息</w:t>
      </w:r>
    </w:p>
    <w:p>
      <w:pPr>
        <w:pStyle w:val="40"/>
        <w:numPr>
          <w:ilvl w:val="0"/>
          <w:numId w:val="5"/>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支持病历分类进行树形展示</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病案检索</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支持按住院号、身份证号、医保号、姓名等身份识别信息进行检索</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支持检索条件的收藏，为连续检索、多次检索提供方便</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支持对不满足查询条件的无纸化病案查阅提供访问申请</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支持针对符合相同条件的患者进行批量访问申请</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支持对历史纸质归档病案进行线上申请</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示踪管理</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支持病案核查提交、归档、退回、封存、解封、查阅、打印、借阅申请、借阅审核等各流程进行日志记录</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支持以病人就诊记录为主线索的无纸化病案管理全流程的踪迹查阅</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支持以可视化的方式形象展现无纸化病案的流转过程，时间节点，操作人员</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支持对历史纸质归档病案借阅进行示踪管理</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病案打印</w:t>
      </w:r>
    </w:p>
    <w:p>
      <w:pPr>
        <w:pStyle w:val="40"/>
        <w:ind w:left="420" w:firstLine="0" w:firstLineChars="0"/>
        <w:rPr>
          <w:color w:val="000000" w:themeColor="text1"/>
          <w14:textFill>
            <w14:solidFill>
              <w14:schemeClr w14:val="tx1"/>
            </w14:solidFill>
          </w14:textFill>
        </w:rPr>
      </w:pPr>
      <w:r>
        <w:rPr>
          <w:rFonts w:hint="eastAsia"/>
          <w:b/>
          <w:color w:val="000000" w:themeColor="text1"/>
          <w14:textFill>
            <w14:solidFill>
              <w14:schemeClr w14:val="tx1"/>
            </w14:solidFill>
          </w14:textFill>
        </w:rPr>
        <w:t>按需打印</w:t>
      </w:r>
      <w:r>
        <w:rPr>
          <w:b/>
          <w:color w:val="000000" w:themeColor="text1"/>
          <w14:textFill>
            <w14:solidFill>
              <w14:schemeClr w14:val="tx1"/>
            </w14:solidFill>
          </w14:textFill>
        </w:rPr>
        <w:t>：</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支持以住院号、姓名、身份证等信息检索患者</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支持以病人为单位进行打印</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支持选择打印病历文档</w:t>
      </w:r>
    </w:p>
    <w:p>
      <w:pPr>
        <w:pStyle w:val="40"/>
        <w:numPr>
          <w:ilvl w:val="0"/>
          <w:numId w:val="6"/>
        </w:numPr>
        <w:ind w:firstLineChars="0"/>
        <w:rPr>
          <w:color w:val="000000" w:themeColor="text1"/>
          <w14:textFill>
            <w14:solidFill>
              <w14:schemeClr w14:val="tx1"/>
            </w14:solidFill>
          </w14:textFill>
        </w:rPr>
      </w:pPr>
      <w:r>
        <w:rPr>
          <w:color w:val="000000" w:themeColor="text1"/>
          <w14:textFill>
            <w14:solidFill>
              <w14:schemeClr w14:val="tx1"/>
            </w14:solidFill>
          </w14:textFill>
        </w:rPr>
        <w:t>支持份数、页数、打印机、纸张等基本的打印选项</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支持按打印用途配置需打印的病历种类打印时根据选择的用途来打印相应的病历文档</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支持自定义打印用途配置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打印文档支持水印（避免非授权的截屏、复印），电子印章</w:t>
      </w:r>
    </w:p>
    <w:p>
      <w:pPr>
        <w:pStyle w:val="40"/>
        <w:ind w:left="420" w:firstLine="0" w:firstLineChars="0"/>
        <w:rPr>
          <w:b/>
          <w:color w:val="000000" w:themeColor="text1"/>
          <w14:textFill>
            <w14:solidFill>
              <w14:schemeClr w14:val="tx1"/>
            </w14:solidFill>
          </w14:textFill>
        </w:rPr>
      </w:pPr>
      <w:r>
        <w:rPr>
          <w:rFonts w:hint="eastAsia"/>
          <w:b/>
          <w:color w:val="000000" w:themeColor="text1"/>
          <w14:textFill>
            <w14:solidFill>
              <w14:schemeClr w14:val="tx1"/>
            </w14:solidFill>
          </w14:textFill>
        </w:rPr>
        <w:t>打印预约：</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支持与患者服务</w:t>
      </w:r>
      <w:r>
        <w:rPr>
          <w:color w:val="000000" w:themeColor="text1"/>
          <w14:textFill>
            <w14:solidFill>
              <w14:schemeClr w14:val="tx1"/>
            </w14:solidFill>
          </w14:textFill>
        </w:rPr>
        <w:t>公众号</w:t>
      </w:r>
      <w:r>
        <w:rPr>
          <w:rFonts w:hint="eastAsia"/>
          <w:color w:val="000000" w:themeColor="text1"/>
          <w14:textFill>
            <w14:solidFill>
              <w14:schemeClr w14:val="tx1"/>
            </w14:solidFill>
          </w14:textFill>
        </w:rPr>
        <w:t>或小程序进行集成使用（使用其患者身份认证系统和支付系统）</w:t>
      </w:r>
    </w:p>
    <w:p>
      <w:pPr>
        <w:pStyle w:val="40"/>
        <w:ind w:left="420" w:firstLine="0" w:firstLineChars="0"/>
        <w:rPr>
          <w:color w:val="000000" w:themeColor="text1"/>
          <w14:textFill>
            <w14:solidFill>
              <w14:schemeClr w14:val="tx1"/>
            </w14:solidFill>
          </w14:textFill>
        </w:rPr>
      </w:pPr>
      <w:r>
        <w:rPr>
          <w:rFonts w:hint="eastAsia"/>
          <w:b/>
          <w:color w:val="000000" w:themeColor="text1"/>
          <w14:textFill>
            <w14:solidFill>
              <w14:schemeClr w14:val="tx1"/>
            </w14:solidFill>
          </w14:textFill>
        </w:rPr>
        <w:t>自助打印：</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支持病人在自助机上自助打印病案</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支持现有的病人自助系统进行集成使用（调用</w:t>
      </w:r>
      <w:bookmarkStart w:id="0" w:name="_Hlk49674061"/>
      <w:r>
        <w:rPr>
          <w:rFonts w:hint="eastAsia"/>
          <w:color w:val="000000" w:themeColor="text1"/>
          <w14:textFill>
            <w14:solidFill>
              <w14:schemeClr w14:val="tx1"/>
            </w14:solidFill>
          </w14:textFill>
        </w:rPr>
        <w:t>其</w:t>
      </w:r>
      <w:bookmarkEnd w:id="0"/>
      <w:r>
        <w:rPr>
          <w:rFonts w:hint="eastAsia"/>
          <w:color w:val="000000" w:themeColor="text1"/>
          <w14:textFill>
            <w14:solidFill>
              <w14:schemeClr w14:val="tx1"/>
            </w14:solidFill>
          </w14:textFill>
        </w:rPr>
        <w:t>患者身份认证系统和支付系统）</w:t>
      </w:r>
    </w:p>
    <w:p>
      <w:pPr>
        <w:pStyle w:val="3"/>
        <w:numPr>
          <w:ilvl w:val="0"/>
          <w:numId w:val="0"/>
        </w:numPr>
        <w:rPr>
          <w:color w:val="000000" w:themeColor="text1"/>
          <w14:textFill>
            <w14:solidFill>
              <w14:schemeClr w14:val="tx1"/>
            </w14:solidFill>
          </w14:textFill>
        </w:rPr>
      </w:pPr>
      <w:r>
        <w:rPr>
          <w:rFonts w:hint="eastAsia"/>
          <w:color w:val="000000" w:themeColor="text1"/>
          <w14:textFill>
            <w14:solidFill>
              <w14:schemeClr w14:val="tx1"/>
            </w14:solidFill>
          </w14:textFill>
        </w:rPr>
        <w:t>权限管理</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支持提供多维度的权限控制体系</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与业务系统集成</w:t>
      </w:r>
    </w:p>
    <w:p>
      <w:pPr>
        <w:pStyle w:val="40"/>
        <w:numPr>
          <w:ilvl w:val="0"/>
          <w:numId w:val="6"/>
        </w:numPr>
        <w:ind w:firstLineChars="0"/>
        <w:rPr>
          <w:color w:val="000000" w:themeColor="text1"/>
          <w14:textFill>
            <w14:solidFill>
              <w14:schemeClr w14:val="tx1"/>
            </w14:solidFill>
          </w14:textFill>
        </w:rPr>
      </w:pPr>
      <w:r>
        <w:rPr>
          <w:rFonts w:ascii="宋体" w:hAnsi="宋体" w:cs="宋体"/>
          <w:kern w:val="0"/>
          <w:sz w:val="24"/>
          <w:szCs w:val="24"/>
          <w:highlight w:val="none"/>
        </w:rPr>
        <w:t>★</w:t>
      </w:r>
      <w:r>
        <w:rPr>
          <w:rFonts w:hint="eastAsia"/>
          <w:color w:val="000000" w:themeColor="text1"/>
          <w14:textFill>
            <w14:solidFill>
              <w14:schemeClr w14:val="tx1"/>
            </w14:solidFill>
          </w14:textFill>
        </w:rPr>
        <w:t>支持融合到HIS系统，实现</w:t>
      </w:r>
      <w:r>
        <w:rPr>
          <w:color w:val="000000" w:themeColor="text1"/>
          <w14:textFill>
            <w14:solidFill>
              <w14:schemeClr w14:val="tx1"/>
            </w14:solidFill>
          </w14:textFill>
        </w:rPr>
        <w:t>界面</w:t>
      </w:r>
      <w:r>
        <w:rPr>
          <w:rFonts w:hint="eastAsia"/>
          <w:color w:val="000000" w:themeColor="text1"/>
          <w14:textFill>
            <w14:solidFill>
              <w14:schemeClr w14:val="tx1"/>
            </w14:solidFill>
          </w14:textFill>
        </w:rPr>
        <w:t>集成</w:t>
      </w:r>
      <w:r>
        <w:rPr>
          <w:color w:val="000000" w:themeColor="text1"/>
          <w14:textFill>
            <w14:solidFill>
              <w14:schemeClr w14:val="tx1"/>
            </w14:solidFill>
          </w14:textFill>
        </w:rPr>
        <w:t>、数据</w:t>
      </w:r>
      <w:r>
        <w:rPr>
          <w:rFonts w:hint="eastAsia"/>
          <w:color w:val="000000" w:themeColor="text1"/>
          <w14:textFill>
            <w14:solidFill>
              <w14:schemeClr w14:val="tx1"/>
            </w14:solidFill>
          </w14:textFill>
        </w:rPr>
        <w:t>集成</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支持门诊及住院医生站业务系统中，查阅病人的无纸化病案信息</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支持按科室分步启用无纸化病案系统，可配置启用科室</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支持病案系统中集成无纸化病案系统，可进行归档、打印等操作</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支持融合到病案质控与评分系统，实现与电子病案审查融合</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支持问题反馈与临床消息提醒融合</w:t>
      </w:r>
    </w:p>
    <w:p>
      <w:pPr>
        <w:pStyle w:val="3"/>
        <w:numPr>
          <w:ilvl w:val="0"/>
          <w:numId w:val="0"/>
        </w:numPr>
        <w:ind w:left="576" w:hanging="576"/>
        <w:rPr>
          <w:color w:val="000000" w:themeColor="text1"/>
          <w14:textFill>
            <w14:solidFill>
              <w14:schemeClr w14:val="tx1"/>
            </w14:solidFill>
          </w14:textFill>
        </w:rPr>
      </w:pPr>
      <w:r>
        <w:rPr>
          <w:rFonts w:hint="eastAsia"/>
          <w:color w:val="000000" w:themeColor="text1"/>
          <w14:textFill>
            <w14:solidFill>
              <w14:schemeClr w14:val="tx1"/>
            </w14:solidFill>
          </w14:textFill>
        </w:rPr>
        <w:t>系统配置</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可访问内容配置：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支持根据不用业务场景，配置指定可以显示类别的病案</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三方应用程序配置：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支持将三方产品的WEB界面集成到病人诊疗信息查询中，实现集中展现信息</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历史就诊信息配置：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支持结合使用场景，配置指定科室查看历史就诊信息</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文档水印配置：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支持配置查看PDF文件时显示的水印内容及形式</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打印配置：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支持根据打印用途配置打印的病历种类</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支持自定义添加打印用途</w:t>
      </w:r>
    </w:p>
    <w:p>
      <w:pPr>
        <w:pStyle w:val="40"/>
        <w:numPr>
          <w:ilvl w:val="0"/>
          <w:numId w:val="6"/>
        </w:numPr>
        <w:ind w:firstLineChars="0"/>
        <w:rPr>
          <w:color w:val="000000" w:themeColor="text1"/>
          <w14:textFill>
            <w14:solidFill>
              <w14:schemeClr w14:val="tx1"/>
            </w14:solidFill>
          </w14:textFill>
        </w:rPr>
      </w:pP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隐私项目配置：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w:t>
      </w:r>
      <w:r>
        <w:rPr>
          <w:color w:val="000000" w:themeColor="text1"/>
          <w14:textFill>
            <w14:solidFill>
              <w14:schemeClr w14:val="tx1"/>
            </w14:solidFill>
          </w14:textFill>
        </w:rPr>
        <w:t>根据</w:t>
      </w:r>
      <w:r>
        <w:rPr>
          <w:rFonts w:hint="eastAsia"/>
          <w:color w:val="000000" w:themeColor="text1"/>
          <w14:textFill>
            <w14:solidFill>
              <w14:schemeClr w14:val="tx1"/>
            </w14:solidFill>
          </w14:textFill>
        </w:rPr>
        <w:t>不同的角色</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指定对病人信息中的哪些信息进行显示屏蔽</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电子图章配置：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支持配置打印PDF文件时显示在右下角的电子图章</w:t>
      </w:r>
      <w:r>
        <w:rPr>
          <w:rFonts w:hint="eastAsia"/>
          <w:color w:val="000000" w:themeColor="text1"/>
          <w:lang w:eastAsia="zh-CN"/>
          <w14:textFill>
            <w14:solidFill>
              <w14:schemeClr w14:val="tx1"/>
            </w14:solidFill>
          </w14:textFill>
        </w:rPr>
        <w:t>。</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访问授权配置：</w:t>
      </w:r>
    </w:p>
    <w:p>
      <w:pPr>
        <w:pStyle w:val="40"/>
        <w:numPr>
          <w:ilvl w:val="0"/>
          <w:numId w:val="6"/>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针对病案检索功能，除本科室患者外，支持根据病人来源、就诊科室、诊断编码、手术编码、保险类别配置访问权限</w:t>
      </w:r>
    </w:p>
    <w:p>
      <w:pPr>
        <w:spacing w:line="312" w:lineRule="auto"/>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菜单配置：</w:t>
      </w:r>
    </w:p>
    <w:p>
      <w:pPr>
        <w:pStyle w:val="40"/>
        <w:numPr>
          <w:ilvl w:val="0"/>
          <w:numId w:val="7"/>
        </w:numPr>
        <w:spacing w:line="312" w:lineRule="auto"/>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针对不同角色配置不同的菜单列表</w:t>
      </w:r>
    </w:p>
    <w:p>
      <w:pPr>
        <w:spacing w:line="312" w:lineRule="auto"/>
        <w:ind w:firstLine="482" w:firstLineChars="200"/>
        <w:rPr>
          <w:b/>
          <w:color w:val="auto"/>
        </w:rPr>
      </w:pPr>
      <w:r>
        <w:rPr>
          <w:rFonts w:hint="eastAsia"/>
          <w:b/>
          <w:color w:val="auto"/>
        </w:rPr>
        <w:t>售后服务</w:t>
      </w:r>
    </w:p>
    <w:p>
      <w:pPr>
        <w:pStyle w:val="40"/>
        <w:spacing w:line="312" w:lineRule="auto"/>
        <w:ind w:firstLine="480"/>
        <w:rPr>
          <w:rFonts w:hint="eastAsia" w:eastAsia="宋体"/>
          <w:color w:val="auto"/>
          <w:lang w:eastAsia="zh-CN"/>
        </w:rPr>
      </w:pPr>
      <w:r>
        <w:rPr>
          <w:rFonts w:hint="eastAsia"/>
          <w:color w:val="auto"/>
          <w:lang w:eastAsia="zh-CN"/>
        </w:rPr>
        <w:t>▲</w:t>
      </w:r>
      <w:r>
        <w:rPr>
          <w:rFonts w:hint="eastAsia"/>
          <w:color w:val="auto"/>
        </w:rPr>
        <w:t>中标供应商须提供（2）年的免费质保、维保服务，所有质保、维保费用均已包含在投标报价中</w:t>
      </w:r>
      <w:r>
        <w:rPr>
          <w:rFonts w:hint="eastAsia"/>
          <w:color w:val="auto"/>
          <w:lang w:val="en-US" w:eastAsia="zh-CN"/>
        </w:rPr>
        <w:t>。</w:t>
      </w:r>
    </w:p>
    <w:p>
      <w:pPr>
        <w:pStyle w:val="40"/>
        <w:spacing w:line="312" w:lineRule="auto"/>
        <w:ind w:firstLine="480"/>
        <w:rPr>
          <w:rFonts w:hint="eastAsia"/>
          <w:b/>
          <w:bCs/>
          <w:color w:val="auto"/>
        </w:rPr>
      </w:pPr>
      <w:r>
        <w:rPr>
          <w:rFonts w:hint="eastAsia"/>
          <w:color w:val="auto"/>
          <w:lang w:eastAsia="zh-CN"/>
        </w:rPr>
        <w:t>▲</w:t>
      </w:r>
      <w:r>
        <w:rPr>
          <w:rFonts w:hint="eastAsia"/>
          <w:color w:val="auto"/>
        </w:rPr>
        <w:t>质保、维保期满后，应优先提供有偿售后服务,服务费用每年不得高于合同金额的（6）%且</w:t>
      </w:r>
      <w:r>
        <w:rPr>
          <w:rFonts w:hint="eastAsia"/>
          <w:b/>
          <w:bCs/>
          <w:color w:val="auto"/>
          <w:lang w:val="en-US" w:eastAsia="zh-CN"/>
        </w:rPr>
        <w:t>不得额外收取</w:t>
      </w:r>
      <w:r>
        <w:rPr>
          <w:rFonts w:hint="eastAsia"/>
          <w:b/>
          <w:bCs/>
          <w:color w:val="auto"/>
        </w:rPr>
        <w:t>接口费用。</w:t>
      </w:r>
    </w:p>
    <w:p>
      <w:pPr>
        <w:pStyle w:val="40"/>
        <w:spacing w:line="312" w:lineRule="auto"/>
        <w:ind w:firstLine="480"/>
        <w:rPr>
          <w:rFonts w:hint="eastAsia"/>
          <w:b/>
          <w:bCs/>
          <w:color w:val="auto"/>
        </w:rPr>
      </w:pPr>
    </w:p>
    <w:p>
      <w:pPr>
        <w:pStyle w:val="40"/>
        <w:spacing w:line="312" w:lineRule="auto"/>
        <w:ind w:firstLine="480"/>
        <w:rPr>
          <w:rFonts w:hint="eastAsia"/>
          <w:color w:val="FF0000"/>
          <w:highlight w:val="green"/>
        </w:rPr>
      </w:pPr>
    </w:p>
    <w:p>
      <w:pPr>
        <w:pStyle w:val="40"/>
        <w:spacing w:line="312" w:lineRule="auto"/>
        <w:ind w:firstLine="480"/>
        <w:rPr>
          <w:rFonts w:hint="eastAsia"/>
          <w:color w:val="FF0000"/>
          <w:highlight w:val="green"/>
        </w:rPr>
      </w:pPr>
    </w:p>
    <w:p>
      <w:pPr>
        <w:pStyle w:val="40"/>
        <w:spacing w:line="312" w:lineRule="auto"/>
        <w:ind w:firstLine="480"/>
        <w:rPr>
          <w:rFonts w:hint="eastAsia"/>
          <w:color w:val="FF0000"/>
          <w:highlight w:val="green"/>
        </w:rPr>
      </w:pPr>
    </w:p>
    <w:p>
      <w:pPr>
        <w:pStyle w:val="40"/>
        <w:spacing w:line="312" w:lineRule="auto"/>
        <w:ind w:left="0" w:leftChars="0" w:firstLine="0" w:firstLineChars="0"/>
        <w:rPr>
          <w:color w:val="FF0000"/>
          <w:highlight w:val="yellow"/>
        </w:rPr>
      </w:pPr>
    </w:p>
    <w:sectPr>
      <w:pgSz w:w="11906" w:h="16838"/>
      <w:pgMar w:top="1440" w:right="1800" w:bottom="1440" w:left="1800" w:header="851" w:footer="992" w:gutter="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21FCE"/>
    <w:multiLevelType w:val="multilevel"/>
    <w:tmpl w:val="1DE21FC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
    <w:nsid w:val="26750CB6"/>
    <w:multiLevelType w:val="multilevel"/>
    <w:tmpl w:val="26750C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9D4653B"/>
    <w:multiLevelType w:val="multilevel"/>
    <w:tmpl w:val="29D4653B"/>
    <w:lvl w:ilvl="0" w:tentative="0">
      <w:start w:val="1"/>
      <w:numFmt w:val="bullet"/>
      <w:lvlText w:val=""/>
      <w:lvlJc w:val="left"/>
      <w:pPr>
        <w:ind w:left="420" w:hanging="420"/>
      </w:pPr>
      <w:rPr>
        <w:rFonts w:hint="default" w:ascii="Wingdings" w:hAnsi="Wingdings"/>
        <w:color w:val="000000" w:themeColor="text1"/>
        <w14:textFill>
          <w14:solidFill>
            <w14:schemeClr w14:val="tx1"/>
          </w14:solidFill>
        </w14:textFil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40A748C"/>
    <w:multiLevelType w:val="multilevel"/>
    <w:tmpl w:val="440A74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A8C759C"/>
    <w:multiLevelType w:val="multilevel"/>
    <w:tmpl w:val="5A8C75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E4D6E08"/>
    <w:multiLevelType w:val="multilevel"/>
    <w:tmpl w:val="5E4D6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DC73E27"/>
    <w:multiLevelType w:val="multilevel"/>
    <w:tmpl w:val="6DC73E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5"/>
  </w:num>
  <w:num w:numId="3">
    <w:abstractNumId w:val="4"/>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OThlZjI0OWM2ZDAzMTMzZmEyZDA4YWVhNjkwODAifQ=="/>
  </w:docVars>
  <w:rsids>
    <w:rsidRoot w:val="00DF3741"/>
    <w:rsid w:val="00005A02"/>
    <w:rsid w:val="00006633"/>
    <w:rsid w:val="00007F80"/>
    <w:rsid w:val="000154DF"/>
    <w:rsid w:val="00021631"/>
    <w:rsid w:val="00023C17"/>
    <w:rsid w:val="00025139"/>
    <w:rsid w:val="000324AD"/>
    <w:rsid w:val="00032E8E"/>
    <w:rsid w:val="00033715"/>
    <w:rsid w:val="00034968"/>
    <w:rsid w:val="00042663"/>
    <w:rsid w:val="00046F4F"/>
    <w:rsid w:val="00052A23"/>
    <w:rsid w:val="00054CDC"/>
    <w:rsid w:val="0005510D"/>
    <w:rsid w:val="000651C5"/>
    <w:rsid w:val="00074002"/>
    <w:rsid w:val="00081B27"/>
    <w:rsid w:val="00084739"/>
    <w:rsid w:val="00090703"/>
    <w:rsid w:val="000912C6"/>
    <w:rsid w:val="00092F5E"/>
    <w:rsid w:val="0009602E"/>
    <w:rsid w:val="000A4BA5"/>
    <w:rsid w:val="000B170D"/>
    <w:rsid w:val="000B1F16"/>
    <w:rsid w:val="000B47A5"/>
    <w:rsid w:val="000B4EC8"/>
    <w:rsid w:val="000B5BA2"/>
    <w:rsid w:val="000C066F"/>
    <w:rsid w:val="000C1827"/>
    <w:rsid w:val="000C49B3"/>
    <w:rsid w:val="000D3120"/>
    <w:rsid w:val="000F1843"/>
    <w:rsid w:val="000F5CD7"/>
    <w:rsid w:val="0011475D"/>
    <w:rsid w:val="00126A35"/>
    <w:rsid w:val="0013143C"/>
    <w:rsid w:val="00133EE7"/>
    <w:rsid w:val="00141B2D"/>
    <w:rsid w:val="001510B2"/>
    <w:rsid w:val="00151BD5"/>
    <w:rsid w:val="00152C3F"/>
    <w:rsid w:val="00156DD2"/>
    <w:rsid w:val="00165221"/>
    <w:rsid w:val="00177F02"/>
    <w:rsid w:val="0018423E"/>
    <w:rsid w:val="00187BB0"/>
    <w:rsid w:val="00191F05"/>
    <w:rsid w:val="00194DDC"/>
    <w:rsid w:val="00197EBF"/>
    <w:rsid w:val="001A1C7D"/>
    <w:rsid w:val="001B1550"/>
    <w:rsid w:val="001C1734"/>
    <w:rsid w:val="001C182E"/>
    <w:rsid w:val="001C3589"/>
    <w:rsid w:val="001D74CB"/>
    <w:rsid w:val="001E4971"/>
    <w:rsid w:val="001E7A62"/>
    <w:rsid w:val="00206867"/>
    <w:rsid w:val="00206D6A"/>
    <w:rsid w:val="0021280F"/>
    <w:rsid w:val="00215863"/>
    <w:rsid w:val="002240B3"/>
    <w:rsid w:val="00245238"/>
    <w:rsid w:val="002463A4"/>
    <w:rsid w:val="00246F59"/>
    <w:rsid w:val="002536BE"/>
    <w:rsid w:val="00255989"/>
    <w:rsid w:val="00257B9B"/>
    <w:rsid w:val="00263C05"/>
    <w:rsid w:val="0026769F"/>
    <w:rsid w:val="002711FD"/>
    <w:rsid w:val="00271824"/>
    <w:rsid w:val="0027421F"/>
    <w:rsid w:val="0027473D"/>
    <w:rsid w:val="0028205D"/>
    <w:rsid w:val="00286898"/>
    <w:rsid w:val="00292999"/>
    <w:rsid w:val="002A4F24"/>
    <w:rsid w:val="002C0839"/>
    <w:rsid w:val="002C22A9"/>
    <w:rsid w:val="002C5DFF"/>
    <w:rsid w:val="002D583F"/>
    <w:rsid w:val="002E61DA"/>
    <w:rsid w:val="002E62B0"/>
    <w:rsid w:val="00300E2B"/>
    <w:rsid w:val="00310CDD"/>
    <w:rsid w:val="0031556E"/>
    <w:rsid w:val="00323F9C"/>
    <w:rsid w:val="0032708B"/>
    <w:rsid w:val="0033079A"/>
    <w:rsid w:val="003339DE"/>
    <w:rsid w:val="00341FA8"/>
    <w:rsid w:val="003445A4"/>
    <w:rsid w:val="00356EBD"/>
    <w:rsid w:val="00363328"/>
    <w:rsid w:val="00371249"/>
    <w:rsid w:val="00374E59"/>
    <w:rsid w:val="00382825"/>
    <w:rsid w:val="00386F7B"/>
    <w:rsid w:val="00396172"/>
    <w:rsid w:val="003A194A"/>
    <w:rsid w:val="003A3C39"/>
    <w:rsid w:val="003B274B"/>
    <w:rsid w:val="003B2E11"/>
    <w:rsid w:val="003B301E"/>
    <w:rsid w:val="003B36BF"/>
    <w:rsid w:val="003B6649"/>
    <w:rsid w:val="003D6015"/>
    <w:rsid w:val="003E38D6"/>
    <w:rsid w:val="00403BDF"/>
    <w:rsid w:val="0041678B"/>
    <w:rsid w:val="00433558"/>
    <w:rsid w:val="00434A55"/>
    <w:rsid w:val="00452C6D"/>
    <w:rsid w:val="00460472"/>
    <w:rsid w:val="00460CC9"/>
    <w:rsid w:val="0046748F"/>
    <w:rsid w:val="00472A7A"/>
    <w:rsid w:val="0047635A"/>
    <w:rsid w:val="0047699A"/>
    <w:rsid w:val="0048124F"/>
    <w:rsid w:val="00481F46"/>
    <w:rsid w:val="00485E60"/>
    <w:rsid w:val="00490BBC"/>
    <w:rsid w:val="004962A3"/>
    <w:rsid w:val="004965EB"/>
    <w:rsid w:val="004A32C9"/>
    <w:rsid w:val="004A5BB3"/>
    <w:rsid w:val="004A636D"/>
    <w:rsid w:val="004B1CC6"/>
    <w:rsid w:val="004C1D7E"/>
    <w:rsid w:val="004D0FEF"/>
    <w:rsid w:val="004D64C6"/>
    <w:rsid w:val="004E0758"/>
    <w:rsid w:val="004E13F8"/>
    <w:rsid w:val="004E3CEC"/>
    <w:rsid w:val="004E7F5B"/>
    <w:rsid w:val="004F2D54"/>
    <w:rsid w:val="004F4DC4"/>
    <w:rsid w:val="004F5880"/>
    <w:rsid w:val="00510268"/>
    <w:rsid w:val="00521627"/>
    <w:rsid w:val="00527391"/>
    <w:rsid w:val="00534333"/>
    <w:rsid w:val="00535489"/>
    <w:rsid w:val="005423D2"/>
    <w:rsid w:val="005511F9"/>
    <w:rsid w:val="00552A66"/>
    <w:rsid w:val="00556F3A"/>
    <w:rsid w:val="00562556"/>
    <w:rsid w:val="005670BA"/>
    <w:rsid w:val="00567372"/>
    <w:rsid w:val="00573D25"/>
    <w:rsid w:val="0058670B"/>
    <w:rsid w:val="00595100"/>
    <w:rsid w:val="005A4E2D"/>
    <w:rsid w:val="005A56EE"/>
    <w:rsid w:val="005C4954"/>
    <w:rsid w:val="005C4F80"/>
    <w:rsid w:val="005D1909"/>
    <w:rsid w:val="005D259E"/>
    <w:rsid w:val="005F3439"/>
    <w:rsid w:val="005F7849"/>
    <w:rsid w:val="00602D21"/>
    <w:rsid w:val="0060550A"/>
    <w:rsid w:val="0061345D"/>
    <w:rsid w:val="006144EF"/>
    <w:rsid w:val="00615FFA"/>
    <w:rsid w:val="00620C09"/>
    <w:rsid w:val="00624AAC"/>
    <w:rsid w:val="00635019"/>
    <w:rsid w:val="00637165"/>
    <w:rsid w:val="006446CE"/>
    <w:rsid w:val="006459CE"/>
    <w:rsid w:val="006579BE"/>
    <w:rsid w:val="00660D9F"/>
    <w:rsid w:val="00663040"/>
    <w:rsid w:val="006663A6"/>
    <w:rsid w:val="00674F56"/>
    <w:rsid w:val="00686D32"/>
    <w:rsid w:val="0069539F"/>
    <w:rsid w:val="006955F0"/>
    <w:rsid w:val="006A370D"/>
    <w:rsid w:val="006B0319"/>
    <w:rsid w:val="006C2C9D"/>
    <w:rsid w:val="006D42C6"/>
    <w:rsid w:val="006D66A9"/>
    <w:rsid w:val="006D6E51"/>
    <w:rsid w:val="006E610F"/>
    <w:rsid w:val="006F0629"/>
    <w:rsid w:val="006F37A1"/>
    <w:rsid w:val="00702455"/>
    <w:rsid w:val="007213C2"/>
    <w:rsid w:val="00727490"/>
    <w:rsid w:val="00727B24"/>
    <w:rsid w:val="007428D4"/>
    <w:rsid w:val="00743212"/>
    <w:rsid w:val="00746D08"/>
    <w:rsid w:val="00755FCD"/>
    <w:rsid w:val="00764D42"/>
    <w:rsid w:val="00767F17"/>
    <w:rsid w:val="00783081"/>
    <w:rsid w:val="007842E8"/>
    <w:rsid w:val="00795E66"/>
    <w:rsid w:val="007A70C0"/>
    <w:rsid w:val="007B2BCC"/>
    <w:rsid w:val="007B5BA3"/>
    <w:rsid w:val="007D7CA0"/>
    <w:rsid w:val="007D7D05"/>
    <w:rsid w:val="007E4074"/>
    <w:rsid w:val="00800D64"/>
    <w:rsid w:val="00802894"/>
    <w:rsid w:val="008034D4"/>
    <w:rsid w:val="0080768E"/>
    <w:rsid w:val="00824778"/>
    <w:rsid w:val="00824C3C"/>
    <w:rsid w:val="008304AE"/>
    <w:rsid w:val="00844BDD"/>
    <w:rsid w:val="00852EBC"/>
    <w:rsid w:val="008536B3"/>
    <w:rsid w:val="0087022C"/>
    <w:rsid w:val="00870593"/>
    <w:rsid w:val="0088479F"/>
    <w:rsid w:val="0088576A"/>
    <w:rsid w:val="00892F4B"/>
    <w:rsid w:val="008930BE"/>
    <w:rsid w:val="008A4ADD"/>
    <w:rsid w:val="008B16F5"/>
    <w:rsid w:val="008C166C"/>
    <w:rsid w:val="008C28DE"/>
    <w:rsid w:val="008C3B74"/>
    <w:rsid w:val="008C6DE4"/>
    <w:rsid w:val="008D2894"/>
    <w:rsid w:val="008D5200"/>
    <w:rsid w:val="008E1E6C"/>
    <w:rsid w:val="008E6B48"/>
    <w:rsid w:val="008F5223"/>
    <w:rsid w:val="008F7842"/>
    <w:rsid w:val="00902CAE"/>
    <w:rsid w:val="009036A2"/>
    <w:rsid w:val="00912180"/>
    <w:rsid w:val="00927E0C"/>
    <w:rsid w:val="009504C8"/>
    <w:rsid w:val="009554C2"/>
    <w:rsid w:val="00962712"/>
    <w:rsid w:val="0097023D"/>
    <w:rsid w:val="00983632"/>
    <w:rsid w:val="00984EF4"/>
    <w:rsid w:val="00997B64"/>
    <w:rsid w:val="009A05F0"/>
    <w:rsid w:val="009A672C"/>
    <w:rsid w:val="009B02A5"/>
    <w:rsid w:val="009B4F60"/>
    <w:rsid w:val="009C41FC"/>
    <w:rsid w:val="009D429A"/>
    <w:rsid w:val="009E0AB3"/>
    <w:rsid w:val="009F4002"/>
    <w:rsid w:val="00A0537D"/>
    <w:rsid w:val="00A148F6"/>
    <w:rsid w:val="00A217DE"/>
    <w:rsid w:val="00A31920"/>
    <w:rsid w:val="00A31F3D"/>
    <w:rsid w:val="00A34D4A"/>
    <w:rsid w:val="00A516D0"/>
    <w:rsid w:val="00A53D35"/>
    <w:rsid w:val="00A60914"/>
    <w:rsid w:val="00A65E6C"/>
    <w:rsid w:val="00A65F06"/>
    <w:rsid w:val="00A87CB1"/>
    <w:rsid w:val="00A97E6B"/>
    <w:rsid w:val="00AA7082"/>
    <w:rsid w:val="00AB6F7D"/>
    <w:rsid w:val="00AD0AB2"/>
    <w:rsid w:val="00AD735E"/>
    <w:rsid w:val="00AE0736"/>
    <w:rsid w:val="00AE2D42"/>
    <w:rsid w:val="00AE46EA"/>
    <w:rsid w:val="00B0143C"/>
    <w:rsid w:val="00B02BCE"/>
    <w:rsid w:val="00B03F46"/>
    <w:rsid w:val="00B27E2C"/>
    <w:rsid w:val="00B41AC1"/>
    <w:rsid w:val="00B432F0"/>
    <w:rsid w:val="00B45DDA"/>
    <w:rsid w:val="00B472C0"/>
    <w:rsid w:val="00B56FDA"/>
    <w:rsid w:val="00B578C0"/>
    <w:rsid w:val="00B61823"/>
    <w:rsid w:val="00B65A96"/>
    <w:rsid w:val="00B76B76"/>
    <w:rsid w:val="00B8119F"/>
    <w:rsid w:val="00B95D33"/>
    <w:rsid w:val="00BB00EC"/>
    <w:rsid w:val="00BB6257"/>
    <w:rsid w:val="00BB7D97"/>
    <w:rsid w:val="00BC09D5"/>
    <w:rsid w:val="00BC1757"/>
    <w:rsid w:val="00BC4C60"/>
    <w:rsid w:val="00BD3126"/>
    <w:rsid w:val="00C01D7B"/>
    <w:rsid w:val="00C01F82"/>
    <w:rsid w:val="00C2020F"/>
    <w:rsid w:val="00C22DE9"/>
    <w:rsid w:val="00C23D55"/>
    <w:rsid w:val="00C30D71"/>
    <w:rsid w:val="00C35287"/>
    <w:rsid w:val="00C352C8"/>
    <w:rsid w:val="00C370B4"/>
    <w:rsid w:val="00C37F6A"/>
    <w:rsid w:val="00C450E0"/>
    <w:rsid w:val="00C55F56"/>
    <w:rsid w:val="00C56E7C"/>
    <w:rsid w:val="00C73335"/>
    <w:rsid w:val="00C772C2"/>
    <w:rsid w:val="00C86B30"/>
    <w:rsid w:val="00C91414"/>
    <w:rsid w:val="00C94404"/>
    <w:rsid w:val="00C96111"/>
    <w:rsid w:val="00CA3D8D"/>
    <w:rsid w:val="00CC460B"/>
    <w:rsid w:val="00CD0F05"/>
    <w:rsid w:val="00CD33FE"/>
    <w:rsid w:val="00CD6B20"/>
    <w:rsid w:val="00D01B3C"/>
    <w:rsid w:val="00D03DCC"/>
    <w:rsid w:val="00D10FD7"/>
    <w:rsid w:val="00D11A85"/>
    <w:rsid w:val="00D14314"/>
    <w:rsid w:val="00D243DF"/>
    <w:rsid w:val="00D24DE6"/>
    <w:rsid w:val="00D3398D"/>
    <w:rsid w:val="00D361A8"/>
    <w:rsid w:val="00D40B9D"/>
    <w:rsid w:val="00D610AA"/>
    <w:rsid w:val="00D76555"/>
    <w:rsid w:val="00D7678F"/>
    <w:rsid w:val="00D77C25"/>
    <w:rsid w:val="00D87809"/>
    <w:rsid w:val="00D87FAC"/>
    <w:rsid w:val="00D95AAC"/>
    <w:rsid w:val="00DA0E31"/>
    <w:rsid w:val="00DA505B"/>
    <w:rsid w:val="00DA5191"/>
    <w:rsid w:val="00DB33EE"/>
    <w:rsid w:val="00DD1419"/>
    <w:rsid w:val="00DD326E"/>
    <w:rsid w:val="00DE118F"/>
    <w:rsid w:val="00DF01CF"/>
    <w:rsid w:val="00DF3741"/>
    <w:rsid w:val="00DF53C7"/>
    <w:rsid w:val="00DF63A4"/>
    <w:rsid w:val="00E02086"/>
    <w:rsid w:val="00E0645E"/>
    <w:rsid w:val="00E203EC"/>
    <w:rsid w:val="00E20A50"/>
    <w:rsid w:val="00E2113E"/>
    <w:rsid w:val="00E266F3"/>
    <w:rsid w:val="00E36622"/>
    <w:rsid w:val="00E40078"/>
    <w:rsid w:val="00E45339"/>
    <w:rsid w:val="00E47299"/>
    <w:rsid w:val="00E50343"/>
    <w:rsid w:val="00E50959"/>
    <w:rsid w:val="00E5394F"/>
    <w:rsid w:val="00E54125"/>
    <w:rsid w:val="00E57A49"/>
    <w:rsid w:val="00E66345"/>
    <w:rsid w:val="00E6674A"/>
    <w:rsid w:val="00E66A86"/>
    <w:rsid w:val="00E82BCE"/>
    <w:rsid w:val="00E84312"/>
    <w:rsid w:val="00E94E8D"/>
    <w:rsid w:val="00E97D58"/>
    <w:rsid w:val="00EA2BEC"/>
    <w:rsid w:val="00EA3A07"/>
    <w:rsid w:val="00EA6379"/>
    <w:rsid w:val="00EA72DD"/>
    <w:rsid w:val="00EB0747"/>
    <w:rsid w:val="00EB3CE0"/>
    <w:rsid w:val="00EB7416"/>
    <w:rsid w:val="00EC4098"/>
    <w:rsid w:val="00ED0CB5"/>
    <w:rsid w:val="00ED48B7"/>
    <w:rsid w:val="00EE0EBE"/>
    <w:rsid w:val="00EE6A06"/>
    <w:rsid w:val="00EF27FA"/>
    <w:rsid w:val="00F15E63"/>
    <w:rsid w:val="00F20C25"/>
    <w:rsid w:val="00F22FFD"/>
    <w:rsid w:val="00F60DA6"/>
    <w:rsid w:val="00F65B3C"/>
    <w:rsid w:val="00F679C7"/>
    <w:rsid w:val="00F760D8"/>
    <w:rsid w:val="00F778D5"/>
    <w:rsid w:val="00F829AE"/>
    <w:rsid w:val="00F845AA"/>
    <w:rsid w:val="00F94564"/>
    <w:rsid w:val="00FB08BB"/>
    <w:rsid w:val="00FC4817"/>
    <w:rsid w:val="00FC76C5"/>
    <w:rsid w:val="00FD1E57"/>
    <w:rsid w:val="00FE00E7"/>
    <w:rsid w:val="00FE5A0B"/>
    <w:rsid w:val="00FE5A83"/>
    <w:rsid w:val="00FF60D5"/>
    <w:rsid w:val="00FF6DE0"/>
    <w:rsid w:val="012F0091"/>
    <w:rsid w:val="01466F93"/>
    <w:rsid w:val="04430DEF"/>
    <w:rsid w:val="096133B5"/>
    <w:rsid w:val="0A9037B0"/>
    <w:rsid w:val="0C272694"/>
    <w:rsid w:val="0D091D9A"/>
    <w:rsid w:val="0D6E421B"/>
    <w:rsid w:val="0E696C6E"/>
    <w:rsid w:val="0FFC7994"/>
    <w:rsid w:val="163559AE"/>
    <w:rsid w:val="17C70888"/>
    <w:rsid w:val="180C4689"/>
    <w:rsid w:val="19EB7592"/>
    <w:rsid w:val="1A7321D9"/>
    <w:rsid w:val="20B52CBB"/>
    <w:rsid w:val="22A939AB"/>
    <w:rsid w:val="25C73A08"/>
    <w:rsid w:val="272A364F"/>
    <w:rsid w:val="280276BA"/>
    <w:rsid w:val="28A54FB4"/>
    <w:rsid w:val="322841C1"/>
    <w:rsid w:val="33606685"/>
    <w:rsid w:val="379E35E8"/>
    <w:rsid w:val="37FE39FA"/>
    <w:rsid w:val="3A2206A2"/>
    <w:rsid w:val="3D766728"/>
    <w:rsid w:val="3EC77220"/>
    <w:rsid w:val="4093139F"/>
    <w:rsid w:val="426E3E57"/>
    <w:rsid w:val="43E2374B"/>
    <w:rsid w:val="43E73439"/>
    <w:rsid w:val="47372A84"/>
    <w:rsid w:val="4746344C"/>
    <w:rsid w:val="4B5028C1"/>
    <w:rsid w:val="4D616AAD"/>
    <w:rsid w:val="4E2E44B5"/>
    <w:rsid w:val="4F7654A2"/>
    <w:rsid w:val="50C6577B"/>
    <w:rsid w:val="50F639B0"/>
    <w:rsid w:val="521C7446"/>
    <w:rsid w:val="52D86764"/>
    <w:rsid w:val="531761A8"/>
    <w:rsid w:val="54E25FE7"/>
    <w:rsid w:val="565926CA"/>
    <w:rsid w:val="565F7902"/>
    <w:rsid w:val="5BA11812"/>
    <w:rsid w:val="5BE865EB"/>
    <w:rsid w:val="5C474981"/>
    <w:rsid w:val="5D131FBC"/>
    <w:rsid w:val="5F29755C"/>
    <w:rsid w:val="5F6A2CFB"/>
    <w:rsid w:val="600E3722"/>
    <w:rsid w:val="61A14B90"/>
    <w:rsid w:val="63E13352"/>
    <w:rsid w:val="63F06CE8"/>
    <w:rsid w:val="642D5695"/>
    <w:rsid w:val="67181AC7"/>
    <w:rsid w:val="678C79CA"/>
    <w:rsid w:val="6C7064B6"/>
    <w:rsid w:val="6E043392"/>
    <w:rsid w:val="70567B70"/>
    <w:rsid w:val="72256D70"/>
    <w:rsid w:val="74485B1A"/>
    <w:rsid w:val="749832AA"/>
    <w:rsid w:val="75A56796"/>
    <w:rsid w:val="7A3F3423"/>
    <w:rsid w:val="7AAB78FC"/>
    <w:rsid w:val="7BD84096"/>
    <w:rsid w:val="7C474069"/>
    <w:rsid w:val="7D11267D"/>
    <w:rsid w:val="7E6D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Arial" w:hAnsi="Arial" w:eastAsia="宋体" w:cs="Times New Roman"/>
      <w:kern w:val="2"/>
      <w:sz w:val="24"/>
      <w:lang w:val="en-US" w:eastAsia="zh-CN" w:bidi="ar-SA"/>
    </w:rPr>
  </w:style>
  <w:style w:type="paragraph" w:styleId="2">
    <w:name w:val="heading 1"/>
    <w:basedOn w:val="1"/>
    <w:next w:val="1"/>
    <w:link w:val="29"/>
    <w:qFormat/>
    <w:uiPriority w:val="9"/>
    <w:pPr>
      <w:keepNext/>
      <w:keepLines/>
      <w:numPr>
        <w:ilvl w:val="0"/>
        <w:numId w:val="1"/>
      </w:numPr>
      <w:spacing w:before="340" w:after="330" w:line="578" w:lineRule="auto"/>
      <w:outlineLvl w:val="0"/>
    </w:pPr>
    <w:rPr>
      <w:b/>
      <w:bCs/>
      <w:kern w:val="44"/>
      <w:sz w:val="32"/>
      <w:szCs w:val="44"/>
    </w:rPr>
  </w:style>
  <w:style w:type="paragraph" w:styleId="3">
    <w:name w:val="heading 2"/>
    <w:basedOn w:val="1"/>
    <w:next w:val="1"/>
    <w:link w:val="32"/>
    <w:unhideWhenUsed/>
    <w:qFormat/>
    <w:uiPriority w:val="9"/>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33"/>
    <w:unhideWhenUsed/>
    <w:qFormat/>
    <w:uiPriority w:val="9"/>
    <w:pPr>
      <w:keepNext/>
      <w:keepLines/>
      <w:numPr>
        <w:ilvl w:val="2"/>
        <w:numId w:val="1"/>
      </w:numPr>
      <w:spacing w:before="260" w:after="260" w:line="416" w:lineRule="auto"/>
      <w:outlineLvl w:val="2"/>
    </w:pPr>
    <w:rPr>
      <w:rFonts w:ascii="Cambria" w:hAnsi="Cambria"/>
      <w:b/>
      <w:bCs/>
      <w:sz w:val="32"/>
      <w:szCs w:val="32"/>
    </w:rPr>
  </w:style>
  <w:style w:type="paragraph" w:styleId="5">
    <w:name w:val="heading 4"/>
    <w:basedOn w:val="1"/>
    <w:next w:val="1"/>
    <w:link w:val="34"/>
    <w:unhideWhenUsed/>
    <w:qFormat/>
    <w:uiPriority w:val="9"/>
    <w:pPr>
      <w:keepNext/>
      <w:keepLines/>
      <w:numPr>
        <w:ilvl w:val="3"/>
        <w:numId w:val="1"/>
      </w:numPr>
      <w:spacing w:before="280" w:after="290" w:line="376" w:lineRule="auto"/>
      <w:outlineLvl w:val="3"/>
    </w:pPr>
    <w:rPr>
      <w:rFonts w:ascii="Cambria" w:hAnsi="Cambria"/>
      <w:b/>
      <w:bCs/>
      <w:sz w:val="28"/>
      <w:szCs w:val="28"/>
    </w:rPr>
  </w:style>
  <w:style w:type="paragraph" w:styleId="6">
    <w:name w:val="heading 5"/>
    <w:basedOn w:val="1"/>
    <w:next w:val="1"/>
    <w:link w:val="35"/>
    <w:semiHidden/>
    <w:unhideWhenUsed/>
    <w:qFormat/>
    <w:uiPriority w:val="9"/>
    <w:pPr>
      <w:keepNext/>
      <w:keepLines/>
      <w:numPr>
        <w:ilvl w:val="4"/>
        <w:numId w:val="1"/>
      </w:numPr>
      <w:spacing w:before="280" w:after="290" w:line="376" w:lineRule="auto"/>
      <w:outlineLvl w:val="4"/>
    </w:pPr>
    <w:rPr>
      <w:rFonts w:ascii="Cambria" w:hAnsi="Cambria"/>
      <w:b/>
      <w:bCs/>
      <w:sz w:val="28"/>
      <w:szCs w:val="28"/>
    </w:rPr>
  </w:style>
  <w:style w:type="paragraph" w:styleId="7">
    <w:name w:val="heading 6"/>
    <w:basedOn w:val="1"/>
    <w:next w:val="1"/>
    <w:link w:val="36"/>
    <w:semiHidden/>
    <w:unhideWhenUsed/>
    <w:qFormat/>
    <w:uiPriority w:val="9"/>
    <w:pPr>
      <w:keepNext/>
      <w:keepLines/>
      <w:numPr>
        <w:ilvl w:val="5"/>
        <w:numId w:val="1"/>
      </w:numPr>
      <w:spacing w:before="240" w:after="64" w:line="320" w:lineRule="auto"/>
      <w:outlineLvl w:val="5"/>
    </w:pPr>
    <w:rPr>
      <w:rFonts w:ascii="Cambria" w:hAnsi="Cambria"/>
      <w:b/>
      <w:bCs/>
      <w:szCs w:val="24"/>
    </w:rPr>
  </w:style>
  <w:style w:type="paragraph" w:styleId="8">
    <w:name w:val="heading 7"/>
    <w:basedOn w:val="1"/>
    <w:next w:val="1"/>
    <w:link w:val="37"/>
    <w:semiHidden/>
    <w:unhideWhenUsed/>
    <w:qFormat/>
    <w:uiPriority w:val="9"/>
    <w:pPr>
      <w:keepNext/>
      <w:keepLines/>
      <w:numPr>
        <w:ilvl w:val="6"/>
        <w:numId w:val="1"/>
      </w:numPr>
      <w:spacing w:before="240" w:after="64" w:line="320" w:lineRule="auto"/>
      <w:outlineLvl w:val="6"/>
    </w:pPr>
    <w:rPr>
      <w:b/>
      <w:bCs/>
      <w:szCs w:val="24"/>
    </w:rPr>
  </w:style>
  <w:style w:type="paragraph" w:styleId="9">
    <w:name w:val="heading 8"/>
    <w:basedOn w:val="1"/>
    <w:next w:val="1"/>
    <w:link w:val="38"/>
    <w:semiHidden/>
    <w:unhideWhenUsed/>
    <w:qFormat/>
    <w:uiPriority w:val="9"/>
    <w:pPr>
      <w:keepNext/>
      <w:keepLines/>
      <w:numPr>
        <w:ilvl w:val="7"/>
        <w:numId w:val="1"/>
      </w:numPr>
      <w:spacing w:before="240" w:after="64" w:line="320" w:lineRule="auto"/>
      <w:outlineLvl w:val="7"/>
    </w:pPr>
    <w:rPr>
      <w:rFonts w:ascii="Cambria" w:hAnsi="Cambria"/>
      <w:szCs w:val="24"/>
    </w:rPr>
  </w:style>
  <w:style w:type="paragraph" w:styleId="10">
    <w:name w:val="heading 9"/>
    <w:basedOn w:val="1"/>
    <w:next w:val="1"/>
    <w:link w:val="39"/>
    <w:semiHidden/>
    <w:unhideWhenUsed/>
    <w:qFormat/>
    <w:uiPriority w:val="9"/>
    <w:pPr>
      <w:keepNext/>
      <w:keepLines/>
      <w:numPr>
        <w:ilvl w:val="8"/>
        <w:numId w:val="1"/>
      </w:numPr>
      <w:spacing w:before="240" w:after="64" w:line="320" w:lineRule="auto"/>
      <w:outlineLvl w:val="8"/>
    </w:pPr>
    <w:rPr>
      <w:rFonts w:ascii="Cambria" w:hAnsi="Cambria"/>
      <w:sz w:val="21"/>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1"/>
    <w:semiHidden/>
    <w:unhideWhenUsed/>
    <w:qFormat/>
    <w:uiPriority w:val="99"/>
    <w:pPr>
      <w:jc w:val="left"/>
    </w:pPr>
  </w:style>
  <w:style w:type="paragraph" w:styleId="12">
    <w:name w:val="toc 3"/>
    <w:basedOn w:val="1"/>
    <w:next w:val="1"/>
    <w:unhideWhenUsed/>
    <w:qFormat/>
    <w:uiPriority w:val="39"/>
    <w:pPr>
      <w:ind w:left="840" w:leftChars="400"/>
    </w:pPr>
  </w:style>
  <w:style w:type="paragraph" w:styleId="13">
    <w:name w:val="Date"/>
    <w:basedOn w:val="1"/>
    <w:next w:val="1"/>
    <w:link w:val="43"/>
    <w:autoRedefine/>
    <w:semiHidden/>
    <w:unhideWhenUsed/>
    <w:qFormat/>
    <w:uiPriority w:val="99"/>
    <w:pPr>
      <w:ind w:left="100" w:leftChars="2500"/>
    </w:pPr>
  </w:style>
  <w:style w:type="paragraph" w:styleId="14">
    <w:name w:val="Balloon Text"/>
    <w:basedOn w:val="1"/>
    <w:link w:val="31"/>
    <w:autoRedefine/>
    <w:semiHidden/>
    <w:unhideWhenUsed/>
    <w:qFormat/>
    <w:uiPriority w:val="99"/>
    <w:pPr>
      <w:spacing w:line="240" w:lineRule="auto"/>
    </w:pPr>
    <w:rPr>
      <w:sz w:val="18"/>
      <w:szCs w:val="18"/>
    </w:rPr>
  </w:style>
  <w:style w:type="paragraph" w:styleId="15">
    <w:name w:val="footer"/>
    <w:basedOn w:val="1"/>
    <w:link w:val="27"/>
    <w:autoRedefine/>
    <w:unhideWhenUsed/>
    <w:qFormat/>
    <w:uiPriority w:val="99"/>
    <w:pPr>
      <w:tabs>
        <w:tab w:val="center" w:pos="4153"/>
        <w:tab w:val="right" w:pos="8306"/>
      </w:tabs>
      <w:snapToGrid w:val="0"/>
      <w:spacing w:line="240" w:lineRule="auto"/>
      <w:jc w:val="left"/>
    </w:pPr>
    <w:rPr>
      <w:rFonts w:ascii="Calibri" w:hAnsi="Calibri"/>
      <w:sz w:val="18"/>
      <w:szCs w:val="18"/>
    </w:rPr>
  </w:style>
  <w:style w:type="paragraph" w:styleId="16">
    <w:name w:val="header"/>
    <w:basedOn w:val="1"/>
    <w:link w:val="26"/>
    <w:autoRedefine/>
    <w:unhideWhenUsed/>
    <w:qFormat/>
    <w:uiPriority w:val="99"/>
    <w:pPr>
      <w:pBdr>
        <w:bottom w:val="single" w:color="auto" w:sz="6" w:space="1"/>
      </w:pBdr>
      <w:tabs>
        <w:tab w:val="center" w:pos="4153"/>
        <w:tab w:val="right" w:pos="8306"/>
      </w:tabs>
      <w:snapToGrid w:val="0"/>
      <w:spacing w:line="240" w:lineRule="auto"/>
      <w:jc w:val="center"/>
    </w:pPr>
    <w:rPr>
      <w:rFonts w:ascii="Calibri" w:hAnsi="Calibri"/>
      <w:sz w:val="18"/>
      <w:szCs w:val="18"/>
    </w:rPr>
  </w:style>
  <w:style w:type="paragraph" w:styleId="17">
    <w:name w:val="toc 1"/>
    <w:basedOn w:val="1"/>
    <w:next w:val="1"/>
    <w:autoRedefine/>
    <w:unhideWhenUsed/>
    <w:qFormat/>
    <w:uiPriority w:val="39"/>
  </w:style>
  <w:style w:type="paragraph" w:styleId="18">
    <w:name w:val="toc 2"/>
    <w:basedOn w:val="1"/>
    <w:next w:val="1"/>
    <w:autoRedefine/>
    <w:unhideWhenUsed/>
    <w:qFormat/>
    <w:uiPriority w:val="39"/>
    <w:pPr>
      <w:ind w:left="420" w:leftChars="200"/>
    </w:pPr>
  </w:style>
  <w:style w:type="paragraph" w:styleId="19">
    <w:name w:val="Normal (Web)"/>
    <w:basedOn w:val="1"/>
    <w:autoRedefine/>
    <w:unhideWhenUsed/>
    <w:qFormat/>
    <w:uiPriority w:val="99"/>
    <w:pPr>
      <w:widowControl/>
      <w:spacing w:before="100" w:beforeAutospacing="1" w:after="100" w:afterAutospacing="1" w:line="240" w:lineRule="auto"/>
      <w:jc w:val="left"/>
    </w:pPr>
    <w:rPr>
      <w:rFonts w:ascii="宋体" w:hAnsi="宋体" w:cs="宋体"/>
      <w:kern w:val="0"/>
      <w:szCs w:val="24"/>
    </w:rPr>
  </w:style>
  <w:style w:type="paragraph" w:styleId="20">
    <w:name w:val="annotation subject"/>
    <w:basedOn w:val="11"/>
    <w:next w:val="11"/>
    <w:link w:val="42"/>
    <w:autoRedefine/>
    <w:semiHidden/>
    <w:unhideWhenUsed/>
    <w:qFormat/>
    <w:uiPriority w:val="99"/>
    <w:rPr>
      <w:b/>
      <w:bCs/>
    </w:rPr>
  </w:style>
  <w:style w:type="table" w:styleId="22">
    <w:name w:val="Medium Grid 3 Accent 5"/>
    <w:basedOn w:val="21"/>
    <w:autoRedefine/>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24">
    <w:name w:val="Hyperlink"/>
    <w:autoRedefine/>
    <w:unhideWhenUsed/>
    <w:qFormat/>
    <w:uiPriority w:val="99"/>
    <w:rPr>
      <w:color w:val="0000FF"/>
      <w:u w:val="single"/>
    </w:rPr>
  </w:style>
  <w:style w:type="character" w:styleId="25">
    <w:name w:val="annotation reference"/>
    <w:autoRedefine/>
    <w:semiHidden/>
    <w:unhideWhenUsed/>
    <w:qFormat/>
    <w:uiPriority w:val="99"/>
    <w:rPr>
      <w:sz w:val="21"/>
      <w:szCs w:val="21"/>
    </w:rPr>
  </w:style>
  <w:style w:type="character" w:customStyle="1" w:styleId="26">
    <w:name w:val="页眉 Char"/>
    <w:link w:val="16"/>
    <w:autoRedefine/>
    <w:qFormat/>
    <w:uiPriority w:val="99"/>
    <w:rPr>
      <w:sz w:val="18"/>
      <w:szCs w:val="18"/>
    </w:rPr>
  </w:style>
  <w:style w:type="character" w:customStyle="1" w:styleId="27">
    <w:name w:val="页脚 Char"/>
    <w:link w:val="15"/>
    <w:autoRedefine/>
    <w:qFormat/>
    <w:uiPriority w:val="99"/>
    <w:rPr>
      <w:sz w:val="18"/>
      <w:szCs w:val="18"/>
    </w:rPr>
  </w:style>
  <w:style w:type="paragraph" w:customStyle="1" w:styleId="28">
    <w:name w:val="HP_Table_Title"/>
    <w:basedOn w:val="1"/>
    <w:next w:val="1"/>
    <w:qFormat/>
    <w:uiPriority w:val="0"/>
    <w:pPr>
      <w:keepNext/>
      <w:keepLines/>
      <w:widowControl/>
      <w:spacing w:before="240" w:after="60"/>
      <w:jc w:val="left"/>
    </w:pPr>
    <w:rPr>
      <w:rFonts w:eastAsia="Times New Roman"/>
      <w:b/>
      <w:kern w:val="0"/>
      <w:sz w:val="18"/>
      <w:lang w:eastAsia="en-US"/>
    </w:rPr>
  </w:style>
  <w:style w:type="character" w:customStyle="1" w:styleId="29">
    <w:name w:val="标题 1 Char"/>
    <w:link w:val="2"/>
    <w:autoRedefine/>
    <w:qFormat/>
    <w:uiPriority w:val="9"/>
    <w:rPr>
      <w:rFonts w:ascii="Arial" w:hAnsi="Arial" w:eastAsia="宋体" w:cs="Times New Roman"/>
      <w:b/>
      <w:bCs/>
      <w:kern w:val="44"/>
      <w:sz w:val="32"/>
      <w:szCs w:val="44"/>
    </w:rPr>
  </w:style>
  <w:style w:type="paragraph" w:customStyle="1" w:styleId="30">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31">
    <w:name w:val="批注框文本 Char"/>
    <w:link w:val="14"/>
    <w:autoRedefine/>
    <w:semiHidden/>
    <w:qFormat/>
    <w:uiPriority w:val="99"/>
    <w:rPr>
      <w:rFonts w:ascii="Arial" w:hAnsi="Arial" w:eastAsia="宋体" w:cs="Times New Roman"/>
      <w:sz w:val="18"/>
      <w:szCs w:val="18"/>
    </w:rPr>
  </w:style>
  <w:style w:type="character" w:customStyle="1" w:styleId="32">
    <w:name w:val="标题 2 Char"/>
    <w:link w:val="3"/>
    <w:qFormat/>
    <w:uiPriority w:val="9"/>
    <w:rPr>
      <w:rFonts w:ascii="Cambria" w:hAnsi="Cambria"/>
      <w:b/>
      <w:bCs/>
      <w:kern w:val="2"/>
      <w:sz w:val="32"/>
      <w:szCs w:val="32"/>
    </w:rPr>
  </w:style>
  <w:style w:type="character" w:customStyle="1" w:styleId="33">
    <w:name w:val="标题 3 Char"/>
    <w:link w:val="4"/>
    <w:autoRedefine/>
    <w:qFormat/>
    <w:uiPriority w:val="9"/>
    <w:rPr>
      <w:rFonts w:ascii="Cambria" w:hAnsi="Cambria" w:eastAsia="宋体" w:cs="Times New Roman"/>
      <w:b/>
      <w:bCs/>
      <w:sz w:val="32"/>
      <w:szCs w:val="32"/>
    </w:rPr>
  </w:style>
  <w:style w:type="character" w:customStyle="1" w:styleId="34">
    <w:name w:val="标题 4 Char"/>
    <w:link w:val="5"/>
    <w:autoRedefine/>
    <w:qFormat/>
    <w:uiPriority w:val="9"/>
    <w:rPr>
      <w:rFonts w:ascii="Cambria" w:hAnsi="Cambria" w:eastAsia="宋体" w:cs="Times New Roman"/>
      <w:b/>
      <w:bCs/>
      <w:sz w:val="28"/>
      <w:szCs w:val="28"/>
    </w:rPr>
  </w:style>
  <w:style w:type="character" w:customStyle="1" w:styleId="35">
    <w:name w:val="标题 5 Char"/>
    <w:link w:val="6"/>
    <w:autoRedefine/>
    <w:semiHidden/>
    <w:qFormat/>
    <w:uiPriority w:val="9"/>
    <w:rPr>
      <w:rFonts w:ascii="Cambria" w:hAnsi="Cambria" w:eastAsia="宋体" w:cs="Times New Roman"/>
      <w:b/>
      <w:bCs/>
      <w:sz w:val="28"/>
      <w:szCs w:val="28"/>
    </w:rPr>
  </w:style>
  <w:style w:type="character" w:customStyle="1" w:styleId="36">
    <w:name w:val="标题 6 Char"/>
    <w:link w:val="7"/>
    <w:autoRedefine/>
    <w:semiHidden/>
    <w:qFormat/>
    <w:uiPriority w:val="9"/>
    <w:rPr>
      <w:rFonts w:ascii="Cambria" w:hAnsi="Cambria" w:eastAsia="宋体" w:cs="Times New Roman"/>
      <w:b/>
      <w:bCs/>
      <w:sz w:val="24"/>
      <w:szCs w:val="24"/>
    </w:rPr>
  </w:style>
  <w:style w:type="character" w:customStyle="1" w:styleId="37">
    <w:name w:val="标题 7 Char"/>
    <w:link w:val="8"/>
    <w:autoRedefine/>
    <w:semiHidden/>
    <w:qFormat/>
    <w:uiPriority w:val="9"/>
    <w:rPr>
      <w:rFonts w:ascii="Arial" w:hAnsi="Arial" w:eastAsia="宋体" w:cs="Times New Roman"/>
      <w:b/>
      <w:bCs/>
      <w:sz w:val="24"/>
      <w:szCs w:val="24"/>
    </w:rPr>
  </w:style>
  <w:style w:type="character" w:customStyle="1" w:styleId="38">
    <w:name w:val="标题 8 Char"/>
    <w:link w:val="9"/>
    <w:semiHidden/>
    <w:qFormat/>
    <w:uiPriority w:val="9"/>
    <w:rPr>
      <w:rFonts w:ascii="Cambria" w:hAnsi="Cambria" w:eastAsia="宋体" w:cs="Times New Roman"/>
      <w:sz w:val="24"/>
      <w:szCs w:val="24"/>
    </w:rPr>
  </w:style>
  <w:style w:type="character" w:customStyle="1" w:styleId="39">
    <w:name w:val="标题 9 Char"/>
    <w:link w:val="10"/>
    <w:autoRedefine/>
    <w:semiHidden/>
    <w:qFormat/>
    <w:uiPriority w:val="9"/>
    <w:rPr>
      <w:rFonts w:ascii="Cambria" w:hAnsi="Cambria" w:eastAsia="宋体" w:cs="Times New Roman"/>
      <w:szCs w:val="21"/>
    </w:rPr>
  </w:style>
  <w:style w:type="paragraph" w:styleId="40">
    <w:name w:val="List Paragraph"/>
    <w:basedOn w:val="1"/>
    <w:autoRedefine/>
    <w:qFormat/>
    <w:uiPriority w:val="34"/>
    <w:pPr>
      <w:ind w:firstLine="420" w:firstLineChars="200"/>
    </w:pPr>
  </w:style>
  <w:style w:type="character" w:customStyle="1" w:styleId="41">
    <w:name w:val="批注文字 Char"/>
    <w:link w:val="11"/>
    <w:autoRedefine/>
    <w:semiHidden/>
    <w:qFormat/>
    <w:uiPriority w:val="99"/>
    <w:rPr>
      <w:rFonts w:ascii="Arial" w:hAnsi="Arial" w:eastAsia="宋体" w:cs="Times New Roman"/>
      <w:sz w:val="24"/>
      <w:szCs w:val="20"/>
    </w:rPr>
  </w:style>
  <w:style w:type="character" w:customStyle="1" w:styleId="42">
    <w:name w:val="批注主题 Char"/>
    <w:link w:val="20"/>
    <w:autoRedefine/>
    <w:semiHidden/>
    <w:qFormat/>
    <w:uiPriority w:val="99"/>
    <w:rPr>
      <w:rFonts w:ascii="Arial" w:hAnsi="Arial" w:eastAsia="宋体" w:cs="Times New Roman"/>
      <w:b/>
      <w:bCs/>
      <w:sz w:val="24"/>
      <w:szCs w:val="20"/>
    </w:rPr>
  </w:style>
  <w:style w:type="character" w:customStyle="1" w:styleId="43">
    <w:name w:val="日期 Char"/>
    <w:basedOn w:val="23"/>
    <w:link w:val="13"/>
    <w:autoRedefine/>
    <w:semiHidden/>
    <w:qFormat/>
    <w:uiPriority w:val="99"/>
    <w:rPr>
      <w:rFonts w:ascii="Arial" w:hAnsi="Arial"/>
      <w:kern w:val="2"/>
      <w:sz w:val="24"/>
    </w:rPr>
  </w:style>
  <w:style w:type="paragraph" w:styleId="44">
    <w:name w:val="No Spacing"/>
    <w:link w:val="45"/>
    <w:autoRedefine/>
    <w:qFormat/>
    <w:uiPriority w:val="1"/>
    <w:rPr>
      <w:rFonts w:asciiTheme="minorHAnsi" w:hAnsiTheme="minorHAnsi" w:eastAsiaTheme="minorEastAsia" w:cstheme="minorBidi"/>
      <w:sz w:val="22"/>
      <w:szCs w:val="22"/>
      <w:lang w:val="en-US" w:eastAsia="zh-CN" w:bidi="ar-SA"/>
    </w:rPr>
  </w:style>
  <w:style w:type="character" w:customStyle="1" w:styleId="45">
    <w:name w:val="无间隔 Char"/>
    <w:basedOn w:val="23"/>
    <w:link w:val="44"/>
    <w:autoRedefine/>
    <w:qFormat/>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6863__x5206__x7c7b_ xmlns="5a9d4e96-153f-4b63-bc80-2453f3b9e5fc">售前类</_x6587__x6863__x5206__x7c7b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32E5974BBCF34144A57EC4A93C3B2918" ma:contentTypeVersion="3" ma:contentTypeDescription="新建文档。" ma:contentTypeScope="" ma:versionID="424287ff93c86c1d3d5860b79c0bb3c7">
  <xsd:schema xmlns:xsd="http://www.w3.org/2001/XMLSchema" xmlns:xs="http://www.w3.org/2001/XMLSchema" xmlns:p="http://schemas.microsoft.com/office/2006/metadata/properties" xmlns:ns2="5a9d4e96-153f-4b63-bc80-2453f3b9e5fc" xmlns:ns3="12a98a21-ae3d-42af-8de2-03b71d85a54c" targetNamespace="http://schemas.microsoft.com/office/2006/metadata/properties" ma:root="true" ma:fieldsID="e2b8ce7514d90907a9688ac9ef8873af" ns2:_="" ns3:_="">
    <xsd:import namespace="5a9d4e96-153f-4b63-bc80-2453f3b9e5fc"/>
    <xsd:import namespace="12a98a21-ae3d-42af-8de2-03b71d85a54c"/>
    <xsd:element name="properties">
      <xsd:complexType>
        <xsd:sequence>
          <xsd:element name="documentManagement">
            <xsd:complexType>
              <xsd:all>
                <xsd:element ref="ns2:_x6587__x6863__x5206__x7c7b_"/>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d4e96-153f-4b63-bc80-2453f3b9e5fc" elementFormDefault="qualified">
    <xsd:import namespace="http://schemas.microsoft.com/office/2006/documentManagement/types"/>
    <xsd:import namespace="http://schemas.microsoft.com/office/infopath/2007/PartnerControls"/>
    <xsd:element name="_x6587__x6863__x5206__x7c7b_" ma:index="8" ma:displayName="文档分类" ma:format="Dropdown" ma:internalName="_x6587__x6863__x5206__x7c7b_">
      <xsd:simpleType>
        <xsd:restriction base="dms:Choice">
          <xsd:enumeration value="商务类"/>
          <xsd:enumeration value="技术类"/>
          <xsd:enumeration value="参考类"/>
          <xsd:enumeration value="售前类"/>
        </xsd:restriction>
      </xsd:simpleType>
    </xsd:element>
  </xsd:schema>
  <xsd:schema xmlns:xsd="http://www.w3.org/2001/XMLSchema" xmlns:xs="http://www.w3.org/2001/XMLSchema" xmlns:dms="http://schemas.microsoft.com/office/2006/documentManagement/types" xmlns:pc="http://schemas.microsoft.com/office/infopath/2007/PartnerControls" targetNamespace="12a98a21-ae3d-42af-8de2-03b71d85a54c" elementFormDefault="qualified">
    <xsd:import namespace="http://schemas.microsoft.com/office/2006/documentManagement/types"/>
    <xsd:import namespace="http://schemas.microsoft.com/office/infopath/2007/PartnerControls"/>
    <xsd:element name="SharedWithUsers" ma:index="9"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DF91A-91AA-4E0E-A22B-008630A4AA45}">
  <ds:schemaRefs/>
</ds:datastoreItem>
</file>

<file path=customXml/itemProps2.xml><?xml version="1.0" encoding="utf-8"?>
<ds:datastoreItem xmlns:ds="http://schemas.openxmlformats.org/officeDocument/2006/customXml" ds:itemID="{A8C5F4BE-FE28-4A5B-A6CD-A7D7DE8C532F}">
  <ds:schemaRefs/>
</ds:datastoreItem>
</file>

<file path=customXml/itemProps3.xml><?xml version="1.0" encoding="utf-8"?>
<ds:datastoreItem xmlns:ds="http://schemas.openxmlformats.org/officeDocument/2006/customXml" ds:itemID="{60AC9AA4-2E1A-415A-8A46-83F5E26CBB6F}">
  <ds:schemaRefs/>
</ds:datastoreItem>
</file>

<file path=customXml/itemProps4.xml><?xml version="1.0" encoding="utf-8"?>
<ds:datastoreItem xmlns:ds="http://schemas.openxmlformats.org/officeDocument/2006/customXml" ds:itemID="{53E8E183-9BF2-46B5-9280-FF796833DCC7}">
  <ds:schemaRefs/>
</ds:datastoreItem>
</file>

<file path=docProps/app.xml><?xml version="1.0" encoding="utf-8"?>
<Properties xmlns="http://schemas.openxmlformats.org/officeDocument/2006/extended-properties" xmlns:vt="http://schemas.openxmlformats.org/officeDocument/2006/docPropsVTypes">
  <Template>Normal</Template>
  <Pages>6</Pages>
  <Words>2284</Words>
  <Characters>2313</Characters>
  <Lines>18</Lines>
  <Paragraphs>5</Paragraphs>
  <TotalTime>4</TotalTime>
  <ScaleCrop>false</ScaleCrop>
  <LinksUpToDate>false</LinksUpToDate>
  <CharactersWithSpaces>2313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2019-06-01T04:16:00Z</dcterms:created>
  <dc:creator>002</dc:creator>
  <cp:lastModifiedBy>WPS_1625210732</cp:lastModifiedBy>
  <cp:lastPrinted>2024-09-29T08:24:00Z</cp:lastPrinted>
  <dcterms:modified xsi:type="dcterms:W3CDTF">2024-10-22T04:18:15Z</dcterms:modified>
  <cp:revision>246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分类">
    <vt:lpwstr>5医学影像系统PACS</vt:lpwstr>
  </property>
  <property fmtid="{D5CDD505-2E9C-101B-9397-08002B2CF9AE}" pid="3" name="说明">
    <vt:lpwstr>新版PACS演示图像说明</vt:lpwstr>
  </property>
  <property fmtid="{D5CDD505-2E9C-101B-9397-08002B2CF9AE}" pid="4" name="主题">
    <vt:lpwstr/>
  </property>
  <property fmtid="{D5CDD505-2E9C-101B-9397-08002B2CF9AE}" pid="5" name="作者">
    <vt:lpwstr/>
  </property>
  <property fmtid="{D5CDD505-2E9C-101B-9397-08002B2CF9AE}" pid="6" name="编辑时间">
    <vt:lpwstr/>
  </property>
  <property fmtid="{D5CDD505-2E9C-101B-9397-08002B2CF9AE}" pid="7" name="文件说明">
    <vt:lpwstr/>
  </property>
  <property fmtid="{D5CDD505-2E9C-101B-9397-08002B2CF9AE}" pid="8" name="编号">
    <vt:lpwstr/>
  </property>
  <property fmtid="{D5CDD505-2E9C-101B-9397-08002B2CF9AE}" pid="9" name="Order">
    <vt:lpwstr>16400.0000000000</vt:lpwstr>
  </property>
  <property fmtid="{D5CDD505-2E9C-101B-9397-08002B2CF9AE}" pid="10" name="KSOProductBuildVer">
    <vt:lpwstr>2052-12.1.0.16399</vt:lpwstr>
  </property>
  <property fmtid="{D5CDD505-2E9C-101B-9397-08002B2CF9AE}" pid="11" name="ContentTypeId">
    <vt:lpwstr>0x01010032E5974BBCF34144A57EC4A93C3B2918</vt:lpwstr>
  </property>
  <property fmtid="{D5CDD505-2E9C-101B-9397-08002B2CF9AE}" pid="12" name="ICV">
    <vt:lpwstr>48BCA4B7A5B948D9A51F9D78F0F0592B_13</vt:lpwstr>
  </property>
</Properties>
</file>