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0" w:after="120"/>
        <w:rPr>
          <w:rFonts w:hint="eastAsia" w:ascii="宋体" w:hAnsi="宋体" w:eastAsia="宋体" w:cs="宋体"/>
          <w:sz w:val="24"/>
          <w:szCs w:val="24"/>
        </w:rPr>
      </w:pPr>
      <w:bookmarkStart w:id="0" w:name="_Toc429"/>
      <w:bookmarkStart w:id="38" w:name="_GoBack"/>
      <w:bookmarkEnd w:id="38"/>
      <w:r>
        <w:rPr>
          <w:rFonts w:hint="eastAsia" w:ascii="宋体" w:hAnsi="宋体" w:eastAsia="宋体" w:cs="宋体"/>
          <w:sz w:val="24"/>
          <w:szCs w:val="24"/>
        </w:rPr>
        <w:t>项目名称</w:t>
      </w:r>
      <w:bookmarkEnd w:id="0"/>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单病种信息系统</w:t>
      </w:r>
      <w:r>
        <w:rPr>
          <w:rFonts w:hint="eastAsia" w:ascii="宋体" w:hAnsi="宋体" w:eastAsia="宋体" w:cs="宋体"/>
          <w:sz w:val="24"/>
          <w:szCs w:val="24"/>
          <w:lang w:eastAsia="zh-CN"/>
        </w:rPr>
        <w:t>（</w:t>
      </w:r>
      <w:r>
        <w:rPr>
          <w:rFonts w:hint="eastAsia" w:ascii="宋体" w:hAnsi="宋体" w:eastAsia="宋体" w:cs="宋体"/>
          <w:sz w:val="24"/>
          <w:szCs w:val="24"/>
        </w:rPr>
        <w:t>智能单病种上报管理系统建设项目</w:t>
      </w:r>
      <w:r>
        <w:rPr>
          <w:rFonts w:hint="eastAsia" w:ascii="宋体" w:hAnsi="宋体" w:eastAsia="宋体" w:cs="宋体"/>
          <w:sz w:val="24"/>
          <w:szCs w:val="24"/>
          <w:lang w:eastAsia="zh-CN"/>
        </w:rPr>
        <w:t>）</w:t>
      </w:r>
    </w:p>
    <w:p>
      <w:pPr>
        <w:pStyle w:val="2"/>
        <w:spacing w:before="240" w:after="120"/>
        <w:rPr>
          <w:rFonts w:hint="eastAsia" w:ascii="宋体" w:hAnsi="宋体" w:eastAsia="宋体" w:cs="宋体"/>
          <w:sz w:val="24"/>
          <w:szCs w:val="24"/>
        </w:rPr>
      </w:pPr>
      <w:bookmarkStart w:id="1" w:name="_Toc23788"/>
      <w:r>
        <w:rPr>
          <w:rFonts w:hint="eastAsia" w:ascii="宋体" w:hAnsi="宋体" w:eastAsia="宋体" w:cs="宋体"/>
          <w:sz w:val="24"/>
          <w:szCs w:val="24"/>
        </w:rPr>
        <w:t>产品技术能力要求</w:t>
      </w:r>
      <w:bookmarkEnd w:id="1"/>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要求系统在院内部署，所有数据均存储在院内，系统需保障数据安全。</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系统需支持从不同数据源中进行数据提取作业，支持秒级数据同步，支持图形化编辑数据处理逻辑（要求提供真实系统截图证明）。</w:t>
      </w:r>
    </w:p>
    <w:p>
      <w:pPr>
        <w:spacing w:before="60" w:after="60"/>
        <w:ind w:firstLine="480"/>
        <w:rPr>
          <w:rFonts w:hint="eastAsia" w:ascii="宋体" w:hAnsi="宋体" w:eastAsia="宋体" w:cs="宋体"/>
          <w:sz w:val="24"/>
          <w:szCs w:val="24"/>
          <w:highlight w:val="green"/>
        </w:rPr>
      </w:pPr>
      <w:r>
        <w:rPr>
          <w:rFonts w:hint="eastAsia" w:ascii="宋体" w:hAnsi="宋体" w:eastAsia="宋体" w:cs="宋体"/>
          <w:sz w:val="24"/>
          <w:szCs w:val="24"/>
          <w:lang w:eastAsia="zh-CN"/>
        </w:rPr>
        <w:t>▲</w:t>
      </w:r>
      <w:r>
        <w:rPr>
          <w:rFonts w:hint="eastAsia" w:ascii="宋体" w:hAnsi="宋体" w:eastAsia="宋体" w:cs="宋体"/>
          <w:sz w:val="24"/>
          <w:szCs w:val="24"/>
        </w:rPr>
        <w:t>系统需支持基于kubernetes和docker容器编排的部署方案，具备完善的应用部署能力。（要求提供真实系统截图证明）。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系统需具备高可用性，避免单点故障，支持7*24小时不间断运行。</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系统需支持集成多种数据库，如DB2、PostgreSQL、MySQL、ORACLE和SQL Server；</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产品稳定性要求：系统支持7*24小时不间断运行。</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系统要求采用自然语言处理(NLP)技术实现非结构化医疗文本处理。</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系统需支持多种病历类型的处理模型，例如入院病史、既往史、病程录、体格检查、超声心动图、心电图等（要求提供真实系统截图证明）。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系统需支持单份文本分析结果进行可视化展示，包括医学实体识别、医学实体与关联识别、概念展示等；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数据集成及整合过程的标准化：通过各种数据治理手段，结合标准的医疗术语的标准规范，实现数据的标准化、结构化，并实现数据治理过程中的完整性、自洽性、一致性；支持科室、病区、诊断编码、疾病、药品、检验、检查等关键业务编码的统一。</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系统需支持不同数据来源的数据：充分考虑数据源格式的多样性，比如各自不同的数据库格式、文本文件格式、XML格式等，支持结构化数据、半结构化或非结构化数据。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系统需支持不同数据生成阶段的数据：由于数据生成的时期、部门、设备、技术、能力等不同，数据存储管理极为分散，支持通过采用一种通用的标准和规范，提供统一的数据接口，支持多样的数据源。</w:t>
      </w:r>
    </w:p>
    <w:p>
      <w:pPr>
        <w:pStyle w:val="2"/>
        <w:spacing w:before="240" w:after="120"/>
        <w:rPr>
          <w:rFonts w:hint="eastAsia" w:ascii="宋体" w:hAnsi="宋体" w:eastAsia="宋体" w:cs="宋体"/>
          <w:sz w:val="24"/>
          <w:szCs w:val="24"/>
        </w:rPr>
      </w:pPr>
      <w:bookmarkStart w:id="2" w:name="_Toc26332"/>
      <w:r>
        <w:rPr>
          <w:rFonts w:hint="eastAsia" w:ascii="宋体" w:hAnsi="宋体" w:eastAsia="宋体" w:cs="宋体"/>
          <w:sz w:val="24"/>
          <w:szCs w:val="24"/>
        </w:rPr>
        <w:t>产品功能要求</w:t>
      </w:r>
      <w:bookmarkEnd w:id="2"/>
    </w:p>
    <w:p>
      <w:pPr>
        <w:pStyle w:val="3"/>
        <w:spacing w:before="240" w:after="120"/>
        <w:rPr>
          <w:rFonts w:hint="eastAsia" w:ascii="宋体" w:hAnsi="宋体" w:eastAsia="宋体" w:cs="宋体"/>
          <w:sz w:val="24"/>
          <w:szCs w:val="24"/>
        </w:rPr>
      </w:pPr>
      <w:bookmarkStart w:id="3" w:name="_Toc20660"/>
      <w:r>
        <w:rPr>
          <w:rFonts w:hint="eastAsia" w:ascii="宋体" w:hAnsi="宋体" w:eastAsia="宋体" w:cs="宋体"/>
          <w:sz w:val="24"/>
          <w:szCs w:val="24"/>
        </w:rPr>
        <w:t>单病种表单智能填报</w:t>
      </w:r>
      <w:bookmarkEnd w:id="3"/>
    </w:p>
    <w:p>
      <w:pPr>
        <w:pStyle w:val="4"/>
        <w:spacing w:before="240" w:after="120"/>
        <w:rPr>
          <w:rFonts w:hint="eastAsia" w:ascii="宋体" w:hAnsi="宋体" w:eastAsia="宋体" w:cs="宋体"/>
          <w:sz w:val="24"/>
          <w:szCs w:val="24"/>
        </w:rPr>
      </w:pPr>
      <w:bookmarkStart w:id="4" w:name="_Toc1478"/>
      <w:r>
        <w:rPr>
          <w:rFonts w:hint="eastAsia" w:ascii="宋体" w:hAnsi="宋体" w:eastAsia="宋体" w:cs="宋体"/>
          <w:sz w:val="24"/>
          <w:szCs w:val="24"/>
        </w:rPr>
        <w:t>上报病种智能入组</w:t>
      </w:r>
      <w:bookmarkEnd w:id="4"/>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系统需支持根据“国家单病种质量管理与控制平台”对上报病例的要求进行病种入组的逻辑判断，自动入组符合条件的院内患者病例；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系统需支持填报医生手动入组院内患者病例。</w:t>
      </w:r>
    </w:p>
    <w:p>
      <w:pPr>
        <w:pStyle w:val="4"/>
        <w:spacing w:before="240" w:after="120"/>
        <w:rPr>
          <w:rFonts w:hint="eastAsia" w:ascii="宋体" w:hAnsi="宋体" w:eastAsia="宋体" w:cs="宋体"/>
          <w:sz w:val="24"/>
          <w:szCs w:val="24"/>
        </w:rPr>
      </w:pPr>
      <w:bookmarkStart w:id="5" w:name="_Toc5678"/>
      <w:r>
        <w:rPr>
          <w:rFonts w:hint="eastAsia" w:ascii="宋体" w:hAnsi="宋体" w:eastAsia="宋体" w:cs="宋体"/>
          <w:sz w:val="24"/>
          <w:szCs w:val="24"/>
        </w:rPr>
        <w:t>上报病种智能排除</w:t>
      </w:r>
      <w:bookmarkEnd w:id="5"/>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系统需支持根据“国家单病种质量管理与控制平台”对无需上报病例的说明，如同一疾病30日内重复入院、非首次对应病种等，进行病种排除的逻辑判断，自动排除符合条件的院内患者病例；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系统需支持填报医生手动排除已入组的患者病例；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系统需支持手动排除申请审批流程，审核通过后病例方可被排除。</w:t>
      </w:r>
    </w:p>
    <w:p>
      <w:pPr>
        <w:pStyle w:val="4"/>
        <w:spacing w:before="240" w:after="120"/>
        <w:rPr>
          <w:rFonts w:hint="eastAsia" w:ascii="宋体" w:hAnsi="宋体" w:eastAsia="宋体" w:cs="宋体"/>
          <w:sz w:val="24"/>
          <w:szCs w:val="24"/>
        </w:rPr>
      </w:pPr>
      <w:bookmarkStart w:id="6" w:name="_Toc32714"/>
      <w:r>
        <w:rPr>
          <w:rFonts w:hint="eastAsia" w:ascii="宋体" w:hAnsi="宋体" w:eastAsia="宋体" w:cs="宋体"/>
          <w:sz w:val="24"/>
          <w:szCs w:val="24"/>
        </w:rPr>
        <w:t>多病种入组冲突智能判断</w:t>
      </w:r>
      <w:bookmarkEnd w:id="6"/>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系统需支持根据“国家单病种质量管理与控制平台”对病种上报优先级的要求</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w:t>
      </w:r>
      <w:r>
        <w:rPr>
          <w:rFonts w:hint="eastAsia" w:ascii="宋体" w:hAnsi="宋体" w:eastAsia="宋体" w:cs="宋体"/>
          <w:sz w:val="24"/>
          <w:szCs w:val="24"/>
        </w:rPr>
        <w:fldChar w:fldCharType="end"/>
      </w:r>
      <w:r>
        <w:rPr>
          <w:rFonts w:hint="eastAsia" w:ascii="宋体" w:hAnsi="宋体" w:eastAsia="宋体" w:cs="宋体"/>
          <w:sz w:val="24"/>
          <w:szCs w:val="24"/>
        </w:rPr>
        <w:t>对同时满足多个病种上报条件的患者病例进行病种间的逻辑判断，入组优先度高的病种，排除优先度低的病种，无需填报医生二次判断。</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系统需支持在入组后展示入组与排除的结果信息（要求提供真实系统截图证明）。</w:t>
      </w:r>
    </w:p>
    <w:p>
      <w:pPr>
        <w:pStyle w:val="4"/>
        <w:spacing w:before="240" w:after="120"/>
        <w:rPr>
          <w:rFonts w:hint="eastAsia" w:ascii="宋体" w:hAnsi="宋体" w:eastAsia="宋体" w:cs="宋体"/>
          <w:sz w:val="24"/>
          <w:szCs w:val="24"/>
        </w:rPr>
      </w:pPr>
      <w:bookmarkStart w:id="7" w:name="_Toc13676"/>
      <w:r>
        <w:rPr>
          <w:rFonts w:hint="eastAsia" w:ascii="宋体" w:hAnsi="宋体" w:eastAsia="宋体" w:cs="宋体"/>
          <w:sz w:val="24"/>
          <w:szCs w:val="24"/>
        </w:rPr>
        <w:t>智能分配填报员</w:t>
      </w:r>
      <w:bookmarkEnd w:id="7"/>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系统需支持系统与用户工号绑定，自动将入组的患者病例分配至对应的填报医生，无需手动分配任务；</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系统需支持已分配的患者病例表单进行锁定，非被分配的填报医生不可编辑，防止表单填写工作交叉；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系统需支持展示锁定医生的信息。</w:t>
      </w:r>
    </w:p>
    <w:p>
      <w:pPr>
        <w:pStyle w:val="4"/>
        <w:spacing w:before="240" w:after="120"/>
        <w:rPr>
          <w:rFonts w:hint="eastAsia" w:ascii="宋体" w:hAnsi="宋体" w:eastAsia="宋体" w:cs="宋体"/>
          <w:sz w:val="24"/>
          <w:szCs w:val="24"/>
        </w:rPr>
      </w:pPr>
      <w:bookmarkStart w:id="8" w:name="_Toc13400"/>
      <w:r>
        <w:rPr>
          <w:rFonts w:hint="eastAsia" w:ascii="宋体" w:hAnsi="宋体" w:eastAsia="宋体" w:cs="宋体"/>
          <w:sz w:val="24"/>
          <w:szCs w:val="24"/>
        </w:rPr>
        <w:t>单病种填报患者列表</w:t>
      </w:r>
      <w:bookmarkEnd w:id="8"/>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系统需支持展示入组后未提交的患者列表信息；</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系统需支持填报医生提交表单后，对未成功</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上报</w:t>
      </w:r>
      <w:r>
        <w:rPr>
          <w:rFonts w:hint="eastAsia" w:ascii="宋体" w:hAnsi="宋体" w:eastAsia="宋体" w:cs="宋体"/>
          <w:sz w:val="24"/>
          <w:szCs w:val="24"/>
        </w:rPr>
        <w:fldChar w:fldCharType="end"/>
      </w:r>
      <w:r>
        <w:rPr>
          <w:rFonts w:hint="eastAsia" w:ascii="宋体" w:hAnsi="宋体" w:eastAsia="宋体" w:cs="宋体"/>
          <w:sz w:val="24"/>
          <w:szCs w:val="24"/>
        </w:rPr>
        <w:t>至国家单病种质量管理与控制平台的表单进行表单项内容的修改申请；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系统需支持对已上报至国家单病种质量管理与控制平台的表单进行查阅；</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系统需支持查询手动排除的患者病例列表；</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系统需支持查询全院出院患者病例列表；</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系统需患者列表按照姓名、入院时间、出院时间、门诊时间、住院天数、住院费用等维度升序或降序排序；</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系统需支持多种维度检索单病种患者，可按病种、费用区间、住院天数、入院日期、出院日期等条件进行检索（要求提供真实系统截图证明）。</w:t>
      </w:r>
    </w:p>
    <w:p>
      <w:pPr>
        <w:pStyle w:val="4"/>
        <w:spacing w:before="240" w:after="120"/>
        <w:rPr>
          <w:rFonts w:hint="eastAsia" w:ascii="宋体" w:hAnsi="宋体" w:eastAsia="宋体" w:cs="宋体"/>
          <w:sz w:val="24"/>
          <w:szCs w:val="24"/>
        </w:rPr>
      </w:pPr>
      <w:bookmarkStart w:id="9" w:name="_Toc12938"/>
      <w:r>
        <w:rPr>
          <w:rFonts w:hint="eastAsia" w:ascii="宋体" w:hAnsi="宋体" w:eastAsia="宋体" w:cs="宋体"/>
          <w:sz w:val="24"/>
          <w:szCs w:val="24"/>
        </w:rPr>
        <w:t>单病种表单自动填充</w:t>
      </w:r>
      <w:bookmarkEnd w:id="9"/>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系统需支持自动填充单病种表单的基本信息数据；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系统需支持自动填充单病种表单的部分诊疗相关数据，包括诊断、病情评估、用药、手术、预后等；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系统需支持自动填充单病种表单的住院费用数据；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系统需支持手动补录单病种表单的缺失数据，并对数据合理性进行校验；</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系统需支持当前填充率展示；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系统需支持手动再次执行自动填充逻辑；</w:t>
      </w:r>
    </w:p>
    <w:p>
      <w:pPr>
        <w:spacing w:before="60" w:after="60"/>
        <w:ind w:firstLine="48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FF0000"/>
          <w:sz w:val="24"/>
          <w:szCs w:val="24"/>
        </w:rPr>
        <w:t xml:space="preserve"> </w:t>
      </w:r>
      <w:r>
        <w:rPr>
          <w:rFonts w:hint="eastAsia" w:ascii="宋体" w:hAnsi="宋体" w:eastAsia="宋体" w:cs="宋体"/>
          <w:color w:val="000000" w:themeColor="text1"/>
          <w:sz w:val="24"/>
          <w:szCs w:val="24"/>
          <w14:textFill>
            <w14:solidFill>
              <w14:schemeClr w14:val="tx1"/>
            </w14:solidFill>
          </w14:textFill>
        </w:rPr>
        <w:t>系统需支持对医院既往历史病种进行补填数据并对既往病种的数据进行分析汇总。</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系统需支持在医院原始业务数据完善的情况下，单病种表单平均自动填充比例应达到80%及以上（要求提供真实系统截图证明）。</w:t>
      </w:r>
    </w:p>
    <w:p>
      <w:pPr>
        <w:pStyle w:val="4"/>
        <w:spacing w:before="240" w:after="120"/>
        <w:rPr>
          <w:rFonts w:hint="eastAsia" w:ascii="宋体" w:hAnsi="宋体" w:eastAsia="宋体" w:cs="宋体"/>
          <w:sz w:val="24"/>
          <w:szCs w:val="24"/>
        </w:rPr>
      </w:pPr>
      <w:bookmarkStart w:id="10" w:name="_Toc30663"/>
      <w:r>
        <w:rPr>
          <w:rFonts w:hint="eastAsia" w:ascii="宋体" w:hAnsi="宋体" w:eastAsia="宋体" w:cs="宋体"/>
          <w:sz w:val="24"/>
          <w:szCs w:val="24"/>
        </w:rPr>
        <w:t>表单自动保存及逻辑校验</w:t>
      </w:r>
      <w:bookmarkEnd w:id="10"/>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系统需支持对表单项内容进行联动计算，如填写患者体重与患者身高后自动计算Body Mass Index（BMI）指数；</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系统需支持自动保存当前填写的表单内容，避免信息丢失；</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表单项</w:t>
      </w:r>
      <w:r>
        <w:rPr>
          <w:rFonts w:hint="eastAsia" w:ascii="宋体" w:hAnsi="宋体" w:eastAsia="宋体" w:cs="宋体"/>
          <w:sz w:val="24"/>
          <w:szCs w:val="24"/>
        </w:rPr>
        <w:fldChar w:fldCharType="end"/>
      </w:r>
      <w:r>
        <w:rPr>
          <w:rFonts w:hint="eastAsia" w:ascii="宋体" w:hAnsi="宋体" w:eastAsia="宋体" w:cs="宋体"/>
          <w:sz w:val="24"/>
          <w:szCs w:val="24"/>
        </w:rPr>
        <w:t>内容进行</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逻辑</w:t>
      </w:r>
      <w:r>
        <w:rPr>
          <w:rFonts w:hint="eastAsia" w:ascii="宋体" w:hAnsi="宋体" w:eastAsia="宋体" w:cs="宋体"/>
          <w:sz w:val="24"/>
          <w:szCs w:val="24"/>
        </w:rPr>
        <w:fldChar w:fldCharType="end"/>
      </w:r>
      <w:r>
        <w:rPr>
          <w:rFonts w:hint="eastAsia" w:ascii="宋体" w:hAnsi="宋体" w:eastAsia="宋体" w:cs="宋体"/>
          <w:sz w:val="24"/>
          <w:szCs w:val="24"/>
        </w:rPr>
        <w:t>校验，如必填项校验</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w:t>
      </w:r>
      <w:r>
        <w:rPr>
          <w:rFonts w:hint="eastAsia" w:ascii="宋体" w:hAnsi="宋体" w:eastAsia="宋体" w:cs="宋体"/>
          <w:sz w:val="24"/>
          <w:szCs w:val="24"/>
        </w:rPr>
        <w:fldChar w:fldCharType="end"/>
      </w:r>
      <w:r>
        <w:rPr>
          <w:rFonts w:hint="eastAsia" w:ascii="宋体" w:hAnsi="宋体" w:eastAsia="宋体" w:cs="宋体"/>
          <w:sz w:val="24"/>
          <w:szCs w:val="24"/>
        </w:rPr>
        <w:t>出院与入院时间校验、某些选项不可同时选择校验等。</w:t>
      </w:r>
    </w:p>
    <w:p>
      <w:pPr>
        <w:pStyle w:val="4"/>
        <w:spacing w:before="240" w:after="120"/>
        <w:rPr>
          <w:rFonts w:hint="eastAsia" w:ascii="宋体" w:hAnsi="宋体" w:eastAsia="宋体" w:cs="宋体"/>
          <w:sz w:val="24"/>
          <w:szCs w:val="24"/>
        </w:rPr>
      </w:pPr>
      <w:bookmarkStart w:id="11" w:name="_Toc5768"/>
      <w:r>
        <w:rPr>
          <w:rFonts w:hint="eastAsia" w:ascii="宋体" w:hAnsi="宋体" w:eastAsia="宋体" w:cs="宋体"/>
          <w:sz w:val="24"/>
          <w:szCs w:val="24"/>
        </w:rPr>
        <w:t>表单填报须知展示</w:t>
      </w:r>
      <w:bookmarkEnd w:id="11"/>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系统需支持展示“国家单病种质控管理与控制平台”的对应病种表单填报须知内容，如上报内容（入组规则）、无需上报内容（排除规则）、数据验证规则等。</w:t>
      </w:r>
    </w:p>
    <w:p>
      <w:pPr>
        <w:pStyle w:val="4"/>
        <w:spacing w:before="240" w:after="120"/>
        <w:rPr>
          <w:rFonts w:hint="eastAsia" w:ascii="宋体" w:hAnsi="宋体" w:eastAsia="宋体" w:cs="宋体"/>
          <w:sz w:val="24"/>
          <w:szCs w:val="24"/>
        </w:rPr>
      </w:pPr>
      <w:bookmarkStart w:id="12" w:name="_Toc9484"/>
      <w:r>
        <w:rPr>
          <w:rFonts w:hint="eastAsia" w:ascii="宋体" w:hAnsi="宋体" w:eastAsia="宋体" w:cs="宋体"/>
          <w:sz w:val="24"/>
          <w:szCs w:val="24"/>
        </w:rPr>
        <w:t>表单填报项导航</w:t>
      </w:r>
      <w:bookmarkEnd w:id="12"/>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系统需支持按照国家单病种质量管理与控制平台的质控监测项展示表单大纲；</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系统需支持突出显示未录入项所属的大纲目录，可通过监测项快速定位到对应的表单填报项（要求提供真实系统截图证明）。</w:t>
      </w:r>
    </w:p>
    <w:p>
      <w:pPr>
        <w:pStyle w:val="4"/>
        <w:spacing w:before="240" w:after="120"/>
        <w:rPr>
          <w:rFonts w:hint="eastAsia" w:ascii="宋体" w:hAnsi="宋体" w:eastAsia="宋体" w:cs="宋体"/>
          <w:sz w:val="24"/>
          <w:szCs w:val="24"/>
        </w:rPr>
      </w:pPr>
      <w:bookmarkStart w:id="13" w:name="_Toc22166"/>
      <w:r>
        <w:rPr>
          <w:rFonts w:hint="eastAsia" w:ascii="宋体" w:hAnsi="宋体" w:eastAsia="宋体" w:cs="宋体"/>
          <w:sz w:val="24"/>
          <w:szCs w:val="24"/>
        </w:rPr>
        <w:t>表单录入来源标识</w:t>
      </w:r>
      <w:bookmarkEnd w:id="13"/>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系统需支持区分</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 </w:instrText>
      </w:r>
      <w:r>
        <w:rPr>
          <w:rFonts w:hint="eastAsia" w:ascii="宋体" w:hAnsi="宋体" w:eastAsia="宋体" w:cs="宋体"/>
          <w:sz w:val="24"/>
          <w:szCs w:val="24"/>
        </w:rPr>
        <w:fldChar w:fldCharType="separate"/>
      </w:r>
      <w:r>
        <w:rPr>
          <w:rFonts w:hint="eastAsia" w:ascii="宋体" w:hAnsi="宋体" w:eastAsia="宋体" w:cs="宋体"/>
          <w:sz w:val="24"/>
          <w:szCs w:val="24"/>
        </w:rPr>
        <w:t>单病种</w:t>
      </w:r>
      <w:r>
        <w:rPr>
          <w:rFonts w:hint="eastAsia" w:ascii="宋体" w:hAnsi="宋体" w:eastAsia="宋体" w:cs="宋体"/>
          <w:sz w:val="24"/>
          <w:szCs w:val="24"/>
        </w:rPr>
        <w:fldChar w:fldCharType="end"/>
      </w:r>
      <w:r>
        <w:rPr>
          <w:rFonts w:hint="eastAsia" w:ascii="宋体" w:hAnsi="宋体" w:eastAsia="宋体" w:cs="宋体"/>
          <w:sz w:val="24"/>
          <w:szCs w:val="24"/>
        </w:rPr>
        <w:t>表单项的录入来源，包括：自动填充项、医生手动录入项、公式计算项（要求提供真实系统截图证明）。</w:t>
      </w:r>
    </w:p>
    <w:p>
      <w:pPr>
        <w:pStyle w:val="4"/>
        <w:spacing w:before="240" w:after="120"/>
        <w:rPr>
          <w:rFonts w:hint="eastAsia" w:ascii="宋体" w:hAnsi="宋体" w:eastAsia="宋体" w:cs="宋体"/>
          <w:sz w:val="24"/>
          <w:szCs w:val="24"/>
        </w:rPr>
      </w:pPr>
      <w:bookmarkStart w:id="14" w:name="_Toc4710"/>
      <w:r>
        <w:rPr>
          <w:rFonts w:hint="eastAsia" w:ascii="宋体" w:hAnsi="宋体" w:eastAsia="宋体" w:cs="宋体"/>
          <w:sz w:val="24"/>
          <w:szCs w:val="24"/>
        </w:rPr>
        <w:t>表单填充项溯源</w:t>
      </w:r>
      <w:bookmarkEnd w:id="14"/>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系统需支持对接院内360患者视图，方便医生查看当前患者的原始病历信息。</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系统需支持展示自动填充项的数据来源，包括结构化数据，如病案首页、检验报告，非结构化数据如病历文书、检查报告、护理记录等。</w:t>
      </w:r>
    </w:p>
    <w:p>
      <w:pPr>
        <w:pStyle w:val="4"/>
        <w:spacing w:before="240" w:after="120"/>
        <w:rPr>
          <w:rFonts w:hint="eastAsia" w:ascii="宋体" w:hAnsi="宋体" w:eastAsia="宋体" w:cs="宋体"/>
          <w:sz w:val="24"/>
          <w:szCs w:val="24"/>
        </w:rPr>
      </w:pPr>
      <w:bookmarkStart w:id="15" w:name="_Toc30366"/>
      <w:r>
        <w:rPr>
          <w:rFonts w:hint="eastAsia" w:ascii="宋体" w:hAnsi="宋体" w:eastAsia="宋体" w:cs="宋体"/>
          <w:sz w:val="24"/>
          <w:szCs w:val="24"/>
        </w:rPr>
        <w:t>表单修改申请及修改历史</w:t>
      </w:r>
      <w:bookmarkEnd w:id="15"/>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系统需支持填报医生对已提交但未审批的表单发起修改申请；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系统需支持查看申请记录；</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系统需支持查看表单项的修改记录，包括修改人、修改时间、修改项等；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系统需支持查看修改原因、修改驳回原因；</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系统需支持表单项修改统计。</w:t>
      </w:r>
    </w:p>
    <w:p>
      <w:pPr>
        <w:pStyle w:val="4"/>
        <w:spacing w:before="240" w:after="120"/>
        <w:rPr>
          <w:rFonts w:hint="eastAsia" w:ascii="宋体" w:hAnsi="宋体" w:eastAsia="宋体" w:cs="宋体"/>
          <w:sz w:val="24"/>
          <w:szCs w:val="24"/>
        </w:rPr>
      </w:pPr>
      <w:bookmarkStart w:id="16" w:name="_Toc10287"/>
      <w:r>
        <w:rPr>
          <w:rFonts w:hint="eastAsia" w:ascii="宋体" w:hAnsi="宋体" w:eastAsia="宋体" w:cs="宋体"/>
          <w:sz w:val="24"/>
          <w:szCs w:val="24"/>
        </w:rPr>
        <w:t>表单流转状态跟踪展示</w:t>
      </w:r>
      <w:bookmarkEnd w:id="16"/>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系统需支持展示当前填报表单中历史流转状态节点与记录时间，包括时入组时间、提交表单时间、申请修改时间、驳回申请时间等，方便追溯表单在整个上报流程流转的情况（要求提供真实系统截图证明）；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系统需支持查看申请与审批的沟通记录，如申请排除原因、申请排除驳回原因、申请修改原因、申请修改驳回原因等。</w:t>
      </w:r>
    </w:p>
    <w:p>
      <w:pPr>
        <w:pStyle w:val="3"/>
        <w:spacing w:before="240" w:after="120"/>
        <w:rPr>
          <w:rFonts w:hint="eastAsia" w:ascii="宋体" w:hAnsi="宋体" w:eastAsia="宋体" w:cs="宋体"/>
          <w:sz w:val="24"/>
          <w:szCs w:val="24"/>
        </w:rPr>
      </w:pPr>
      <w:bookmarkStart w:id="17" w:name="_Toc18752"/>
      <w:r>
        <w:rPr>
          <w:rFonts w:hint="eastAsia" w:ascii="宋体" w:hAnsi="宋体" w:eastAsia="宋体" w:cs="宋体"/>
          <w:sz w:val="24"/>
          <w:szCs w:val="24"/>
        </w:rPr>
        <w:t>单病种表单上报管理</w:t>
      </w:r>
      <w:bookmarkEnd w:id="17"/>
    </w:p>
    <w:p>
      <w:pPr>
        <w:pStyle w:val="4"/>
        <w:spacing w:before="240" w:after="120"/>
        <w:rPr>
          <w:rFonts w:hint="eastAsia" w:ascii="宋体" w:hAnsi="宋体" w:eastAsia="宋体" w:cs="宋体"/>
          <w:sz w:val="24"/>
          <w:szCs w:val="24"/>
        </w:rPr>
      </w:pPr>
      <w:bookmarkStart w:id="18" w:name="_Toc4977"/>
      <w:r>
        <w:rPr>
          <w:rFonts w:hint="eastAsia" w:ascii="宋体" w:hAnsi="宋体" w:eastAsia="宋体" w:cs="宋体"/>
          <w:sz w:val="24"/>
          <w:szCs w:val="24"/>
        </w:rPr>
        <w:t>单病种表单审核</w:t>
      </w:r>
      <w:bookmarkEnd w:id="18"/>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系统需支持按病种名称、提交日期、提交科室、疾病分类、患者出院日期进行检索、查看；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系统需支持查看单个患者的病种填报数据；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系统需支持单条或批量导出单病种表单列表和明细；</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系统需支持退回、修改单个患者的病种填报数据；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系统需支持多级审批，如填报医生提交表单后，可先经过科室审批后再经过医务科审批（要求提供真实系统截图证明）；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系统需支持对接院内患者360视图，以实现审批时调阅患者360查看患者诊疗信息的功能；</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系统需支持批量审核；</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 xml:space="preserve">系统需支持将单个或多个审批不通过的患者上报数据退回至填报员，并发送退回原因，提示填报员进行整改； </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系统需支持单条或批量导出患者上报数据的列表清单以及表单填写明细。</w:t>
      </w:r>
    </w:p>
    <w:p>
      <w:pPr>
        <w:pStyle w:val="4"/>
        <w:spacing w:before="240" w:after="120"/>
        <w:rPr>
          <w:rFonts w:hint="eastAsia" w:ascii="宋体" w:hAnsi="宋体" w:eastAsia="宋体" w:cs="宋体"/>
          <w:sz w:val="24"/>
          <w:szCs w:val="24"/>
        </w:rPr>
      </w:pPr>
      <w:bookmarkStart w:id="19" w:name="_Toc162"/>
      <w:r>
        <w:rPr>
          <w:rFonts w:hint="eastAsia" w:ascii="宋体" w:hAnsi="宋体" w:eastAsia="宋体" w:cs="宋体"/>
          <w:sz w:val="24"/>
          <w:szCs w:val="24"/>
        </w:rPr>
        <w:t>表单排除与修改审批</w:t>
      </w:r>
      <w:bookmarkEnd w:id="19"/>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系统需支持审批填报医生提交的手动排除申请；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系统需支持审批填报医生提交的表单项修改申请；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系统需支持审批人员驳回时录入驳回原因，填报医生可查看驳回原因；</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系统需支持待审批、已审批记录统计；</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系统需支持按科室统计申请与处理记录；</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系统需支持按患者、医生、病种、科室、时间等维度进行申请记录筛选。</w:t>
      </w:r>
    </w:p>
    <w:p>
      <w:pPr>
        <w:pStyle w:val="4"/>
        <w:spacing w:before="240" w:after="120"/>
        <w:rPr>
          <w:rFonts w:hint="eastAsia" w:ascii="宋体" w:hAnsi="宋体" w:eastAsia="宋体" w:cs="宋体"/>
          <w:sz w:val="24"/>
          <w:szCs w:val="24"/>
        </w:rPr>
      </w:pPr>
      <w:bookmarkStart w:id="20" w:name="_Toc6644"/>
      <w:r>
        <w:rPr>
          <w:rFonts w:hint="eastAsia" w:ascii="宋体" w:hAnsi="宋体" w:eastAsia="宋体" w:cs="宋体"/>
          <w:sz w:val="24"/>
          <w:szCs w:val="24"/>
        </w:rPr>
        <w:t>院内表单上传国家单病种接口平台</w:t>
      </w:r>
      <w:bookmarkEnd w:id="20"/>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系统需支持填报数据按照“国家单病种接口管理平台”API参数无缝上报；</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系统需支持在国家-单病种医院接口管理系统API参数及时调整院内表单数据，以适配国家平台。</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系统需支持对待上报国家平台的单个患者病种填报数据进行上报；</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系统需支持对待上报国家平台的全部患者病种填报数据进行批量上报；</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系统需支持对已上报国家平台的病种填报数据按上报日期、出院日期、疾病分类、病种名称进行检索（要求提供真实系统截图证明）；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系统需支持对已上报国家平台的单个患者病种填报数据进行查看；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系统需支持对已上报国家平台的单个患者病种填报数据进行导出；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系统需支持对已上报国家平台的全部患者病种填报数据进行批量导出；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系统需支持对国家平台退回的病种填报数据按出院日期、疾病分类、病种名称进行检索；</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系统需支持对国家平台退回的病种填报数据进行查看；</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系统需支持对国家平台退回的病种填报数据按患者退回至填报医生；</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系统需支持对国家平台退回的病种填报数据批量退回至填报医生。</w:t>
      </w:r>
    </w:p>
    <w:p>
      <w:pPr>
        <w:pStyle w:val="4"/>
        <w:spacing w:before="240" w:after="120"/>
        <w:rPr>
          <w:rFonts w:hint="eastAsia" w:ascii="宋体" w:hAnsi="宋体" w:eastAsia="宋体" w:cs="宋体"/>
          <w:sz w:val="24"/>
          <w:szCs w:val="24"/>
        </w:rPr>
      </w:pPr>
      <w:bookmarkStart w:id="21" w:name="_Toc7868"/>
      <w:r>
        <w:rPr>
          <w:rFonts w:hint="eastAsia" w:ascii="宋体" w:hAnsi="宋体" w:eastAsia="宋体" w:cs="宋体"/>
          <w:sz w:val="24"/>
          <w:szCs w:val="24"/>
        </w:rPr>
        <w:t>全院单病种上报概览</w:t>
      </w:r>
      <w:bookmarkEnd w:id="21"/>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系统需支持按科室、时间维度对全院单病种上报数量进行检索；</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系统需支持对应上报、已上报等不同状态的患者人数进行统计并展示；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系统需支持对查阅指标进行升序、降序排列；</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系统需支持柱状图、表格展示，可导出Excel或图片格式。</w:t>
      </w:r>
    </w:p>
    <w:p>
      <w:pPr>
        <w:pStyle w:val="4"/>
        <w:spacing w:before="240" w:after="120"/>
        <w:rPr>
          <w:rFonts w:hint="eastAsia" w:ascii="宋体" w:hAnsi="宋体" w:eastAsia="宋体" w:cs="宋体"/>
          <w:sz w:val="24"/>
          <w:szCs w:val="24"/>
        </w:rPr>
      </w:pPr>
      <w:bookmarkStart w:id="22" w:name="_Toc987"/>
      <w:r>
        <w:rPr>
          <w:rFonts w:hint="eastAsia" w:ascii="宋体" w:hAnsi="宋体" w:eastAsia="宋体" w:cs="宋体"/>
          <w:sz w:val="24"/>
          <w:szCs w:val="24"/>
        </w:rPr>
        <w:t>智能三维人体病种导航</w:t>
      </w:r>
      <w:bookmarkEnd w:id="22"/>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系统需支持三维形式展示人体各器官部位，支持通过人体部位定位到人体器官，从人体器官定位到具体病种（要求提供真实系统截图证明）；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系统需支持展示各病种上报率，上报率低于警戒值的病种区分显示（例如用红色字体显示）（要求提供真实系统截图证明）；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系统需支持通过具体病种下钻查看病种应上报的科室以及医生，查看各科室的应上报占比以及上报率；查看各医生的已上报数、应上报数、上报率；</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系统需支持对低于警戒值的科室或医生进行区分显示。</w:t>
      </w:r>
    </w:p>
    <w:p>
      <w:pPr>
        <w:pStyle w:val="4"/>
        <w:spacing w:before="240" w:after="120"/>
        <w:rPr>
          <w:rFonts w:hint="eastAsia" w:ascii="宋体" w:hAnsi="宋体" w:eastAsia="宋体" w:cs="宋体"/>
          <w:sz w:val="24"/>
          <w:szCs w:val="24"/>
        </w:rPr>
      </w:pPr>
      <w:bookmarkStart w:id="23" w:name="_Toc2314"/>
      <w:r>
        <w:rPr>
          <w:rFonts w:hint="eastAsia" w:ascii="宋体" w:hAnsi="宋体" w:eastAsia="宋体" w:cs="宋体"/>
          <w:sz w:val="24"/>
          <w:szCs w:val="24"/>
        </w:rPr>
        <w:t>单病种上报统计</w:t>
      </w:r>
      <w:bookmarkEnd w:id="23"/>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系统需支持病种上报数据层层下钻，可查看各科室、各医生上报情况；</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系统需具备上报病例监管的功能，可对上报率不足的病种进行区分显示；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系统需支持按照已上报/应上报的比例设定各个病种的数据上报率警戒值；</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系统需支持用户从科室、病区、医生维度下钻查询病种上报数量，快速定位病种上报不达标的原因。</w:t>
      </w:r>
    </w:p>
    <w:p>
      <w:pPr>
        <w:pStyle w:val="4"/>
        <w:spacing w:before="240" w:after="120"/>
        <w:rPr>
          <w:rFonts w:hint="eastAsia" w:ascii="宋体" w:hAnsi="宋体" w:eastAsia="宋体" w:cs="宋体"/>
          <w:sz w:val="24"/>
          <w:szCs w:val="24"/>
        </w:rPr>
      </w:pPr>
      <w:bookmarkStart w:id="24" w:name="_Toc28428"/>
      <w:r>
        <w:rPr>
          <w:rFonts w:hint="eastAsia" w:ascii="宋体" w:hAnsi="宋体" w:eastAsia="宋体" w:cs="宋体"/>
          <w:sz w:val="24"/>
          <w:szCs w:val="24"/>
        </w:rPr>
        <w:t>单病种上报情况定制报表</w:t>
      </w:r>
      <w:bookmarkEnd w:id="24"/>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系统需支持按需配置多种维度的报表，如部门、病种、医生等维度；</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系统需支持按需配置统计内容，如待上报患者、应上报患者、上报及时率、平均上报间隔、病死率等（要求提供真实系统截图证明）；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系统需支持报表的预览与导出。</w:t>
      </w:r>
    </w:p>
    <w:p>
      <w:pPr>
        <w:pStyle w:val="4"/>
        <w:spacing w:before="240" w:after="120"/>
        <w:rPr>
          <w:rFonts w:hint="eastAsia" w:ascii="宋体" w:hAnsi="宋体" w:eastAsia="宋体" w:cs="宋体"/>
          <w:sz w:val="24"/>
          <w:szCs w:val="24"/>
        </w:rPr>
      </w:pPr>
      <w:bookmarkStart w:id="25" w:name="_Toc25289"/>
      <w:r>
        <w:rPr>
          <w:rFonts w:hint="eastAsia" w:ascii="宋体" w:hAnsi="宋体" w:eastAsia="宋体" w:cs="宋体"/>
          <w:sz w:val="24"/>
          <w:szCs w:val="24"/>
        </w:rPr>
        <w:t>病种表单停用管理</w:t>
      </w:r>
      <w:bookmarkEnd w:id="25"/>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系统需支持停用单个病种表单；</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系统需支持查看停用历史（要求提供真实系统截图证明）。</w:t>
      </w:r>
    </w:p>
    <w:p>
      <w:pPr>
        <w:pStyle w:val="4"/>
        <w:spacing w:before="240" w:after="120"/>
        <w:rPr>
          <w:rFonts w:hint="eastAsia" w:ascii="宋体" w:hAnsi="宋体" w:eastAsia="宋体" w:cs="宋体"/>
          <w:sz w:val="24"/>
          <w:szCs w:val="24"/>
        </w:rPr>
      </w:pPr>
      <w:bookmarkStart w:id="26" w:name="_Toc17142"/>
      <w:r>
        <w:rPr>
          <w:rFonts w:hint="eastAsia" w:ascii="宋体" w:hAnsi="宋体" w:eastAsia="宋体" w:cs="宋体"/>
          <w:sz w:val="24"/>
          <w:szCs w:val="24"/>
        </w:rPr>
        <w:t>填报界面列表项设置</w:t>
      </w:r>
      <w:bookmarkEnd w:id="26"/>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系统需支持设置填报界面的患者列表项，如姓名、住院号、病案号、填报医生、病种、入院时间、出院时间、入组时间、住院天数、出院天数、主任医生、费用、管床医生等（要求提供真实系统截图证明）；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系统需支持显示或隐藏筛选项。</w:t>
      </w:r>
    </w:p>
    <w:p>
      <w:pPr>
        <w:pStyle w:val="4"/>
        <w:spacing w:before="240" w:after="120"/>
        <w:rPr>
          <w:rFonts w:hint="eastAsia" w:ascii="宋体" w:hAnsi="宋体" w:eastAsia="宋体" w:cs="宋体"/>
          <w:sz w:val="24"/>
          <w:szCs w:val="24"/>
        </w:rPr>
      </w:pPr>
      <w:bookmarkStart w:id="27" w:name="_Toc10799"/>
      <w:r>
        <w:rPr>
          <w:rFonts w:hint="eastAsia" w:ascii="宋体" w:hAnsi="宋体" w:eastAsia="宋体" w:cs="宋体"/>
          <w:sz w:val="24"/>
          <w:szCs w:val="24"/>
        </w:rPr>
        <w:t>用户及权限管理</w:t>
      </w:r>
      <w:bookmarkEnd w:id="27"/>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系统需支持自动同步院内组织，可查看院内组织结构，包括科室、病区、用户的层级；</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系统需支持管理人员查看所有的系统用户；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系统需支持管理人员按院内现有医生工号、密码新增用户；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系统需支持管理人员停用现有的用户；</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系统需支持与院内的用户进行同步与校验，以确保院内整体用户体系完整性；</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系统需支持分配用户科室病区数据权限、重置用户密码等。</w:t>
      </w:r>
    </w:p>
    <w:p>
      <w:pPr>
        <w:pStyle w:val="4"/>
        <w:spacing w:before="240" w:after="120"/>
        <w:rPr>
          <w:rFonts w:hint="eastAsia" w:ascii="宋体" w:hAnsi="宋体" w:eastAsia="宋体" w:cs="宋体"/>
          <w:sz w:val="24"/>
          <w:szCs w:val="24"/>
        </w:rPr>
      </w:pPr>
      <w:bookmarkStart w:id="28" w:name="_Toc28534"/>
      <w:r>
        <w:rPr>
          <w:rFonts w:hint="eastAsia" w:ascii="宋体" w:hAnsi="宋体" w:eastAsia="宋体" w:cs="宋体"/>
          <w:sz w:val="24"/>
          <w:szCs w:val="24"/>
        </w:rPr>
        <w:t>角色管理</w:t>
      </w:r>
      <w:bookmarkEnd w:id="28"/>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系统需支持用户按需选择所需要的角色，包括普通医生、病区管理员、科室管理员、医务科、医院领导等；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系统需支持新增角色，维护角色名称、角色描述，支持勾选角色对应功能权限，可单选、多选、全选；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系统需支持编辑、删除或停用角色。</w:t>
      </w:r>
    </w:p>
    <w:p>
      <w:pPr>
        <w:pStyle w:val="3"/>
        <w:spacing w:before="240" w:after="120"/>
        <w:rPr>
          <w:rFonts w:hint="eastAsia" w:ascii="宋体" w:hAnsi="宋体" w:eastAsia="宋体" w:cs="宋体"/>
          <w:sz w:val="24"/>
          <w:szCs w:val="24"/>
        </w:rPr>
      </w:pPr>
      <w:bookmarkStart w:id="29" w:name="_Toc14391"/>
      <w:r>
        <w:rPr>
          <w:rFonts w:hint="eastAsia" w:ascii="宋体" w:hAnsi="宋体" w:eastAsia="宋体" w:cs="宋体"/>
          <w:sz w:val="24"/>
          <w:szCs w:val="24"/>
        </w:rPr>
        <w:t>单病种数据集成与治理</w:t>
      </w:r>
      <w:bookmarkEnd w:id="29"/>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系统需以患者为中心进行单病种上报所需数据的集成与治理，数据范围包括病理报告、住院转科记录、超声报告、检验报告、放射学报告、手术记录、内窥镜报告、病案首页、住院病历、护理记录等。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系统需使用数据库复制技术对生产系统数据库业务数据表进行复制。历史数据集成应在医院提供的备份库进行。</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系统需支持以ETL技术方式实现数据集成，并实现非结构化数据向结构化数据转换；</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系统需支持数据T+1采集，减少对生产系统数据库性能的影响；</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系统需支持患者单病种数据范围全覆盖。</w:t>
      </w:r>
    </w:p>
    <w:p>
      <w:pPr>
        <w:pStyle w:val="4"/>
        <w:spacing w:before="240" w:after="120"/>
        <w:rPr>
          <w:rFonts w:hint="eastAsia" w:ascii="宋体" w:hAnsi="宋体" w:eastAsia="宋体" w:cs="宋体"/>
          <w:sz w:val="24"/>
          <w:szCs w:val="24"/>
        </w:rPr>
      </w:pPr>
      <w:bookmarkStart w:id="30" w:name="_Toc14310"/>
      <w:r>
        <w:rPr>
          <w:rFonts w:hint="eastAsia" w:ascii="宋体" w:hAnsi="宋体" w:eastAsia="宋体" w:cs="宋体"/>
          <w:sz w:val="24"/>
          <w:szCs w:val="24"/>
        </w:rPr>
        <w:t>病种相关标准编码</w:t>
      </w:r>
      <w:bookmarkEnd w:id="30"/>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系统需支持按照国家卫生行业标准规范，确定单病种所需统一编码；提供单病种相关诊断、用药、检查项目、检验项目等类型的标准编码库。</w:t>
      </w:r>
    </w:p>
    <w:p>
      <w:pPr>
        <w:pStyle w:val="4"/>
        <w:spacing w:before="240" w:after="120"/>
        <w:rPr>
          <w:rFonts w:hint="eastAsia" w:ascii="宋体" w:hAnsi="宋体" w:eastAsia="宋体" w:cs="宋体"/>
          <w:sz w:val="24"/>
          <w:szCs w:val="24"/>
        </w:rPr>
      </w:pPr>
      <w:bookmarkStart w:id="31" w:name="_Toc32759"/>
      <w:r>
        <w:rPr>
          <w:rFonts w:hint="eastAsia" w:ascii="宋体" w:hAnsi="宋体" w:eastAsia="宋体" w:cs="宋体"/>
          <w:sz w:val="24"/>
          <w:szCs w:val="24"/>
        </w:rPr>
        <w:t>单病种标准数据治理</w:t>
      </w:r>
      <w:bookmarkEnd w:id="31"/>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系统需支持对结构化的单病种基础数据与国家标准、国际标准或行业标准进行映射，从而实现已结构化变量的标准化。</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系统需支持对国家、国际标准编码映射，如临床术语、医学用语、疾病诊断编码ICD-10、药品名称等。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系统需支持自定义编码的医疗名实体标准编码；</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系统需支持国际标准临床术语SNOMED-CT、检验名称LOINC、医学用语MedDRA、ICD编码（国标版）。</w:t>
      </w:r>
    </w:p>
    <w:p>
      <w:pPr>
        <w:pStyle w:val="4"/>
        <w:spacing w:before="240" w:after="120"/>
        <w:rPr>
          <w:rFonts w:hint="eastAsia" w:ascii="宋体" w:hAnsi="宋体" w:eastAsia="宋体" w:cs="宋体"/>
          <w:sz w:val="24"/>
          <w:szCs w:val="24"/>
        </w:rPr>
      </w:pPr>
      <w:bookmarkStart w:id="32" w:name="_Toc5017"/>
      <w:r>
        <w:rPr>
          <w:rFonts w:hint="eastAsia" w:ascii="宋体" w:hAnsi="宋体" w:eastAsia="宋体" w:cs="宋体"/>
          <w:sz w:val="24"/>
          <w:szCs w:val="24"/>
        </w:rPr>
        <w:t>单病种相关文书自然语言处理（NLP）</w:t>
      </w:r>
      <w:bookmarkEnd w:id="32"/>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基于人工智能技术将医院积存的海量临床数据进行结构化、标准化和归一化处理，对医院实际单病种所需数据进行标准治理统一字典、数据格式，处理数据重复、数据属性值不对、数据不一致等问题，使之成为可被临床单病种应用直接分析、利用的数据。</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提供处理多种文本类型的NLP模型，例如入院记录，病程录、出院小结、超声心动图、胸部x-ray报告、心脏CT报告等，将非结构化文本数据转换成结构化数据并加以映射，以满足单病种表单的自动填充需要。</w:t>
      </w:r>
    </w:p>
    <w:p>
      <w:pPr>
        <w:pStyle w:val="4"/>
        <w:spacing w:before="240" w:after="120"/>
        <w:rPr>
          <w:rFonts w:hint="eastAsia" w:ascii="宋体" w:hAnsi="宋体" w:eastAsia="宋体" w:cs="宋体"/>
          <w:sz w:val="24"/>
          <w:szCs w:val="24"/>
        </w:rPr>
      </w:pPr>
      <w:bookmarkStart w:id="33" w:name="_Toc4518"/>
      <w:r>
        <w:rPr>
          <w:rFonts w:hint="eastAsia" w:ascii="宋体" w:hAnsi="宋体" w:eastAsia="宋体" w:cs="宋体"/>
          <w:sz w:val="24"/>
          <w:szCs w:val="24"/>
        </w:rPr>
        <w:t>单病种数据处理引擎</w:t>
      </w:r>
      <w:bookmarkEnd w:id="33"/>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系统需支持对单病种患者的数据进行清洗与逻辑处理；</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系统需支持单病种患者数据的高速获取；</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系统需支持使用医疗编码信息编写取数决策；</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系统需支持实施引擎接收患者数据，触发临床取数规则；</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系统需支持集合所有的规则信息构成引擎规则库。</w:t>
      </w:r>
    </w:p>
    <w:p>
      <w:pPr>
        <w:pStyle w:val="3"/>
        <w:spacing w:before="240" w:after="120"/>
        <w:rPr>
          <w:rFonts w:hint="eastAsia" w:ascii="宋体" w:hAnsi="宋体" w:eastAsia="宋体" w:cs="宋体"/>
          <w:sz w:val="24"/>
          <w:szCs w:val="24"/>
        </w:rPr>
      </w:pPr>
      <w:r>
        <w:rPr>
          <w:rFonts w:hint="eastAsia" w:ascii="宋体" w:hAnsi="宋体" w:eastAsia="宋体" w:cs="宋体"/>
          <w:sz w:val="24"/>
          <w:szCs w:val="24"/>
        </w:rPr>
        <w:t>单病种终末质量管理</w:t>
      </w:r>
    </w:p>
    <w:p>
      <w:pPr>
        <w:pStyle w:val="4"/>
        <w:spacing w:before="240" w:after="120"/>
        <w:rPr>
          <w:rFonts w:hint="eastAsia" w:ascii="宋体" w:hAnsi="宋体" w:eastAsia="宋体" w:cs="宋体"/>
          <w:sz w:val="24"/>
          <w:szCs w:val="24"/>
        </w:rPr>
      </w:pPr>
      <w:bookmarkStart w:id="34" w:name="_Toc20652"/>
      <w:r>
        <w:rPr>
          <w:rFonts w:hint="eastAsia" w:ascii="宋体" w:hAnsi="宋体" w:eastAsia="宋体" w:cs="宋体"/>
          <w:sz w:val="24"/>
          <w:szCs w:val="24"/>
        </w:rPr>
        <w:t>单病种事后质量管理指标首页概览</w:t>
      </w:r>
      <w:bookmarkEnd w:id="34"/>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系统需支持集中展示病种名称、病种监测指标数量、异常指标数量（要求提供真实系统截图证明）。</w:t>
      </w:r>
    </w:p>
    <w:p>
      <w:pPr>
        <w:pStyle w:val="4"/>
        <w:spacing w:before="240" w:after="120"/>
        <w:rPr>
          <w:rFonts w:hint="eastAsia" w:ascii="宋体" w:hAnsi="宋体" w:eastAsia="宋体" w:cs="宋体"/>
          <w:sz w:val="24"/>
          <w:szCs w:val="24"/>
        </w:rPr>
      </w:pPr>
      <w:bookmarkStart w:id="35" w:name="_Toc31866"/>
      <w:r>
        <w:rPr>
          <w:rFonts w:hint="eastAsia" w:ascii="宋体" w:hAnsi="宋体" w:eastAsia="宋体" w:cs="宋体"/>
          <w:sz w:val="24"/>
          <w:szCs w:val="24"/>
        </w:rPr>
        <w:t>单病种质量安全资源消耗指标展示</w:t>
      </w:r>
      <w:bookmarkEnd w:id="35"/>
    </w:p>
    <w:p>
      <w:pPr>
        <w:spacing w:before="60" w:after="60"/>
        <w:ind w:firstLine="480"/>
        <w:rPr>
          <w:rFonts w:hint="eastAsia" w:ascii="宋体" w:hAnsi="宋体" w:eastAsia="宋体" w:cs="宋体"/>
          <w:sz w:val="24"/>
          <w:szCs w:val="24"/>
        </w:rPr>
      </w:pPr>
      <w:bookmarkStart w:id="36" w:name="_Toc4927"/>
      <w:r>
        <w:rPr>
          <w:rFonts w:hint="eastAsia" w:ascii="宋体" w:hAnsi="宋体" w:eastAsia="宋体" w:cs="宋体"/>
          <w:sz w:val="24"/>
          <w:szCs w:val="24"/>
          <w:lang w:eastAsia="zh-CN"/>
        </w:rPr>
        <w:t>▲</w:t>
      </w:r>
      <w:r>
        <w:rPr>
          <w:rFonts w:hint="eastAsia" w:ascii="宋体" w:hAnsi="宋体" w:eastAsia="宋体" w:cs="宋体"/>
          <w:sz w:val="24"/>
          <w:szCs w:val="24"/>
        </w:rPr>
        <w:t>系统需支持展示根据《国家医疗服务与质量安全报告》（2022版）的病种质量安全指标、资源消耗指标，统计分析某个具体病种的质量安全指标和资源消耗指标（要求提供真实系统截图证明）；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系统需支持满足《电子病历系统应用水平分级评价标准》10.02.6信息利用章节的医疗质量控制要求，“能够从系统中产生某类单病种质量指标中的重要考察指标”；</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系统需支持可自定义设置指标警戒值，低于警戒值的指标区分展示（要求提供真实系统截图证明）；</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系统需支持指标可按科室、病区、医生、患者层层下钻；</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系统需支持多种可视化图表，包括饼图、柱状图、趋势图等；</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系统需支持通过多种方式定位患者信息，如患者就诊号、病案号、住院号等，可跳转至患者表单查看详细内容；</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系统需支持预览与导出报表，</w:t>
      </w:r>
      <w:r>
        <w:rPr>
          <w:rFonts w:hint="eastAsia" w:ascii="宋体" w:hAnsi="宋体" w:eastAsia="宋体" w:cs="宋体"/>
          <w:color w:val="000000" w:themeColor="text1"/>
          <w:sz w:val="24"/>
          <w:szCs w:val="24"/>
          <w14:textFill>
            <w14:solidFill>
              <w14:schemeClr w14:val="tx1"/>
            </w14:solidFill>
          </w14:textFill>
        </w:rPr>
        <w:t>并可提供个性化报表设计。</w:t>
      </w:r>
    </w:p>
    <w:bookmarkEnd w:id="36"/>
    <w:p>
      <w:pPr>
        <w:pStyle w:val="4"/>
        <w:spacing w:before="240" w:after="120"/>
        <w:rPr>
          <w:rFonts w:hint="eastAsia" w:ascii="宋体" w:hAnsi="宋体" w:eastAsia="宋体" w:cs="宋体"/>
          <w:sz w:val="24"/>
          <w:szCs w:val="24"/>
        </w:rPr>
      </w:pPr>
      <w:bookmarkStart w:id="37" w:name="_Toc27982"/>
      <w:r>
        <w:rPr>
          <w:rFonts w:hint="eastAsia" w:ascii="宋体" w:hAnsi="宋体" w:eastAsia="宋体" w:cs="宋体"/>
          <w:sz w:val="24"/>
          <w:szCs w:val="24"/>
        </w:rPr>
        <w:t>单病种事后质量质控报告</w:t>
      </w:r>
      <w:bookmarkEnd w:id="37"/>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系统需支持配置上报统计报告；</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系统需支持质控报告的预览与导出；</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系统需支持通过按出院时间进行质控报告统计数据范围的筛选。</w:t>
      </w:r>
    </w:p>
    <w:p>
      <w:pPr>
        <w:spacing w:before="60" w:after="60"/>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color w:val="000000" w:themeColor="text1"/>
          <w:sz w:val="24"/>
          <w:szCs w:val="24"/>
          <w14:textFill>
            <w14:solidFill>
              <w14:schemeClr w14:val="tx1"/>
            </w14:solidFill>
          </w14:textFill>
        </w:rPr>
        <w:t>系统需支持各类病种下的数据指标统计查询功能</w:t>
      </w:r>
      <w:r>
        <w:rPr>
          <w:rFonts w:hint="eastAsia" w:ascii="宋体" w:hAnsi="宋体" w:eastAsia="宋体" w:cs="宋体"/>
          <w:sz w:val="24"/>
          <w:szCs w:val="24"/>
        </w:rPr>
        <w:t>（要求提供真实系统截图证明）</w:t>
      </w:r>
      <w:r>
        <w:rPr>
          <w:rFonts w:hint="eastAsia" w:ascii="宋体" w:hAnsi="宋体" w:eastAsia="宋体" w:cs="宋体"/>
          <w:color w:val="000000" w:themeColor="text1"/>
          <w:sz w:val="24"/>
          <w:szCs w:val="24"/>
          <w14:textFill>
            <w14:solidFill>
              <w14:schemeClr w14:val="tx1"/>
            </w14:solidFill>
          </w14:textFill>
        </w:rPr>
        <w:t>。</w:t>
      </w:r>
    </w:p>
    <w:p>
      <w:pPr>
        <w:spacing w:before="60" w:after="60"/>
        <w:ind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系统需支持对病种上报归纳分析整理。</w:t>
      </w:r>
    </w:p>
    <w:p>
      <w:pPr>
        <w:pStyle w:val="2"/>
        <w:spacing w:before="240" w:after="120"/>
        <w:rPr>
          <w:rFonts w:hint="eastAsia" w:ascii="宋体" w:hAnsi="宋体" w:eastAsia="宋体" w:cs="宋体"/>
          <w:sz w:val="24"/>
          <w:szCs w:val="24"/>
        </w:rPr>
      </w:pPr>
      <w:r>
        <w:rPr>
          <w:rFonts w:hint="eastAsia" w:ascii="宋体" w:hAnsi="宋体" w:eastAsia="宋体" w:cs="宋体"/>
          <w:sz w:val="24"/>
          <w:szCs w:val="24"/>
        </w:rPr>
        <w:t>项目实施及售后要求</w:t>
      </w:r>
    </w:p>
    <w:p>
      <w:pPr>
        <w:pStyle w:val="3"/>
        <w:spacing w:before="240" w:after="120"/>
        <w:rPr>
          <w:rFonts w:hint="eastAsia" w:ascii="宋体" w:hAnsi="宋体" w:eastAsia="宋体" w:cs="宋体"/>
          <w:sz w:val="24"/>
          <w:szCs w:val="24"/>
        </w:rPr>
      </w:pPr>
      <w:r>
        <w:rPr>
          <w:rFonts w:hint="eastAsia" w:ascii="宋体" w:hAnsi="宋体" w:eastAsia="宋体" w:cs="宋体"/>
          <w:sz w:val="24"/>
          <w:szCs w:val="24"/>
        </w:rPr>
        <w:t>总体要求</w:t>
      </w:r>
    </w:p>
    <w:p>
      <w:pPr>
        <w:spacing w:before="60" w:after="60" w:line="360" w:lineRule="auto"/>
        <w:ind w:firstLine="480"/>
        <w:rPr>
          <w:rFonts w:hint="eastAsia" w:ascii="宋体" w:hAnsi="宋体" w:eastAsia="宋体" w:cs="宋体"/>
          <w:sz w:val="24"/>
          <w:szCs w:val="24"/>
        </w:rPr>
      </w:pPr>
      <w:r>
        <w:rPr>
          <w:rFonts w:hint="eastAsia" w:ascii="宋体" w:hAnsi="宋体" w:eastAsia="宋体" w:cs="宋体"/>
          <w:sz w:val="24"/>
          <w:szCs w:val="24"/>
        </w:rPr>
        <w:t>系统提供商应本着认真负责态度，组织技术队伍，认真做好项目的实施工作。在签订合同前，提出具体实施、服务、维护以及今后技术支持的措施计划。</w:t>
      </w:r>
    </w:p>
    <w:p>
      <w:pPr>
        <w:pStyle w:val="3"/>
        <w:spacing w:before="240" w:after="120"/>
        <w:rPr>
          <w:rFonts w:hint="eastAsia" w:ascii="宋体" w:hAnsi="宋体" w:eastAsia="宋体" w:cs="宋体"/>
          <w:sz w:val="24"/>
          <w:szCs w:val="24"/>
        </w:rPr>
      </w:pPr>
      <w:r>
        <w:rPr>
          <w:rFonts w:hint="eastAsia" w:ascii="宋体" w:hAnsi="宋体" w:eastAsia="宋体" w:cs="宋体"/>
          <w:sz w:val="24"/>
          <w:szCs w:val="24"/>
        </w:rPr>
        <w:t>文档交付要求</w:t>
      </w:r>
    </w:p>
    <w:p>
      <w:pPr>
        <w:spacing w:before="60" w:after="60" w:line="360" w:lineRule="auto"/>
        <w:ind w:firstLine="480"/>
        <w:rPr>
          <w:rFonts w:hint="eastAsia" w:ascii="宋体" w:hAnsi="宋体" w:eastAsia="宋体" w:cs="宋体"/>
          <w:sz w:val="24"/>
          <w:szCs w:val="24"/>
        </w:rPr>
      </w:pPr>
      <w:r>
        <w:rPr>
          <w:rFonts w:hint="eastAsia" w:ascii="宋体" w:hAnsi="宋体" w:eastAsia="宋体" w:cs="宋体"/>
          <w:sz w:val="24"/>
          <w:szCs w:val="24"/>
        </w:rPr>
        <w:t>应用系统开发应严格按照国家软件工程规范进行，在整个项目实施过程中，须根据开发进度，按照医院要求及时提供用户相关技术文档，包括：</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准备阶段：《实施方案》；</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需求分析阶段：定制化开发部分《需求分析说明书》；</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设计阶段：定制化开发部分《概要设计说明书》、第三方系统对接相关《接口说明书》；</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测试阶段：《测试用例》、《测试报告》；</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上线阶段：《上线方案》、《试运行/上线报告》；</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过程文档：《培训计划》、《培训记录》、《例会记录》；</w:t>
      </w:r>
    </w:p>
    <w:p>
      <w:pPr>
        <w:pStyle w:val="190"/>
        <w:numPr>
          <w:ilvl w:val="0"/>
          <w:numId w:val="2"/>
        </w:numPr>
        <w:spacing w:before="60" w:after="60"/>
        <w:ind w:firstLineChars="0"/>
        <w:rPr>
          <w:rFonts w:hint="eastAsia" w:ascii="宋体" w:hAnsi="宋体" w:eastAsia="宋体" w:cs="宋体"/>
          <w:sz w:val="24"/>
          <w:szCs w:val="24"/>
        </w:rPr>
      </w:pPr>
      <w:r>
        <w:rPr>
          <w:rFonts w:hint="eastAsia" w:ascii="宋体" w:hAnsi="宋体" w:eastAsia="宋体" w:cs="宋体"/>
          <w:sz w:val="24"/>
          <w:szCs w:val="24"/>
        </w:rPr>
        <w:t>交付使用：《用户手册》。</w:t>
      </w:r>
    </w:p>
    <w:p>
      <w:pPr>
        <w:pStyle w:val="3"/>
        <w:spacing w:before="240" w:after="120"/>
        <w:rPr>
          <w:rFonts w:hint="eastAsia" w:ascii="宋体" w:hAnsi="宋体" w:eastAsia="宋体" w:cs="宋体"/>
          <w:sz w:val="24"/>
          <w:szCs w:val="24"/>
        </w:rPr>
      </w:pPr>
      <w:r>
        <w:rPr>
          <w:rFonts w:hint="eastAsia" w:ascii="宋体" w:hAnsi="宋体" w:eastAsia="宋体" w:cs="宋体"/>
          <w:sz w:val="24"/>
          <w:szCs w:val="24"/>
        </w:rPr>
        <w:t>售后服务</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★免费提供二年软件升级运维服务（项目验收后计算），后期维保费用不能超过合同金额的10%。</w:t>
      </w:r>
    </w:p>
    <w:p>
      <w:pPr>
        <w:spacing w:before="60" w:after="60"/>
        <w:ind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FF0000"/>
          <w:sz w:val="24"/>
          <w:szCs w:val="24"/>
        </w:rPr>
        <w:t xml:space="preserve">      </w:t>
      </w:r>
      <w:r>
        <w:rPr>
          <w:rFonts w:hint="eastAsia" w:ascii="宋体" w:hAnsi="宋体" w:eastAsia="宋体" w:cs="宋体"/>
          <w:color w:val="000000" w:themeColor="text1"/>
          <w:sz w:val="24"/>
          <w:szCs w:val="24"/>
          <w14:textFill>
            <w14:solidFill>
              <w14:schemeClr w14:val="tx1"/>
            </w14:solidFill>
          </w14:textFill>
        </w:rPr>
        <w:t xml:space="preserve"> 免费配合医院完成电子病例五级评审和无纸化的要求。</w:t>
      </w:r>
    </w:p>
    <w:p>
      <w:pPr>
        <w:spacing w:before="60" w:after="60"/>
        <w:ind w:firstLine="480"/>
        <w:rPr>
          <w:rFonts w:hint="eastAsia" w:ascii="宋体" w:hAnsi="宋体" w:eastAsia="宋体" w:cs="宋体"/>
          <w:sz w:val="24"/>
          <w:szCs w:val="24"/>
        </w:rPr>
      </w:pPr>
      <w:r>
        <w:rPr>
          <w:rFonts w:hint="eastAsia" w:ascii="宋体" w:hAnsi="宋体" w:eastAsia="宋体" w:cs="宋体"/>
          <w:sz w:val="24"/>
          <w:szCs w:val="24"/>
        </w:rPr>
        <w:t>投标人必须按招标方指定的方式提供7*24小时支持维护服务，包括电话、远程维护等方式。必须保证有足够的人员（专人专职）及技术支持电话负责本系统运维工作，并保证2小时内响应/24小时之内解决问题，对于24小时内无法解决的问题，应提出应急措施。</w:t>
      </w:r>
    </w:p>
    <w:sectPr>
      <w:headerReference r:id="rId7" w:type="first"/>
      <w:footerReference r:id="rId10" w:type="first"/>
      <w:headerReference r:id="rId5" w:type="default"/>
      <w:footerReference r:id="rId8" w:type="default"/>
      <w:headerReference r:id="rId6" w:type="even"/>
      <w:footerReference r:id="rId9" w:type="even"/>
      <w:pgSz w:w="11906" w:h="16838"/>
      <w:pgMar w:top="1361" w:right="1417" w:bottom="1361" w:left="1417" w:header="851" w:footer="992" w:gutter="0"/>
      <w:cols w:space="425"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286"/>
    </w:sdtPr>
    <w:sdtContent>
      <w:p>
        <w:pPr>
          <w:pStyle w:val="18"/>
          <w:spacing w:before="60" w:after="60"/>
          <w:ind w:firstLine="360"/>
          <w:jc w:val="center"/>
        </w:pPr>
        <w:r>
          <w:fldChar w:fldCharType="begin"/>
        </w:r>
        <w:r>
          <w:instrText xml:space="preserve">PAGE   \* MERGEFORMAT</w:instrText>
        </w:r>
        <w:r>
          <w:fldChar w:fldCharType="separate"/>
        </w:r>
        <w:r>
          <w:rPr>
            <w:lang w:val="zh-CN"/>
          </w:rPr>
          <w:t>1</w:t>
        </w:r>
        <w:r>
          <w:fldChar w:fldCharType="end"/>
        </w:r>
      </w:p>
    </w:sdtContent>
  </w:sdt>
  <w:p>
    <w:pPr>
      <w:pStyle w:val="18"/>
      <w:spacing w:before="60" w:after="60"/>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60" w:after="6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60" w:after="6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ind w:firstLine="480"/>
      </w:pPr>
      <w:r>
        <w:separator/>
      </w:r>
    </w:p>
  </w:footnote>
  <w:footnote w:type="continuationSeparator" w:id="1">
    <w:p>
      <w:pPr>
        <w:spacing w:before="0" w:after="0"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60" w:after="6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60" w:after="6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60" w:after="6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4E5F2C"/>
    <w:multiLevelType w:val="multilevel"/>
    <w:tmpl w:val="4A4E5F2C"/>
    <w:lvl w:ilvl="0" w:tentative="0">
      <w:start w:val="1"/>
      <w:numFmt w:val="decimal"/>
      <w:pStyle w:val="2"/>
      <w:lvlText w:val="%1"/>
      <w:lvlJc w:val="left"/>
      <w:pPr>
        <w:tabs>
          <w:tab w:val="left" w:pos="397"/>
        </w:tabs>
        <w:ind w:left="0" w:firstLine="0"/>
      </w:pPr>
      <w:rPr>
        <w:rFonts w:hint="eastAsia"/>
      </w:rPr>
    </w:lvl>
    <w:lvl w:ilvl="1" w:tentative="0">
      <w:start w:val="1"/>
      <w:numFmt w:val="decimal"/>
      <w:pStyle w:val="3"/>
      <w:lvlText w:val="%1.%2"/>
      <w:lvlJc w:val="left"/>
      <w:pPr>
        <w:tabs>
          <w:tab w:val="left" w:pos="567"/>
        </w:tabs>
        <w:ind w:left="0" w:firstLine="0"/>
      </w:pPr>
      <w:rPr>
        <w:rFonts w:hint="eastAsia"/>
      </w:rPr>
    </w:lvl>
    <w:lvl w:ilvl="2" w:tentative="0">
      <w:start w:val="1"/>
      <w:numFmt w:val="decimal"/>
      <w:pStyle w:val="4"/>
      <w:lvlText w:val="%1.%2.%3"/>
      <w:lvlJc w:val="left"/>
      <w:pPr>
        <w:tabs>
          <w:tab w:val="left" w:pos="737"/>
        </w:tabs>
        <w:ind w:left="0" w:firstLine="0"/>
      </w:pPr>
      <w:rPr>
        <w:rFonts w:hint="eastAsia"/>
      </w:rPr>
    </w:lvl>
    <w:lvl w:ilvl="3" w:tentative="0">
      <w:start w:val="1"/>
      <w:numFmt w:val="decimal"/>
      <w:pStyle w:val="5"/>
      <w:lvlText w:val="%1.%2.%3.%4"/>
      <w:lvlJc w:val="left"/>
      <w:pPr>
        <w:ind w:left="0" w:firstLine="0"/>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1">
    <w:nsid w:val="7F2917FB"/>
    <w:multiLevelType w:val="multilevel"/>
    <w:tmpl w:val="7F2917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OThlZjI0OWM2ZDAzMTMzZmEyZDA4YWVhNjkwODAifQ=="/>
  </w:docVars>
  <w:rsids>
    <w:rsidRoot w:val="00F2580D"/>
    <w:rsid w:val="00022CFC"/>
    <w:rsid w:val="0006099D"/>
    <w:rsid w:val="001F6CAB"/>
    <w:rsid w:val="002B46B5"/>
    <w:rsid w:val="003A271D"/>
    <w:rsid w:val="00464715"/>
    <w:rsid w:val="00490A63"/>
    <w:rsid w:val="004C6961"/>
    <w:rsid w:val="005C24DB"/>
    <w:rsid w:val="006B325A"/>
    <w:rsid w:val="00704E53"/>
    <w:rsid w:val="00830C99"/>
    <w:rsid w:val="0085182A"/>
    <w:rsid w:val="00854628"/>
    <w:rsid w:val="0088305E"/>
    <w:rsid w:val="008D4986"/>
    <w:rsid w:val="008D5700"/>
    <w:rsid w:val="00AE1708"/>
    <w:rsid w:val="00B4488C"/>
    <w:rsid w:val="00B94EFF"/>
    <w:rsid w:val="00C11422"/>
    <w:rsid w:val="00D82551"/>
    <w:rsid w:val="00DB1753"/>
    <w:rsid w:val="00DB4818"/>
    <w:rsid w:val="00E76E20"/>
    <w:rsid w:val="00EE3AB3"/>
    <w:rsid w:val="00F2580D"/>
    <w:rsid w:val="00F43887"/>
    <w:rsid w:val="00F57FFE"/>
    <w:rsid w:val="00FD3052"/>
    <w:rsid w:val="00FD70E7"/>
    <w:rsid w:val="01583748"/>
    <w:rsid w:val="03BF14A0"/>
    <w:rsid w:val="04A86794"/>
    <w:rsid w:val="05975644"/>
    <w:rsid w:val="05C70E9C"/>
    <w:rsid w:val="0A497ADA"/>
    <w:rsid w:val="0B36617C"/>
    <w:rsid w:val="0EF25922"/>
    <w:rsid w:val="14CD18FF"/>
    <w:rsid w:val="17F37BA4"/>
    <w:rsid w:val="187E199B"/>
    <w:rsid w:val="19654988"/>
    <w:rsid w:val="1ACC4407"/>
    <w:rsid w:val="1DB95116"/>
    <w:rsid w:val="210E2133"/>
    <w:rsid w:val="21F4671D"/>
    <w:rsid w:val="35153BB4"/>
    <w:rsid w:val="3AD82C28"/>
    <w:rsid w:val="3D136199"/>
    <w:rsid w:val="3E984119"/>
    <w:rsid w:val="41D41796"/>
    <w:rsid w:val="421809AD"/>
    <w:rsid w:val="45433394"/>
    <w:rsid w:val="4AE253FD"/>
    <w:rsid w:val="4FBE01E7"/>
    <w:rsid w:val="50AD2009"/>
    <w:rsid w:val="50D650BC"/>
    <w:rsid w:val="52291B63"/>
    <w:rsid w:val="58816255"/>
    <w:rsid w:val="5E6920B2"/>
    <w:rsid w:val="5E761C8C"/>
    <w:rsid w:val="63A074F4"/>
    <w:rsid w:val="63CE00CE"/>
    <w:rsid w:val="63E678B4"/>
    <w:rsid w:val="6428153C"/>
    <w:rsid w:val="68A67612"/>
    <w:rsid w:val="68F760C0"/>
    <w:rsid w:val="6CE067DB"/>
    <w:rsid w:val="757E5B9F"/>
    <w:rsid w:val="7AD716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beforeLines="25" w:afterLines="25" w:line="30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37"/>
    <w:qFormat/>
    <w:uiPriority w:val="9"/>
    <w:pPr>
      <w:keepNext/>
      <w:keepLines/>
      <w:numPr>
        <w:ilvl w:val="0"/>
        <w:numId w:val="1"/>
      </w:numPr>
      <w:spacing w:beforeLines="100" w:afterLines="50" w:line="240" w:lineRule="auto"/>
      <w:ind w:firstLineChars="0"/>
      <w:outlineLvl w:val="0"/>
    </w:pPr>
    <w:rPr>
      <w:rFonts w:eastAsia="黑体"/>
      <w:b/>
      <w:bCs/>
      <w:kern w:val="44"/>
      <w:sz w:val="32"/>
      <w:szCs w:val="44"/>
    </w:rPr>
  </w:style>
  <w:style w:type="paragraph" w:styleId="3">
    <w:name w:val="heading 2"/>
    <w:basedOn w:val="1"/>
    <w:next w:val="1"/>
    <w:link w:val="38"/>
    <w:unhideWhenUsed/>
    <w:qFormat/>
    <w:uiPriority w:val="9"/>
    <w:pPr>
      <w:keepNext/>
      <w:keepLines/>
      <w:numPr>
        <w:ilvl w:val="1"/>
        <w:numId w:val="1"/>
      </w:numPr>
      <w:spacing w:beforeLines="100" w:afterLines="50" w:line="240" w:lineRule="auto"/>
      <w:ind w:firstLineChars="0"/>
      <w:outlineLvl w:val="1"/>
    </w:pPr>
    <w:rPr>
      <w:rFonts w:eastAsia="黑体" w:cstheme="majorBidi"/>
      <w:b/>
      <w:bCs/>
      <w:sz w:val="30"/>
      <w:szCs w:val="32"/>
    </w:rPr>
  </w:style>
  <w:style w:type="paragraph" w:styleId="4">
    <w:name w:val="heading 3"/>
    <w:basedOn w:val="1"/>
    <w:next w:val="1"/>
    <w:link w:val="39"/>
    <w:unhideWhenUsed/>
    <w:qFormat/>
    <w:uiPriority w:val="9"/>
    <w:pPr>
      <w:keepNext/>
      <w:keepLines/>
      <w:numPr>
        <w:ilvl w:val="2"/>
        <w:numId w:val="1"/>
      </w:numPr>
      <w:spacing w:beforeLines="100" w:afterLines="50" w:line="240" w:lineRule="auto"/>
      <w:ind w:firstLineChars="0"/>
      <w:outlineLvl w:val="2"/>
    </w:pPr>
    <w:rPr>
      <w:rFonts w:eastAsia="黑体"/>
      <w:b/>
      <w:bCs/>
      <w:sz w:val="28"/>
      <w:szCs w:val="32"/>
    </w:rPr>
  </w:style>
  <w:style w:type="paragraph" w:styleId="5">
    <w:name w:val="heading 4"/>
    <w:basedOn w:val="1"/>
    <w:next w:val="1"/>
    <w:link w:val="40"/>
    <w:unhideWhenUsed/>
    <w:qFormat/>
    <w:uiPriority w:val="9"/>
    <w:pPr>
      <w:keepNext/>
      <w:keepLines/>
      <w:numPr>
        <w:ilvl w:val="3"/>
        <w:numId w:val="1"/>
      </w:numPr>
      <w:ind w:firstLineChars="0"/>
      <w:outlineLvl w:val="3"/>
    </w:pPr>
    <w:rPr>
      <w:rFonts w:eastAsia="黑体" w:cstheme="majorBidi"/>
      <w:b/>
      <w:bCs/>
      <w:szCs w:val="28"/>
    </w:rPr>
  </w:style>
  <w:style w:type="paragraph" w:styleId="6">
    <w:name w:val="heading 5"/>
    <w:basedOn w:val="1"/>
    <w:next w:val="1"/>
    <w:link w:val="41"/>
    <w:unhideWhenUsed/>
    <w:qFormat/>
    <w:uiPriority w:val="9"/>
    <w:pPr>
      <w:keepNext/>
      <w:keepLines/>
      <w:numPr>
        <w:ilvl w:val="4"/>
        <w:numId w:val="1"/>
      </w:numPr>
      <w:ind w:firstLine="0" w:firstLineChars="0"/>
      <w:outlineLvl w:val="4"/>
    </w:pPr>
    <w:rPr>
      <w:rFonts w:eastAsia="宋体"/>
      <w:b/>
      <w:bCs/>
      <w:szCs w:val="28"/>
    </w:rPr>
  </w:style>
  <w:style w:type="paragraph" w:styleId="7">
    <w:name w:val="heading 6"/>
    <w:basedOn w:val="1"/>
    <w:next w:val="1"/>
    <w:link w:val="42"/>
    <w:unhideWhenUsed/>
    <w:qFormat/>
    <w:uiPriority w:val="9"/>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43"/>
    <w:unhideWhenUsed/>
    <w:qFormat/>
    <w:uiPriority w:val="9"/>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44"/>
    <w:unhideWhenUsed/>
    <w:qFormat/>
    <w:uiPriority w:val="9"/>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45"/>
    <w:unhideWhenUsed/>
    <w:qFormat/>
    <w:uiPriority w:val="9"/>
    <w:pPr>
      <w:keepNext/>
      <w:keepLines/>
      <w:numPr>
        <w:ilvl w:val="8"/>
        <w:numId w:val="1"/>
      </w:numPr>
      <w:spacing w:before="240" w:after="64" w:line="320" w:lineRule="auto"/>
      <w:ind w:firstLine="0" w:firstLineChars="0"/>
      <w:outlineLvl w:val="8"/>
    </w:pPr>
    <w:rPr>
      <w:rFonts w:asciiTheme="majorHAnsi" w:hAnsiTheme="majorHAnsi" w:eastAsiaTheme="majorEastAsia" w:cstheme="majorBidi"/>
      <w:szCs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firstLine="0"/>
    </w:pPr>
  </w:style>
  <w:style w:type="paragraph" w:styleId="12">
    <w:name w:val="caption"/>
    <w:basedOn w:val="1"/>
    <w:next w:val="1"/>
    <w:semiHidden/>
    <w:unhideWhenUsed/>
    <w:qFormat/>
    <w:uiPriority w:val="35"/>
    <w:pPr>
      <w:spacing w:beforeLines="50" w:afterLines="50"/>
      <w:ind w:firstLine="0" w:firstLineChars="0"/>
      <w:jc w:val="center"/>
    </w:pPr>
    <w:rPr>
      <w:rFonts w:eastAsia="宋体" w:cstheme="majorBidi"/>
      <w:sz w:val="21"/>
      <w:szCs w:val="20"/>
    </w:rPr>
  </w:style>
  <w:style w:type="paragraph" w:styleId="13">
    <w:name w:val="annotation text"/>
    <w:basedOn w:val="1"/>
    <w:semiHidden/>
    <w:unhideWhenUsed/>
    <w:qFormat/>
    <w:uiPriority w:val="99"/>
    <w:pPr>
      <w:jc w:val="left"/>
    </w:pPr>
  </w:style>
  <w:style w:type="paragraph" w:styleId="14">
    <w:name w:val="toc 5"/>
    <w:basedOn w:val="1"/>
    <w:next w:val="1"/>
    <w:unhideWhenUsed/>
    <w:qFormat/>
    <w:uiPriority w:val="39"/>
    <w:pPr>
      <w:spacing w:after="57"/>
      <w:ind w:left="1134" w:firstLine="0"/>
    </w:pPr>
  </w:style>
  <w:style w:type="paragraph" w:styleId="15">
    <w:name w:val="toc 3"/>
    <w:basedOn w:val="1"/>
    <w:next w:val="1"/>
    <w:autoRedefine/>
    <w:semiHidden/>
    <w:unhideWhenUsed/>
    <w:qFormat/>
    <w:uiPriority w:val="39"/>
    <w:pPr>
      <w:tabs>
        <w:tab w:val="right" w:pos="0"/>
        <w:tab w:val="left" w:pos="1680"/>
        <w:tab w:val="right" w:leader="dot" w:pos="9060"/>
      </w:tabs>
      <w:spacing w:before="81" w:after="81"/>
      <w:ind w:left="960" w:leftChars="400" w:firstLine="0" w:firstLineChars="0"/>
    </w:pPr>
  </w:style>
  <w:style w:type="paragraph" w:styleId="16">
    <w:name w:val="toc 8"/>
    <w:basedOn w:val="1"/>
    <w:next w:val="1"/>
    <w:unhideWhenUsed/>
    <w:qFormat/>
    <w:uiPriority w:val="39"/>
    <w:pPr>
      <w:spacing w:after="57"/>
      <w:ind w:left="1984" w:firstLine="0"/>
    </w:pPr>
  </w:style>
  <w:style w:type="paragraph" w:styleId="17">
    <w:name w:val="endnote text"/>
    <w:basedOn w:val="1"/>
    <w:link w:val="182"/>
    <w:semiHidden/>
    <w:unhideWhenUsed/>
    <w:qFormat/>
    <w:uiPriority w:val="99"/>
    <w:pPr>
      <w:spacing w:line="240" w:lineRule="auto"/>
    </w:pPr>
    <w:rPr>
      <w:sz w:val="20"/>
    </w:rPr>
  </w:style>
  <w:style w:type="paragraph" w:styleId="18">
    <w:name w:val="footer"/>
    <w:basedOn w:val="1"/>
    <w:link w:val="185"/>
    <w:unhideWhenUsed/>
    <w:qFormat/>
    <w:uiPriority w:val="99"/>
    <w:pPr>
      <w:tabs>
        <w:tab w:val="center" w:pos="4153"/>
        <w:tab w:val="right" w:pos="8306"/>
      </w:tabs>
      <w:jc w:val="left"/>
    </w:pPr>
    <w:rPr>
      <w:sz w:val="18"/>
      <w:szCs w:val="18"/>
    </w:rPr>
  </w:style>
  <w:style w:type="paragraph" w:styleId="19">
    <w:name w:val="header"/>
    <w:basedOn w:val="1"/>
    <w:link w:val="184"/>
    <w:unhideWhenUsed/>
    <w:qFormat/>
    <w:uiPriority w:val="99"/>
    <w:pPr>
      <w:pBdr>
        <w:bottom w:val="single" w:color="auto" w:sz="6" w:space="1"/>
      </w:pBdr>
      <w:tabs>
        <w:tab w:val="center" w:pos="4153"/>
        <w:tab w:val="right" w:pos="8306"/>
      </w:tabs>
      <w:jc w:val="center"/>
    </w:pPr>
    <w:rPr>
      <w:sz w:val="18"/>
      <w:szCs w:val="18"/>
    </w:rPr>
  </w:style>
  <w:style w:type="paragraph" w:styleId="20">
    <w:name w:val="toc 1"/>
    <w:basedOn w:val="1"/>
    <w:next w:val="1"/>
    <w:autoRedefine/>
    <w:semiHidden/>
    <w:unhideWhenUsed/>
    <w:qFormat/>
    <w:uiPriority w:val="39"/>
    <w:pPr>
      <w:tabs>
        <w:tab w:val="left" w:pos="400"/>
        <w:tab w:val="right" w:leader="dot" w:pos="9060"/>
      </w:tabs>
      <w:spacing w:before="81" w:after="81"/>
      <w:ind w:firstLine="0" w:firstLineChars="0"/>
    </w:pPr>
    <w:rPr>
      <w:b/>
    </w:rPr>
  </w:style>
  <w:style w:type="paragraph" w:styleId="21">
    <w:name w:val="toc 4"/>
    <w:basedOn w:val="1"/>
    <w:next w:val="1"/>
    <w:unhideWhenUsed/>
    <w:qFormat/>
    <w:uiPriority w:val="39"/>
    <w:pPr>
      <w:spacing w:after="57"/>
      <w:ind w:left="850" w:firstLine="0"/>
    </w:pPr>
  </w:style>
  <w:style w:type="paragraph" w:styleId="22">
    <w:name w:val="Subtitle"/>
    <w:basedOn w:val="1"/>
    <w:next w:val="1"/>
    <w:link w:val="48"/>
    <w:qFormat/>
    <w:uiPriority w:val="11"/>
    <w:pPr>
      <w:spacing w:before="240" w:after="60" w:line="312" w:lineRule="auto"/>
      <w:jc w:val="center"/>
      <w:outlineLvl w:val="1"/>
    </w:pPr>
    <w:rPr>
      <w:rFonts w:asciiTheme="minorHAnsi" w:hAnsiTheme="minorHAnsi"/>
      <w:b/>
      <w:bCs/>
      <w:kern w:val="28"/>
      <w:sz w:val="32"/>
      <w:szCs w:val="32"/>
    </w:rPr>
  </w:style>
  <w:style w:type="paragraph" w:styleId="23">
    <w:name w:val="footnote text"/>
    <w:basedOn w:val="1"/>
    <w:link w:val="181"/>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firstLine="0"/>
    </w:pPr>
  </w:style>
  <w:style w:type="paragraph" w:styleId="25">
    <w:name w:val="table of figures"/>
    <w:basedOn w:val="1"/>
    <w:next w:val="1"/>
    <w:unhideWhenUsed/>
    <w:qFormat/>
    <w:uiPriority w:val="99"/>
  </w:style>
  <w:style w:type="paragraph" w:styleId="26">
    <w:name w:val="toc 2"/>
    <w:basedOn w:val="1"/>
    <w:next w:val="1"/>
    <w:autoRedefine/>
    <w:semiHidden/>
    <w:unhideWhenUsed/>
    <w:qFormat/>
    <w:uiPriority w:val="39"/>
    <w:pPr>
      <w:ind w:left="200" w:leftChars="200" w:firstLine="0" w:firstLineChars="0"/>
    </w:pPr>
  </w:style>
  <w:style w:type="paragraph" w:styleId="27">
    <w:name w:val="toc 9"/>
    <w:basedOn w:val="1"/>
    <w:next w:val="1"/>
    <w:unhideWhenUsed/>
    <w:qFormat/>
    <w:uiPriority w:val="39"/>
    <w:pPr>
      <w:spacing w:after="57"/>
      <w:ind w:left="2268" w:firstLine="0"/>
    </w:pPr>
  </w:style>
  <w:style w:type="paragraph" w:styleId="28">
    <w:name w:val="Normal (Web)"/>
    <w:basedOn w:val="1"/>
    <w:semiHidden/>
    <w:unhideWhenUsed/>
    <w:qFormat/>
    <w:uiPriority w:val="99"/>
  </w:style>
  <w:style w:type="paragraph" w:styleId="29">
    <w:name w:val="Title"/>
    <w:basedOn w:val="1"/>
    <w:next w:val="1"/>
    <w:link w:val="47"/>
    <w:qFormat/>
    <w:uiPriority w:val="10"/>
    <w:pPr>
      <w:spacing w:before="240" w:after="60"/>
      <w:jc w:val="center"/>
      <w:outlineLvl w:val="0"/>
    </w:pPr>
    <w:rPr>
      <w:rFonts w:asciiTheme="majorHAnsi" w:hAnsiTheme="majorHAnsi" w:eastAsiaTheme="majorEastAsia" w:cstheme="majorBidi"/>
      <w:b/>
      <w:bCs/>
      <w:sz w:val="32"/>
      <w:szCs w:val="32"/>
    </w:rPr>
  </w:style>
  <w:style w:type="table" w:styleId="31">
    <w:name w:val="Table Grid"/>
    <w:basedOn w:val="30"/>
    <w:qFormat/>
    <w:uiPriority w:val="59"/>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endnote reference"/>
    <w:basedOn w:val="32"/>
    <w:semiHidden/>
    <w:unhideWhenUsed/>
    <w:qFormat/>
    <w:uiPriority w:val="99"/>
    <w:rPr>
      <w:vertAlign w:val="superscript"/>
    </w:rPr>
  </w:style>
  <w:style w:type="character" w:styleId="34">
    <w:name w:val="Hyperlink"/>
    <w:unhideWhenUsed/>
    <w:qFormat/>
    <w:uiPriority w:val="99"/>
    <w:rPr>
      <w:color w:val="0000FF" w:themeColor="hyperlink"/>
      <w:u w:val="single"/>
      <w14:textFill>
        <w14:solidFill>
          <w14:schemeClr w14:val="hlink"/>
        </w14:solidFill>
      </w14:textFill>
    </w:rPr>
  </w:style>
  <w:style w:type="character" w:styleId="35">
    <w:name w:val="annotation reference"/>
    <w:basedOn w:val="32"/>
    <w:semiHidden/>
    <w:unhideWhenUsed/>
    <w:qFormat/>
    <w:uiPriority w:val="99"/>
    <w:rPr>
      <w:sz w:val="21"/>
      <w:szCs w:val="21"/>
    </w:rPr>
  </w:style>
  <w:style w:type="character" w:styleId="36">
    <w:name w:val="footnote reference"/>
    <w:basedOn w:val="32"/>
    <w:unhideWhenUsed/>
    <w:qFormat/>
    <w:uiPriority w:val="99"/>
    <w:rPr>
      <w:vertAlign w:val="superscript"/>
    </w:rPr>
  </w:style>
  <w:style w:type="character" w:customStyle="1" w:styleId="37">
    <w:name w:val="标题 1 字符"/>
    <w:basedOn w:val="32"/>
    <w:link w:val="2"/>
    <w:qFormat/>
    <w:uiPriority w:val="9"/>
    <w:rPr>
      <w:rFonts w:ascii="Times New Roman" w:hAnsi="Times New Roman" w:eastAsia="黑体"/>
      <w:b/>
      <w:bCs/>
      <w:kern w:val="44"/>
      <w:sz w:val="32"/>
      <w:szCs w:val="44"/>
    </w:rPr>
  </w:style>
  <w:style w:type="character" w:customStyle="1" w:styleId="38">
    <w:name w:val="标题 2 字符"/>
    <w:basedOn w:val="32"/>
    <w:link w:val="3"/>
    <w:qFormat/>
    <w:uiPriority w:val="9"/>
    <w:rPr>
      <w:rFonts w:ascii="Times New Roman" w:hAnsi="Times New Roman" w:eastAsia="黑体" w:cstheme="majorBidi"/>
      <w:b/>
      <w:bCs/>
      <w:sz w:val="30"/>
      <w:szCs w:val="32"/>
    </w:rPr>
  </w:style>
  <w:style w:type="character" w:customStyle="1" w:styleId="39">
    <w:name w:val="标题 3 字符"/>
    <w:basedOn w:val="32"/>
    <w:link w:val="4"/>
    <w:qFormat/>
    <w:uiPriority w:val="9"/>
    <w:rPr>
      <w:rFonts w:ascii="Times New Roman" w:hAnsi="Times New Roman" w:eastAsia="黑体"/>
      <w:b/>
      <w:bCs/>
      <w:sz w:val="28"/>
      <w:szCs w:val="32"/>
    </w:rPr>
  </w:style>
  <w:style w:type="character" w:customStyle="1" w:styleId="40">
    <w:name w:val="标题 4 字符"/>
    <w:basedOn w:val="32"/>
    <w:link w:val="5"/>
    <w:qFormat/>
    <w:uiPriority w:val="9"/>
    <w:rPr>
      <w:rFonts w:ascii="Times New Roman" w:hAnsi="Times New Roman" w:eastAsia="黑体" w:cstheme="majorBidi"/>
      <w:b/>
      <w:bCs/>
      <w:sz w:val="24"/>
      <w:szCs w:val="28"/>
    </w:rPr>
  </w:style>
  <w:style w:type="character" w:customStyle="1" w:styleId="41">
    <w:name w:val="标题 5 字符"/>
    <w:basedOn w:val="32"/>
    <w:link w:val="6"/>
    <w:qFormat/>
    <w:uiPriority w:val="9"/>
    <w:rPr>
      <w:rFonts w:ascii="Times New Roman" w:hAnsi="Times New Roman" w:eastAsia="宋体"/>
      <w:b/>
      <w:bCs/>
      <w:sz w:val="24"/>
      <w:szCs w:val="28"/>
    </w:rPr>
  </w:style>
  <w:style w:type="character" w:customStyle="1" w:styleId="42">
    <w:name w:val="标题 6 字符"/>
    <w:basedOn w:val="32"/>
    <w:link w:val="7"/>
    <w:qFormat/>
    <w:uiPriority w:val="9"/>
    <w:rPr>
      <w:rFonts w:asciiTheme="majorHAnsi" w:hAnsiTheme="majorHAnsi" w:eastAsiaTheme="majorEastAsia" w:cstheme="majorBidi"/>
      <w:b/>
      <w:bCs/>
      <w:sz w:val="24"/>
      <w:szCs w:val="24"/>
    </w:rPr>
  </w:style>
  <w:style w:type="character" w:customStyle="1" w:styleId="43">
    <w:name w:val="标题 7 字符"/>
    <w:basedOn w:val="32"/>
    <w:link w:val="8"/>
    <w:qFormat/>
    <w:uiPriority w:val="9"/>
    <w:rPr>
      <w:rFonts w:ascii="Times New Roman" w:hAnsi="Times New Roman"/>
      <w:b/>
      <w:bCs/>
      <w:sz w:val="24"/>
      <w:szCs w:val="24"/>
    </w:rPr>
  </w:style>
  <w:style w:type="character" w:customStyle="1" w:styleId="44">
    <w:name w:val="标题 8 字符"/>
    <w:basedOn w:val="32"/>
    <w:link w:val="9"/>
    <w:qFormat/>
    <w:uiPriority w:val="9"/>
    <w:rPr>
      <w:rFonts w:asciiTheme="majorHAnsi" w:hAnsiTheme="majorHAnsi" w:eastAsiaTheme="majorEastAsia" w:cstheme="majorBidi"/>
      <w:sz w:val="24"/>
      <w:szCs w:val="24"/>
    </w:rPr>
  </w:style>
  <w:style w:type="character" w:customStyle="1" w:styleId="45">
    <w:name w:val="标题 9 字符"/>
    <w:basedOn w:val="32"/>
    <w:link w:val="10"/>
    <w:qFormat/>
    <w:uiPriority w:val="9"/>
    <w:rPr>
      <w:rFonts w:asciiTheme="majorHAnsi" w:hAnsiTheme="majorHAnsi" w:eastAsiaTheme="majorEastAsia" w:cstheme="majorBidi"/>
      <w:sz w:val="24"/>
      <w:szCs w:val="21"/>
    </w:rPr>
  </w:style>
  <w:style w:type="paragraph" w:styleId="46">
    <w:name w:val="No Spacing"/>
    <w:qFormat/>
    <w:uiPriority w:val="1"/>
    <w:pPr>
      <w:widowControl w:val="0"/>
      <w:adjustRightInd w:val="0"/>
      <w:snapToGrid w:val="0"/>
      <w:spacing w:beforeLines="25" w:afterLines="25"/>
      <w:ind w:firstLine="200" w:firstLineChars="200"/>
      <w:jc w:val="both"/>
    </w:pPr>
    <w:rPr>
      <w:rFonts w:ascii="Times New Roman" w:hAnsi="Times New Roman" w:eastAsiaTheme="minorEastAsia" w:cstheme="minorBidi"/>
      <w:kern w:val="2"/>
      <w:sz w:val="24"/>
      <w:szCs w:val="22"/>
      <w:lang w:val="en-US" w:eastAsia="zh-CN" w:bidi="ar-SA"/>
    </w:rPr>
  </w:style>
  <w:style w:type="character" w:customStyle="1" w:styleId="47">
    <w:name w:val="标题 字符"/>
    <w:basedOn w:val="32"/>
    <w:link w:val="29"/>
    <w:qFormat/>
    <w:uiPriority w:val="10"/>
    <w:rPr>
      <w:rFonts w:asciiTheme="majorHAnsi" w:hAnsiTheme="majorHAnsi" w:eastAsiaTheme="majorEastAsia" w:cstheme="majorBidi"/>
      <w:b/>
      <w:bCs/>
      <w:sz w:val="32"/>
      <w:szCs w:val="32"/>
    </w:rPr>
  </w:style>
  <w:style w:type="character" w:customStyle="1" w:styleId="48">
    <w:name w:val="副标题 字符"/>
    <w:basedOn w:val="32"/>
    <w:link w:val="22"/>
    <w:qFormat/>
    <w:uiPriority w:val="11"/>
    <w:rPr>
      <w:b/>
      <w:bCs/>
      <w:kern w:val="28"/>
      <w:sz w:val="32"/>
      <w:szCs w:val="32"/>
    </w:rPr>
  </w:style>
  <w:style w:type="paragraph" w:styleId="49">
    <w:name w:val="Quote"/>
    <w:basedOn w:val="1"/>
    <w:next w:val="1"/>
    <w:link w:val="5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0">
    <w:name w:val="引用 字符"/>
    <w:link w:val="49"/>
    <w:qFormat/>
    <w:uiPriority w:val="29"/>
    <w:rPr>
      <w:rFonts w:ascii="Times New Roman" w:hAnsi="Times New Roman"/>
      <w:i/>
      <w:iCs/>
      <w:color w:val="404040" w:themeColor="text1" w:themeTint="BF"/>
      <w:sz w:val="24"/>
      <w14:textFill>
        <w14:solidFill>
          <w14:schemeClr w14:val="tx1">
            <w14:lumMod w14:val="75000"/>
            <w14:lumOff w14:val="25000"/>
          </w14:schemeClr>
        </w14:solidFill>
      </w14:textFill>
    </w:rPr>
  </w:style>
  <w:style w:type="paragraph" w:styleId="51">
    <w:name w:val="Intense Quote"/>
    <w:basedOn w:val="1"/>
    <w:next w:val="1"/>
    <w:link w:val="52"/>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52">
    <w:name w:val="明显引用 字符"/>
    <w:link w:val="51"/>
    <w:qFormat/>
    <w:uiPriority w:val="30"/>
    <w:rPr>
      <w:rFonts w:ascii="Times New Roman" w:hAnsi="Times New Roman"/>
      <w:i/>
      <w:iCs/>
      <w:color w:val="4F81BD" w:themeColor="accent1"/>
      <w:sz w:val="24"/>
      <w14:textFill>
        <w14:solidFill>
          <w14:schemeClr w14:val="accent1"/>
        </w14:solidFill>
      </w14:textFill>
    </w:rPr>
  </w:style>
  <w:style w:type="character" w:customStyle="1" w:styleId="53">
    <w:name w:val="Header Char"/>
    <w:basedOn w:val="32"/>
    <w:qFormat/>
    <w:uiPriority w:val="99"/>
  </w:style>
  <w:style w:type="character" w:customStyle="1" w:styleId="54">
    <w:name w:val="Footer Char"/>
    <w:basedOn w:val="32"/>
    <w:qFormat/>
    <w:uiPriority w:val="99"/>
  </w:style>
  <w:style w:type="character" w:customStyle="1" w:styleId="55">
    <w:name w:val="Caption Char"/>
    <w:qFormat/>
    <w:uiPriority w:val="99"/>
  </w:style>
  <w:style w:type="table" w:customStyle="1" w:styleId="56">
    <w:name w:val="Table Grid Light"/>
    <w:basedOn w:val="30"/>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57">
    <w:name w:val="无格式表格 11"/>
    <w:basedOn w:val="30"/>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8">
    <w:name w:val="无格式表格 21"/>
    <w:basedOn w:val="30"/>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9">
    <w:name w:val="无格式表格 31"/>
    <w:basedOn w:val="30"/>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0">
    <w:name w:val="无格式表格 41"/>
    <w:basedOn w:val="30"/>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无格式表格 51"/>
    <w:basedOn w:val="30"/>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网格表 1 浅色1"/>
    <w:basedOn w:val="30"/>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3">
    <w:name w:val="Grid Table 1 Light - Accent 1"/>
    <w:basedOn w:val="30"/>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4">
    <w:name w:val="Grid Table 1 Light - Accent 2"/>
    <w:basedOn w:val="30"/>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5">
    <w:name w:val="Grid Table 1 Light - Accent 3"/>
    <w:basedOn w:val="30"/>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6">
    <w:name w:val="Grid Table 1 Light - Accent 4"/>
    <w:basedOn w:val="30"/>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7">
    <w:name w:val="Grid Table 1 Light - Accent 5"/>
    <w:basedOn w:val="30"/>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8">
    <w:name w:val="Grid Table 1 Light - Accent 6"/>
    <w:basedOn w:val="30"/>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69">
    <w:name w:val="网格表 21"/>
    <w:basedOn w:val="30"/>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0">
    <w:name w:val="Grid Table 2 - Accent 1"/>
    <w:basedOn w:val="30"/>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1">
    <w:name w:val="Grid Table 2 - Accent 2"/>
    <w:basedOn w:val="30"/>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2">
    <w:name w:val="Grid Table 2 - Accent 3"/>
    <w:basedOn w:val="30"/>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3">
    <w:name w:val="Grid Table 2 - Accent 4"/>
    <w:basedOn w:val="30"/>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4">
    <w:name w:val="Grid Table 2 - Accent 5"/>
    <w:basedOn w:val="30"/>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5">
    <w:name w:val="Grid Table 2 - Accent 6"/>
    <w:basedOn w:val="30"/>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6">
    <w:name w:val="网格表 31"/>
    <w:basedOn w:val="30"/>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7">
    <w:name w:val="Grid Table 3 - Accent 1"/>
    <w:basedOn w:val="30"/>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8">
    <w:name w:val="Grid Table 3 - Accent 2"/>
    <w:basedOn w:val="30"/>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9">
    <w:name w:val="Grid Table 3 - Accent 3"/>
    <w:basedOn w:val="30"/>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0">
    <w:name w:val="Grid Table 3 - Accent 4"/>
    <w:basedOn w:val="30"/>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1">
    <w:name w:val="Grid Table 3 - Accent 5"/>
    <w:basedOn w:val="30"/>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2">
    <w:name w:val="Grid Table 3 - Accent 6"/>
    <w:basedOn w:val="30"/>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3">
    <w:name w:val="网格表 41"/>
    <w:basedOn w:val="30"/>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4">
    <w:name w:val="Grid Table 4 - Accent 1"/>
    <w:basedOn w:val="30"/>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5">
    <w:name w:val="Grid Table 4 - Accent 2"/>
    <w:basedOn w:val="30"/>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6">
    <w:name w:val="Grid Table 4 - Accent 3"/>
    <w:basedOn w:val="30"/>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7">
    <w:name w:val="Grid Table 4 - Accent 4"/>
    <w:basedOn w:val="30"/>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8">
    <w:name w:val="Grid Table 4 - Accent 5"/>
    <w:basedOn w:val="30"/>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9">
    <w:name w:val="Grid Table 4 - Accent 6"/>
    <w:basedOn w:val="30"/>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0">
    <w:name w:val="网格表 5 深色1"/>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1">
    <w:name w:val="Grid Table 5 Dark- Accent 1"/>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2">
    <w:name w:val="Grid Table 5 Dark - Accent 2"/>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3">
    <w:name w:val="Grid Table 5 Dark - Accent 3"/>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4">
    <w:name w:val="Grid Table 5 Dark- Accent 4"/>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5">
    <w:name w:val="Grid Table 5 Dark - Accent 5"/>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6">
    <w:name w:val="Grid Table 5 Dark - Accent 6"/>
    <w:basedOn w:val="30"/>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7">
    <w:name w:val="网格表 6 彩色1"/>
    <w:basedOn w:val="30"/>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8">
    <w:name w:val="Grid Table 6 Colorful - Accent 1"/>
    <w:basedOn w:val="30"/>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99">
    <w:name w:val="Grid Table 6 Colorful - Accent 2"/>
    <w:basedOn w:val="30"/>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0">
    <w:name w:val="Grid Table 6 Colorful - Accent 3"/>
    <w:basedOn w:val="30"/>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1">
    <w:name w:val="Grid Table 6 Colorful - Accent 4"/>
    <w:basedOn w:val="30"/>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2">
    <w:name w:val="Grid Table 6 Colorful - Accent 5"/>
    <w:basedOn w:val="30"/>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3">
    <w:name w:val="Grid Table 6 Colorful - Accent 6"/>
    <w:basedOn w:val="30"/>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4">
    <w:name w:val="网格表 7 彩色1"/>
    <w:basedOn w:val="30"/>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5">
    <w:name w:val="Grid Table 7 Colorful - Accent 1"/>
    <w:basedOn w:val="30"/>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6">
    <w:name w:val="Grid Table 7 Colorful - Accent 2"/>
    <w:basedOn w:val="30"/>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7">
    <w:name w:val="Grid Table 7 Colorful - Accent 3"/>
    <w:basedOn w:val="30"/>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8">
    <w:name w:val="Grid Table 7 Colorful - Accent 4"/>
    <w:basedOn w:val="30"/>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9">
    <w:name w:val="Grid Table 7 Colorful - Accent 5"/>
    <w:basedOn w:val="30"/>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0">
    <w:name w:val="Grid Table 7 Colorful - Accent 6"/>
    <w:basedOn w:val="30"/>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1">
    <w:name w:val="清单表 1 浅色1"/>
    <w:basedOn w:val="30"/>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2">
    <w:name w:val="List Table 1 Light - Accent 1"/>
    <w:basedOn w:val="30"/>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3">
    <w:name w:val="List Table 1 Light - Accent 2"/>
    <w:basedOn w:val="30"/>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4">
    <w:name w:val="List Table 1 Light - Accent 3"/>
    <w:basedOn w:val="30"/>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5">
    <w:name w:val="List Table 1 Light - Accent 4"/>
    <w:basedOn w:val="30"/>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6">
    <w:name w:val="List Table 1 Light - Accent 5"/>
    <w:basedOn w:val="30"/>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7">
    <w:name w:val="List Table 1 Light - Accent 6"/>
    <w:basedOn w:val="30"/>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8">
    <w:name w:val="清单表 21"/>
    <w:basedOn w:val="30"/>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9">
    <w:name w:val="List Table 2 - Accent 1"/>
    <w:basedOn w:val="30"/>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0">
    <w:name w:val="List Table 2 - Accent 2"/>
    <w:basedOn w:val="30"/>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1">
    <w:name w:val="List Table 2 - Accent 3"/>
    <w:basedOn w:val="30"/>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2">
    <w:name w:val="List Table 2 - Accent 4"/>
    <w:basedOn w:val="30"/>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3">
    <w:name w:val="List Table 2 - Accent 5"/>
    <w:basedOn w:val="30"/>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4">
    <w:name w:val="List Table 2 - Accent 6"/>
    <w:basedOn w:val="30"/>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5">
    <w:name w:val="清单表 31"/>
    <w:basedOn w:val="30"/>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6">
    <w:name w:val="List Table 3 - Accent 1"/>
    <w:basedOn w:val="30"/>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7">
    <w:name w:val="List Table 3 - Accent 2"/>
    <w:basedOn w:val="30"/>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8">
    <w:name w:val="List Table 3 - Accent 3"/>
    <w:basedOn w:val="30"/>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29">
    <w:name w:val="List Table 3 - Accent 4"/>
    <w:basedOn w:val="30"/>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0">
    <w:name w:val="List Table 3 - Accent 5"/>
    <w:basedOn w:val="30"/>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1">
    <w:name w:val="List Table 3 - Accent 6"/>
    <w:basedOn w:val="30"/>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2">
    <w:name w:val="清单表 41"/>
    <w:basedOn w:val="30"/>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3">
    <w:name w:val="List Table 4 - Accent 1"/>
    <w:basedOn w:val="30"/>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4">
    <w:name w:val="List Table 4 - Accent 2"/>
    <w:basedOn w:val="30"/>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5">
    <w:name w:val="List Table 4 - Accent 3"/>
    <w:basedOn w:val="30"/>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6">
    <w:name w:val="List Table 4 - Accent 4"/>
    <w:basedOn w:val="30"/>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7">
    <w:name w:val="List Table 4 - Accent 5"/>
    <w:basedOn w:val="30"/>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8">
    <w:name w:val="List Table 4 - Accent 6"/>
    <w:basedOn w:val="30"/>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39">
    <w:name w:val="清单表 5 深色1"/>
    <w:basedOn w:val="30"/>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0">
    <w:name w:val="List Table 5 Dark - Accent 1"/>
    <w:basedOn w:val="30"/>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1">
    <w:name w:val="List Table 5 Dark - Accent 2"/>
    <w:basedOn w:val="30"/>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2">
    <w:name w:val="List Table 5 Dark - Accent 3"/>
    <w:basedOn w:val="30"/>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3">
    <w:name w:val="List Table 5 Dark - Accent 4"/>
    <w:basedOn w:val="30"/>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4">
    <w:name w:val="List Table 5 Dark - Accent 5"/>
    <w:basedOn w:val="30"/>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5">
    <w:name w:val="List Table 5 Dark - Accent 6"/>
    <w:basedOn w:val="30"/>
    <w:autoRedefine/>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6">
    <w:name w:val="清单表 6 彩色1"/>
    <w:basedOn w:val="30"/>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7">
    <w:name w:val="List Table 6 Colorful - Accent 1"/>
    <w:basedOn w:val="30"/>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8">
    <w:name w:val="List Table 6 Colorful - Accent 2"/>
    <w:basedOn w:val="30"/>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49">
    <w:name w:val="List Table 6 Colorful - Accent 3"/>
    <w:basedOn w:val="30"/>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0">
    <w:name w:val="List Table 6 Colorful - Accent 4"/>
    <w:basedOn w:val="30"/>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1">
    <w:name w:val="List Table 6 Colorful - Accent 5"/>
    <w:basedOn w:val="30"/>
    <w:autoRedefine/>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2">
    <w:name w:val="List Table 6 Colorful - Accent 6"/>
    <w:basedOn w:val="30"/>
    <w:autoRedefine/>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3">
    <w:name w:val="清单表 7 彩色1"/>
    <w:basedOn w:val="30"/>
    <w:autoRedefine/>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4">
    <w:name w:val="List Table 7 Colorful - Accent 1"/>
    <w:basedOn w:val="30"/>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5">
    <w:name w:val="List Table 7 Colorful - Accent 2"/>
    <w:basedOn w:val="30"/>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6">
    <w:name w:val="List Table 7 Colorful - Accent 3"/>
    <w:basedOn w:val="30"/>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7">
    <w:name w:val="List Table 7 Colorful - Accent 4"/>
    <w:basedOn w:val="30"/>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8">
    <w:name w:val="List Table 7 Colorful - Accent 5"/>
    <w:basedOn w:val="30"/>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9">
    <w:name w:val="List Table 7 Colorful - Accent 6"/>
    <w:basedOn w:val="30"/>
    <w:autoRedefine/>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0">
    <w:name w:val="Lined - Accent"/>
    <w:basedOn w:val="30"/>
    <w:autoRedefine/>
    <w:qFormat/>
    <w:uiPriority w:val="99"/>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1">
    <w:name w:val="Lined - Accent 1"/>
    <w:basedOn w:val="30"/>
    <w:autoRedefine/>
    <w:qFormat/>
    <w:uiPriority w:val="99"/>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2">
    <w:name w:val="Lined - Accent 2"/>
    <w:basedOn w:val="30"/>
    <w:autoRedefine/>
    <w:qFormat/>
    <w:uiPriority w:val="99"/>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3">
    <w:name w:val="Lined - Accent 3"/>
    <w:basedOn w:val="30"/>
    <w:autoRedefine/>
    <w:qFormat/>
    <w:uiPriority w:val="99"/>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4">
    <w:name w:val="Lined - Accent 4"/>
    <w:basedOn w:val="30"/>
    <w:autoRedefine/>
    <w:qFormat/>
    <w:uiPriority w:val="99"/>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5">
    <w:name w:val="Lined - Accent 5"/>
    <w:basedOn w:val="30"/>
    <w:autoRedefine/>
    <w:qFormat/>
    <w:uiPriority w:val="99"/>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6">
    <w:name w:val="Lined - Accent 6"/>
    <w:basedOn w:val="30"/>
    <w:autoRedefine/>
    <w:qFormat/>
    <w:uiPriority w:val="99"/>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7">
    <w:name w:val="Bordered &amp; Lined - Accent"/>
    <w:basedOn w:val="30"/>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8">
    <w:name w:val="Bordered &amp; Lined - Accent 1"/>
    <w:basedOn w:val="30"/>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9">
    <w:name w:val="Bordered &amp; Lined - Accent 2"/>
    <w:basedOn w:val="30"/>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0">
    <w:name w:val="Bordered &amp; Lined - Accent 3"/>
    <w:basedOn w:val="30"/>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1">
    <w:name w:val="Bordered &amp; Lined - Accent 4"/>
    <w:basedOn w:val="30"/>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2">
    <w:name w:val="Bordered &amp; Lined - Accent 5"/>
    <w:basedOn w:val="30"/>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3">
    <w:name w:val="Bordered &amp; Lined - Accent 6"/>
    <w:basedOn w:val="30"/>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4">
    <w:name w:val="Bordered"/>
    <w:basedOn w:val="30"/>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5">
    <w:name w:val="Bordered - Accent 1"/>
    <w:basedOn w:val="30"/>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6">
    <w:name w:val="Bordered - Accent 2"/>
    <w:basedOn w:val="30"/>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7">
    <w:name w:val="Bordered - Accent 3"/>
    <w:basedOn w:val="30"/>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8">
    <w:name w:val="Bordered - Accent 4"/>
    <w:basedOn w:val="30"/>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79">
    <w:name w:val="Bordered - Accent 5"/>
    <w:basedOn w:val="30"/>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0">
    <w:name w:val="Bordered - Accent 6"/>
    <w:basedOn w:val="30"/>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1">
    <w:name w:val="脚注文本 字符"/>
    <w:link w:val="23"/>
    <w:autoRedefine/>
    <w:qFormat/>
    <w:uiPriority w:val="99"/>
    <w:rPr>
      <w:sz w:val="18"/>
    </w:rPr>
  </w:style>
  <w:style w:type="character" w:customStyle="1" w:styleId="182">
    <w:name w:val="尾注文本 字符"/>
    <w:link w:val="17"/>
    <w:autoRedefine/>
    <w:qFormat/>
    <w:uiPriority w:val="99"/>
    <w:rPr>
      <w:sz w:val="20"/>
    </w:rPr>
  </w:style>
  <w:style w:type="paragraph" w:customStyle="1" w:styleId="183">
    <w:name w:val="TOC 标题1"/>
    <w:basedOn w:val="2"/>
    <w:next w:val="1"/>
    <w:autoRedefine/>
    <w:unhideWhenUsed/>
    <w:qFormat/>
    <w:uiPriority w:val="39"/>
    <w:pPr>
      <w:widowControl/>
      <w:numPr>
        <w:numId w:val="0"/>
      </w:numPr>
      <w:adjustRightInd/>
      <w:snapToGrid/>
      <w:spacing w:beforeLines="0" w:afterLines="0" w:line="259" w:lineRule="auto"/>
      <w:jc w:val="left"/>
      <w:outlineLvl w:val="9"/>
    </w:pPr>
    <w:rPr>
      <w:rFonts w:asciiTheme="majorHAnsi" w:hAnsiTheme="majorHAnsi" w:eastAsiaTheme="majorEastAsia" w:cstheme="majorBidi"/>
      <w:b w:val="0"/>
      <w:bCs w:val="0"/>
      <w:color w:val="376092" w:themeColor="accent1" w:themeShade="BF"/>
      <w:kern w:val="0"/>
      <w:szCs w:val="32"/>
    </w:rPr>
  </w:style>
  <w:style w:type="character" w:customStyle="1" w:styleId="184">
    <w:name w:val="页眉 字符"/>
    <w:basedOn w:val="32"/>
    <w:link w:val="19"/>
    <w:autoRedefine/>
    <w:semiHidden/>
    <w:qFormat/>
    <w:uiPriority w:val="99"/>
    <w:rPr>
      <w:sz w:val="18"/>
      <w:szCs w:val="18"/>
    </w:rPr>
  </w:style>
  <w:style w:type="character" w:customStyle="1" w:styleId="185">
    <w:name w:val="页脚 字符"/>
    <w:basedOn w:val="32"/>
    <w:link w:val="18"/>
    <w:autoRedefine/>
    <w:qFormat/>
    <w:uiPriority w:val="99"/>
    <w:rPr>
      <w:sz w:val="18"/>
      <w:szCs w:val="18"/>
    </w:rPr>
  </w:style>
  <w:style w:type="paragraph" w:styleId="186">
    <w:name w:val="List Paragraph"/>
    <w:basedOn w:val="1"/>
    <w:autoRedefine/>
    <w:qFormat/>
    <w:uiPriority w:val="99"/>
    <w:pPr>
      <w:ind w:firstLine="420"/>
    </w:pPr>
  </w:style>
  <w:style w:type="character" w:customStyle="1" w:styleId="187">
    <w:name w:val="font21"/>
    <w:basedOn w:val="32"/>
    <w:autoRedefine/>
    <w:qFormat/>
    <w:uiPriority w:val="0"/>
    <w:rPr>
      <w:rFonts w:hint="default" w:ascii="Calibri" w:hAnsi="Calibri" w:cs="Calibri"/>
      <w:color w:val="000000"/>
      <w:sz w:val="20"/>
      <w:szCs w:val="20"/>
      <w:u w:val="none"/>
    </w:rPr>
  </w:style>
  <w:style w:type="character" w:customStyle="1" w:styleId="188">
    <w:name w:val="font11"/>
    <w:basedOn w:val="32"/>
    <w:autoRedefine/>
    <w:qFormat/>
    <w:uiPriority w:val="0"/>
    <w:rPr>
      <w:rFonts w:hint="eastAsia" w:ascii="宋体" w:hAnsi="宋体" w:eastAsia="宋体" w:cs="宋体"/>
      <w:color w:val="000000"/>
      <w:sz w:val="20"/>
      <w:szCs w:val="20"/>
      <w:u w:val="none"/>
    </w:rPr>
  </w:style>
  <w:style w:type="paragraph" w:customStyle="1" w:styleId="189">
    <w:name w:val="hiSoft CMMI Normal"/>
    <w:basedOn w:val="1"/>
    <w:autoRedefine/>
    <w:qFormat/>
    <w:uiPriority w:val="0"/>
    <w:pPr>
      <w:jc w:val="left"/>
    </w:pPr>
    <w:rPr>
      <w:rFonts w:ascii="Arial" w:hAnsi="Arial" w:cs="Arial"/>
      <w:sz w:val="20"/>
      <w:szCs w:val="20"/>
    </w:rPr>
  </w:style>
  <w:style w:type="paragraph" w:customStyle="1" w:styleId="190">
    <w:name w:val="列表段落1"/>
    <w:basedOn w:val="1"/>
    <w:link w:val="191"/>
    <w:autoRedefine/>
    <w:qFormat/>
    <w:uiPriority w:val="34"/>
    <w:pPr>
      <w:ind w:firstLine="420"/>
    </w:pPr>
  </w:style>
  <w:style w:type="character" w:customStyle="1" w:styleId="191">
    <w:name w:val="列表段落 字符"/>
    <w:link w:val="190"/>
    <w:autoRedefine/>
    <w:qFormat/>
    <w:locked/>
    <w:uiPriority w:val="34"/>
    <w:rPr>
      <w:rFonts w:eastAsiaTheme="minorEastAsia" w:cstheme="minorBidi"/>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D0AEA6B-E499-4EEF-98A3-AFBB261C493E}">
  <ds:schemaRefs/>
</ds:datastoreItem>
</file>

<file path=customXml/itemProps2.xml><?xml version="1.0" encoding="utf-8"?>
<ds:datastoreItem xmlns:ds="http://schemas.openxmlformats.org/officeDocument/2006/customXml" ds:itemID="{519BC990-40FD-42B6-B8DA-69B41A76D25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6148</Words>
  <Characters>6284</Characters>
  <Lines>50</Lines>
  <Paragraphs>14</Paragraphs>
  <TotalTime>3</TotalTime>
  <ScaleCrop>false</ScaleCrop>
  <LinksUpToDate>false</LinksUpToDate>
  <CharactersWithSpaces>6304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004</dc:creator>
  <cp:lastModifiedBy>WPS_1625210732</cp:lastModifiedBy>
  <dcterms:modified xsi:type="dcterms:W3CDTF">2024-10-22T04:17:37Z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BAE9655992704457AB15046F86385EE4_13</vt:lpwstr>
  </property>
</Properties>
</file>