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44"/>
        <w:gridCol w:w="8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1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产品名称</w:t>
            </w:r>
          </w:p>
        </w:tc>
        <w:tc>
          <w:tcPr>
            <w:tcW w:w="8004" w:type="dxa"/>
            <w:vAlign w:val="center"/>
          </w:tcPr>
          <w:p>
            <w:pPr>
              <w:keepNext w:val="0"/>
              <w:keepLines w:val="0"/>
              <w:widowControl/>
              <w:suppressLineNumbers w:val="0"/>
              <w:ind w:firstLine="3570" w:firstLineChars="1700"/>
              <w:jc w:val="both"/>
              <w:textAlignment w:val="center"/>
              <w:rPr>
                <w:sz w:val="15"/>
                <w:szCs w:val="18"/>
                <w:vertAlign w:val="baseline"/>
              </w:rPr>
            </w:pPr>
            <w:r>
              <w:rPr>
                <w:rFonts w:hint="eastAsia" w:ascii="宋体" w:hAnsi="宋体" w:eastAsia="宋体" w:cs="宋体"/>
                <w:i w:val="0"/>
                <w:iCs w:val="0"/>
                <w:color w:val="000000"/>
                <w:kern w:val="0"/>
                <w:sz w:val="21"/>
                <w:szCs w:val="21"/>
                <w:u w:val="none"/>
                <w:lang w:val="en-US" w:eastAsia="zh-CN" w:bidi="ar"/>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1</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新式防火服</w:t>
            </w:r>
            <w:r>
              <w:rPr>
                <w:rFonts w:hint="eastAsia" w:ascii="宋体" w:hAnsi="宋体" w:eastAsia="宋体" w:cs="宋体"/>
                <w:i w:val="0"/>
                <w:iCs w:val="0"/>
                <w:color w:val="000000"/>
                <w:kern w:val="0"/>
                <w:sz w:val="20"/>
                <w:szCs w:val="20"/>
                <w:highlight w:val="yellow"/>
                <w:u w:val="none"/>
                <w:lang w:val="en-US" w:eastAsia="zh-CN" w:bidi="ar"/>
              </w:rPr>
              <w:t>（450套）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一、防火服：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1、服装检测依据：GB/T 33536-2017《防护服装森林防火服》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2、符合MA\ilac.MRA\CNAS认证，具备官方防伪查询码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3、面料：采用100%芳纶纤维材料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w:t>
            </w:r>
            <w:r>
              <w:rPr>
                <w:rFonts w:hint="eastAsia"/>
              </w:rPr>
              <w:t>4、面料阻燃性能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续燃时间（s）:经向≤0.1纬向≤0.1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阴燃时间（s）:经向≤0.8 纬向≤0.8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损毁长度（mm）:经向≤28 纬向≤26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熔融、滴落：无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热防护系数TPP：≥332kW·s/ m2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5、洗涤50次后断裂强力：经向≥1400 纬向≥1300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6、洗涤50次后撕破强力：经向≥470 纬向≥280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7、单位面积质量（g/ m2）≤202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8、水洗尺寸变化率：经向≤-2.5% 纬向≤-0.25%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9、热稳定性（260℃±5℃）尺寸变化率：经向≤1% 纬向≤1%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10、甲醛含量：≤20mg/kg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11、PH值：4.0~8.5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12、缝纫线强力：≥18N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13、耐光色牢度：符合（蓝标4级）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14、缝纫线热稳定性：缝纫线在260℃高温中，经5min热稳定试验后，无熔融和烧焦现象。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15、色牢度（耐洗、耐水、耐污渍）：原样变色≥4-5 涤布沾色≥4-5 棉布沾色≥4-5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w:t>
            </w:r>
            <w:r>
              <w:rPr>
                <w:rFonts w:hint="eastAsia"/>
              </w:rPr>
              <w:t>16、反光带阻燃性能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续燃时间（s）:≤0.1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阴燃时间（s）:≤0.8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损毁长度（mm）:≤29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熔融、滴落：无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17、反光带热稳定性：反光带在260℃高温中，经5min热稳定试验后，表面无碳化、脱落现象。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二、防火头盔：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1、符合应急管理部公告2020年第5号，消防救援行业标准XF44-2015《消防头盔》；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2、消防头盔由帽壳、缓冲层、舒适衬垫、佩戴装置、面罩、披肩组成，无附件。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帽壳：a)采用质地坚韧，具有阻燃、防水、绝缘、耐热、耐寒、耐冲击、耐热辐射性能的材料制成；b）帽顶有盘加强结构 ；c)帽壳内表面无高度超出2mm且宽度小于2mm的突出物及尖锐物体；d)帽壳外表面无高度超过5mm的外部突出物；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缓冲层：a)采用能吸收冲击能量，对人体无毒、无刺激性的材料制成；b）形状、规格尺寸适体，佩戴不移动；c)厚度境均匀并覆盖头盔最小保护范围；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舒适衬垫：a)使用体感舒适、吸汗、透气、对人体无毒、无刺激性的材料制成；b)能够保证头盔佩戴的舒适性；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佩戴装置：a)帽箍、帽托和下颏带采用体感舒适，对人体无毒、无刺激性的材料制成；b)下颏带的宽度不小于20mm；c)下颏带能灵活方便地调节长短，保证佩戴头盔牢靠舒适，解脱方便；d)帽箍能在525mm~597mm的头围尺寸灵活方便地调节大小；e)帽箍对应前额的区域有吸汗带，且吸汗带宽度大于帽箍的宽度；f)在施加负载的情况下，能用一只手解开佩戴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面罩：a)采用透光、耐冲击、耐热和耐刮擦的材料制成；b)采用浅色透明；c)面罩伸缩或翻转应灵活，开合过程能随意保持定位。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披肩：a)披肩的缝制线路顺直、整齐、平服、牢固、松紧适宜，明暗线每3cm为12针，包缝线每3cm为9针；b)披肩脱卸方便简捷。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其他要求：安装在头盔上的任何附件均牢固可靠，未通过打孔等损坏帽壳的方式固定，未对头盔的性能带来不利影响或对头盔佩戴者造成伤害。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外观要求：帽壳表面色泽鲜明、光洁、无污渍、气泡、缺损及其他有损外观的缺陷；面罩表面无明显擦伤和打毛痕迹，周边光滑，无棱角；披肩缝制平整，没有脱线、跳针以及破损、污渍等缺陷；头盔各部件的安装牢固、端正，无松脱、没落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3、耐穿透性能：高温处理（在50℃的温度调节箱内放置4h）钢锥不能穿透头盔与头部接触；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4、耐燃烧性能：续燃时间0S，不能发生火焰烧透到帽壳内部的迹象；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冲击吸收性能：a)高温50℃，4h，受到3579N冲击力帽壳无碎片脱落，帽托无损坏和断裂，帽箍和帽壳的连接机构无损坏和断裂；b)低温-28℃，4h，受到2890N冲击力帽壳无碎片脱落，帽托无损坏和断裂，帽箍和帽壳的连接机构无损坏和断裂；c)浸水20℃，4h，受到3124N冲击力帽壳无碎片脱落，帽托无损坏和断裂，帽箍和帽壳的连接机构无损坏和断裂；d)热辐射10kW/m2，辐照3min，受到3055N冲击力帽壳无碎片脱落，帽托无损坏和断裂，帽箍和帽壳的连接机构无损坏和断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6、抗冲击加速度性能（浸水处理20℃，4h）：帽壳顶部163.8gn/0.43ms、帽壳前部541.7gn/0.92ms、帽壳侧部1050.5gn/0.89ms、帽壳后部333.3gn/0.9ms；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7、下颏带和披肩的阻燃性能：下颏带续燃0s，损毁长度≤1.4mm，无熔融、滴落现象；披肩续燃0s，损毁长度经向≤2mm，纬向≤1.8mm，无熔融、滴落现象；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8、面罩阻燃性能：续燃0s，未发生熔融、滴落现象；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耐热性能（260℃，5min）：帽壳与头部无接触，无明显变形；帽箍、帽托、缓冲层、下颏带无明显变形和损坏；帽箍调节装置、下颏带锁紧装置，附件和五金均保持原有功能；头盔的任何部件无燃烧和熔化；面罩无明显变形和损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10、面罩抗冲击性能和抗高速粒子冲击性能：无破碎现象；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11、视野：左右水平视野≥105°，上视野≥7°，下视野≥45°；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12、面罩光学性能：a)球镜度和柱镜度，球镜度≥0.06D、柱镜度≥0.08D；b)球镜度局部变化，4个不同位置的球镜度与参考点偏差≤0.04D；c)棱镜度互差，水平方向棱镜度基底向外≤0.08，垂直方向棱镜度≤0.14；d)面罩透光率≥74.91%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三、手套：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1、符合应急管理部公告2020年第5号，消防救援行业标准XF633-2006《消防员抢险救援防护服装》；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2、阻燃性能：续燃时间经向0s、纬向0s，损毁长度经向≤39mm、纬向≤36mm，无熔融和滴落现象；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w:t>
            </w:r>
            <w:r>
              <w:rPr>
                <w:rFonts w:hint="eastAsia"/>
              </w:rPr>
              <w:t>3、热稳定性能：长方向收缩率≤1.1%，宽方向收缩率≤1.5%，手套在180℃温度下保持5min，表面无变化，且无熔融、熔滴和剥离现象。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4、耐磨性能：在9kPa的压力下，经8000次循环摩擦后不磨穿。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5、耐撕破性能：（背面外层）经向≥1.3X102纬向≥1.0X102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6、抗切割性能≥13.4N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7、抗机械刺穿性能≥74N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8、灵巧性能（徒手控制百分比）≥104%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9、抓握性能≥103%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10、穿戴性能≤8.5s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四、防火靴：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1、符合应急管理部公告2020年第5号，消防救援行业标准XF633-2006《消防员抢险救援防护服装》；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2、靴头性能：耐压力试验左≥16.5mm右≥16.5mm、冲击试验左≥18.5mm右≥18.5mm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w:t>
            </w:r>
            <w:r>
              <w:rPr>
                <w:rFonts w:hint="eastAsia"/>
              </w:rPr>
              <w:t>3、靴帮抗刺穿性能≥121N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4、隔热性能≥8.5℃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5、靴帮耐弯折性能：靴帮材料在经过反复弯折20000次后，无裂纹、松面、掉浆等现象；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6、靴帮耐磨性能：靴帮材料在经过20000次循环摩擦后无磨穿现象；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7、靴帮抗切割性能：靴帮材料经抗切割试验，无割穿；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8、外底耐弯折性能：靴底经过10万次弯折试验，外底裂缝长度≤7mm；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9、防滑性能：右1≥22.5°右2≥22.5°右3≥22.5°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10、靴帮抗辐射热渗透性能：靴帮表面经辐射热通量为10KW/m2，辐照1min后，其内表面温升≤12℃。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11、靴底抗刺穿性能：左1≥964左2≥1004左3≥983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12、阻燃性能：离开火焰无熔融、熔滴或剥离现象；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五、具有火场安全报警功能；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1、要求开机设备进入正常工作状态的时间≤3min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highlight w:val="yellow"/>
                <w:lang w:eastAsia="zh-CN"/>
              </w:rPr>
            </w:pPr>
            <w:r>
              <w:rPr>
                <w:rFonts w:hint="eastAsia"/>
                <w:b/>
                <w:bCs/>
                <w:lang w:val="en-US" w:eastAsia="zh-CN"/>
              </w:rPr>
              <w:t>▲</w:t>
            </w:r>
            <w:r>
              <w:rPr>
                <w:rFonts w:hint="eastAsia"/>
              </w:rPr>
              <w:t>2、报警功能要求：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当CO浓度高于400PPM（百万分之400）和O2浓度低于19.5%时，会触发一级报警，要求有醒目绿色灯光闪烁；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当CO浓度高于800PPM（百万分之800）和O2浓度低于18%时，会触发二级报警，要求具有醒目绿色与红色灯光均闪，并发出蜂鸣声；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4、设备持续工作时间≥8h(一次性充满电使用时间)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5、充电方式：可以使用充电宝充电；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6、可使用手机专用软件，对设备工作数据进行监测。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 设备尺寸≤75(长)*45(宽)*25(高)mm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 设备净重≤ 85g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 佩戴方式：肩夹式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10、每50套森林扑火服配备一套火场安全报警器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六、具有应急救援逃生功能：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1、气瓶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1.1、工作温度℃：-20~+65；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w:t>
            </w:r>
            <w:r>
              <w:rPr>
                <w:rFonts w:hint="eastAsia"/>
              </w:rPr>
              <w:t>1.2、工作压力MPa≥30；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1.3、0.3≤工作容积L≤0.4；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1.4、充装介质：普通空气；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2、软管长度mm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2.1、伸出长度≥380；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2.2、收缩长度≥200。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3、整套器具工作压力MPa≥21；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4、重量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4.1、气瓶重量kg≤0.4；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4.2、整套器具重量kg≤1.1；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5、携带方式：可放置在手臂；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6、减压阀输出压力MPa≤500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7、额定工作压力MPa≥4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8、充气时间min≤1.2（使用空呼吸常用的6.8升气瓶，充满30MPa的气体进行充气，应可以充10只气瓶。）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9、瓶头阀：应有气瓶阀、减压阀、自动供气阀和呼出阀功能，应可与高压气瓶连接使用，工作时直接承受气瓶输出压力，使用时应可以将气瓶内高压气体减压到可供呼吸的低压气体，供使用者吸气，同时可以把使用者呼出的气体通过阀体的低压腔排出阀体之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10、每50套森林扑火服配备一套应急救援逃生器</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rPr>
              <w:t>需提供第三方权威检测机构出具的检测报告予以证明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2</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背负式风力灭火机</w:t>
            </w:r>
            <w:r>
              <w:rPr>
                <w:rFonts w:hint="eastAsia" w:ascii="宋体" w:hAnsi="宋体" w:eastAsia="宋体" w:cs="宋体"/>
                <w:i w:val="0"/>
                <w:iCs w:val="0"/>
                <w:color w:val="auto"/>
                <w:kern w:val="0"/>
                <w:sz w:val="20"/>
                <w:szCs w:val="20"/>
                <w:highlight w:val="yellow"/>
                <w:u w:val="none"/>
                <w:lang w:val="en-US" w:eastAsia="zh-CN" w:bidi="ar"/>
              </w:rPr>
              <w:t>（80台）</w:t>
            </w:r>
          </w:p>
        </w:tc>
        <w:tc>
          <w:tcPr>
            <w:tcW w:w="8004"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color w:val="auto"/>
                <w:highlight w:val="none"/>
                <w:lang w:val="en-US" w:eastAsia="zh-CN"/>
              </w:rPr>
              <w:t>风机符合T/CNFMA B001-2018、GB/T10280-2008规定</w:t>
            </w:r>
            <w:r>
              <w:rPr>
                <w:rFonts w:hint="eastAsia"/>
                <w:color w:val="auto"/>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2、工作方式：背负式</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3、启动方式：手启动</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4、发动机型式：风冷二冲程</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5、排气口温度：≤227℃</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6、发动机温度：化油器进气口温度≤42℃；火花塞座≤232℃</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7、燃油：汽油和二冲程机油的混合油，混合比例25:1。</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8、发动机排量：≥77CC</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9、发动机功率和标定转速≥3.5kW/7000r/min</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10、有效风力灭火距离：≥2.3m</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11、出风口风量：≥0.47m³/s</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12、常温起动时间：≤5s</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13、耳旁噪音：≤100dB（A）</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14、手把振动：≤1.9m/s²</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15、油箱: ≥2.3L</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16、一次加满油连续工作时间≥100min</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17、连续运转可靠性：在标定转速下连续运转首次出现故障时间小于5h,5h后转速下降不超过标定转速的5%。为此启动工作正常。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18、风筒形式：可伸缩式，符合T/CNFMA B001-2018规定。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 xml:space="preserve">19、安全防护不漏油、不漏电。符合GB/T10280-2008规定；  </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20、整体结构：整机背架与发动机之间为弹簧浮点式减震结构；机器主机底部主要采用耐用和防火金属材料；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21、人体工程学设计背带，直接连接在油箱上，降低机器重心，减少使用时液体晃动。同时背带有快速解开按钮，确保防火应急危险场景下迅速松脱。符合T/CNFMA B001-2018规定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22、采用144mm2大面积空滤滤芯，确保复杂环境下进气通畅。</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23、油门操控把手具有防静电功能，可前后180°无级无限调节。</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 xml:space="preserve">24、整机净质量≤9.3kg </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lang w:val="en-US" w:eastAsia="zh-CN"/>
              </w:rPr>
            </w:pPr>
            <w:r>
              <w:rPr>
                <w:color w:val="auto"/>
                <w:highlight w:val="none"/>
                <w:lang w:val="en-US" w:eastAsia="zh-CN"/>
              </w:rPr>
              <w:t>需提供第三方权威检测机构出具的检测报告予以证明。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3</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加油器</w:t>
            </w:r>
            <w:r>
              <w:rPr>
                <w:rStyle w:val="11"/>
                <w:sz w:val="20"/>
                <w:szCs w:val="20"/>
                <w:highlight w:val="yellow"/>
                <w:lang w:val="en-US" w:eastAsia="zh-CN" w:bidi="ar"/>
              </w:rPr>
              <w:t xml:space="preserve"> （</w:t>
            </w:r>
            <w:r>
              <w:rPr>
                <w:rStyle w:val="11"/>
                <w:rFonts w:hint="eastAsia"/>
                <w:sz w:val="20"/>
                <w:szCs w:val="20"/>
                <w:highlight w:val="yellow"/>
                <w:lang w:val="en-US" w:eastAsia="zh-CN" w:bidi="ar"/>
              </w:rPr>
              <w:t>86台</w:t>
            </w:r>
            <w:r>
              <w:rPr>
                <w:rStyle w:val="11"/>
                <w:sz w:val="20"/>
                <w:szCs w:val="20"/>
                <w:highlight w:val="yellow"/>
                <w:lang w:val="en-US" w:eastAsia="zh-CN" w:bidi="ar"/>
              </w:rPr>
              <w:t>）</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 xml:space="preserve">1、便携背负喷射式加油器具有携带方便、加油省力、省时和安全可靠等特点;                                                                                2、该加油器主要由汽油桶、内置式机油桶、加油枪和专用背带等组成;                                                                                      </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3、表面颜色；军绿色。</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主要性能和技术参数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4、油桶汽油容量：≥20L</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 xml:space="preserve">5、机油容量：≥1L;                                                                                                                                  </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6、加油器桶尺寸（长×宽×高）：≥380㎜×200㎜×380㎜;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7、油枪：不锈钢材质 长≥440mm   宽≥130mm;</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8、连接油管：长≤845mm,  直径：≤φ17mm;</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lang w:val="en-US" w:eastAsia="zh-CN"/>
              </w:rPr>
              <w:t>9、整套设备质量：≤5.4kg.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4</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组合工具</w:t>
            </w:r>
            <w:r>
              <w:rPr>
                <w:rFonts w:hint="eastAsia" w:ascii="宋体" w:hAnsi="宋体" w:eastAsia="宋体" w:cs="宋体"/>
                <w:i w:val="0"/>
                <w:iCs w:val="0"/>
                <w:color w:val="000000"/>
                <w:kern w:val="0"/>
                <w:sz w:val="20"/>
                <w:szCs w:val="20"/>
                <w:highlight w:val="yellow"/>
                <w:u w:val="none"/>
                <w:lang w:val="en-US" w:eastAsia="zh-CN" w:bidi="ar"/>
              </w:rPr>
              <w:t>（86套）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背负式使用，背负式行军；采用整体式透气弹力珍珠棉背腰部衬垫，可有效缓解肩部压力，背带和护腰可拆卸，展开后可作为防潮垫使用；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default"/>
                <w:lang w:val="en-US" w:eastAsia="zh-CN"/>
              </w:rPr>
              <w:t>一、</w:t>
            </w:r>
            <w:r>
              <w:rPr>
                <w:rFonts w:hint="eastAsia"/>
                <w:lang w:val="en-US" w:eastAsia="zh-CN"/>
              </w:rPr>
              <w:t>工具箱：</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b/>
                <w:bCs/>
                <w:lang w:val="en-US" w:eastAsia="zh-CN"/>
              </w:rPr>
              <w:t>▲</w:t>
            </w:r>
            <w:r>
              <w:rPr>
                <w:rFonts w:hint="eastAsia"/>
                <w:lang w:val="en-US" w:eastAsia="zh-CN"/>
              </w:rPr>
              <w:t>1、材料：PE塑料（高低压聚乙烯）；</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2、耐热温度℃≥75；</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b/>
                <w:bCs/>
                <w:lang w:val="en-US" w:eastAsia="zh-CN"/>
              </w:rPr>
              <w:t>▲</w:t>
            </w:r>
            <w:r>
              <w:rPr>
                <w:rFonts w:hint="eastAsia"/>
                <w:lang w:val="en-US" w:eastAsia="zh-CN"/>
              </w:rPr>
              <w:t>3、承重Kg≥240；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4、展开长度mm≥1250；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5、外型尺寸（长×宽×高）mm≥660×340×140；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b/>
                <w:bCs/>
                <w:lang w:val="en-US" w:eastAsia="zh-CN"/>
              </w:rPr>
              <w:t>▲</w:t>
            </w:r>
            <w:r>
              <w:rPr>
                <w:rFonts w:hint="eastAsia"/>
                <w:lang w:val="en-US" w:eastAsia="zh-CN"/>
              </w:rPr>
              <w:t>6、净质量kg≤4.5；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7、整备重量Kg≤10；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b/>
                <w:bCs/>
                <w:lang w:val="en-US" w:eastAsia="zh-CN"/>
              </w:rPr>
              <w:t>▲</w:t>
            </w:r>
            <w:r>
              <w:rPr>
                <w:rFonts w:hint="eastAsia"/>
                <w:lang w:val="en-US" w:eastAsia="zh-CN"/>
              </w:rPr>
              <w:t>8、工具摆放形式：工具为嵌入式摆放；</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二、工具：</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1、组合锹：锹板厚度 mm≥1.6；锹面有效尺寸（长×宽）mm≥208×150。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2、组合耙：耙头外形尺寸mm≥170X205；耙齿长mm≥100；耙齿数≥5；</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3、组合头：扑火头材质为阻燃胶条；扑火头胶条数量≥12条；</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4、手锯：有效锯切长度mm≥380；有效锯切最大宽度mm≥100；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5、工具杆：两节钢管连接；每节钢管长度mm≥480；</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6、斧头：斧头刃宽mm≥100；斧头硬度HRC≥55；斧头质量kg≥0.8。</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 xml:space="preserve">7、砍刀：砍刀质量kg≥0.65；刀体长度mm≥230；砍刀硬度HRC≥50。 </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lang w:val="en-US" w:eastAsia="zh-CN"/>
              </w:rPr>
              <w:t>需提供第三方权威检测机构出具的检测报告予以证明。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5</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迷彩作训服</w:t>
            </w:r>
            <w:r>
              <w:rPr>
                <w:rFonts w:hint="eastAsia" w:ascii="宋体" w:hAnsi="宋体" w:eastAsia="宋体" w:cs="宋体"/>
                <w:i w:val="0"/>
                <w:iCs w:val="0"/>
                <w:color w:val="000000"/>
                <w:kern w:val="0"/>
                <w:sz w:val="20"/>
                <w:szCs w:val="20"/>
                <w:highlight w:val="yellow"/>
                <w:u w:val="none"/>
                <w:lang w:val="en-US" w:eastAsia="zh-CN" w:bidi="ar"/>
              </w:rPr>
              <w:t>（450套）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 xml:space="preserve">整套作训服含作训服、作训帽、作训鞋：                                                                                      </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1、</w:t>
            </w:r>
            <w:r>
              <w:rPr>
                <w:lang w:val="en-US" w:eastAsia="zh-CN"/>
              </w:rPr>
              <w:t xml:space="preserve">采用07数码迷彩色面料缝制，特征明显，经过防尘、防褪色特种工艺加工，特殊的处理还避免了作战服装摩擦产生声响，具有更好的隐蔽性，较强的抗撕拉、耐磨性，可适应高强度训练及恶劣环境作战；                                   </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2、</w:t>
            </w:r>
            <w:r>
              <w:rPr>
                <w:lang w:val="en-US" w:eastAsia="zh-CN"/>
              </w:rPr>
              <w:t xml:space="preserve">有森林消防标注和醒目夜光带；前胸、后胸、手臂、腿部有醒目发光材料，左臂有“森林消防”专用臂章，前胸刺绣有“中国森林消防”胸标；反光条总宽度≥5CM,反光部分≥3CM,确保扑火人员的夜间可视度。上衣有五个口袋设计合理，裤子有两个立体口袋设计，有隔热和存储物品作用；                                                        </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rFonts w:hint="eastAsia"/>
                <w:lang w:val="en-US" w:eastAsia="zh-CN"/>
              </w:rPr>
              <w:t>3、</w:t>
            </w:r>
            <w:r>
              <w:rPr>
                <w:lang w:val="en-US" w:eastAsia="zh-CN"/>
              </w:rPr>
              <w:t xml:space="preserve">材质及功能：直贡缎纯棉永久阻燃面料。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rPr>
            </w:pPr>
            <w:r>
              <w:rPr>
                <w:rFonts w:hint="eastAsia"/>
                <w:lang w:val="en-US" w:eastAsia="zh-CN"/>
              </w:rPr>
              <w:t>4、</w:t>
            </w:r>
            <w:r>
              <w:rPr>
                <w:lang w:val="en-US" w:eastAsia="zh-CN"/>
              </w:rPr>
              <w:t>鞋帮采用部队标准压花工艺，防踢，防撞。</w:t>
            </w:r>
            <w:r>
              <w:rPr>
                <w:rFonts w:hint="eastAsia"/>
                <w:highlight w:val="yellow"/>
                <w:lang w:val="en-US" w:eastAsia="zh-CN"/>
              </w:rPr>
              <w:t>具体尺码签订合同时另行约定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6</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迷彩棉大衣</w:t>
            </w:r>
            <w:r>
              <w:rPr>
                <w:rFonts w:hint="eastAsia" w:ascii="宋体" w:hAnsi="宋体" w:eastAsia="宋体" w:cs="宋体"/>
                <w:i w:val="0"/>
                <w:iCs w:val="0"/>
                <w:color w:val="000000"/>
                <w:kern w:val="0"/>
                <w:sz w:val="20"/>
                <w:szCs w:val="20"/>
                <w:highlight w:val="yellow"/>
                <w:u w:val="none"/>
                <w:lang w:val="en-US" w:eastAsia="zh-CN" w:bidi="ar"/>
              </w:rPr>
              <w:t>（450套）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1、多功能防寒大衣，荒漠迷彩色，外层为防水材料；断裂强力≥1200；                                                                           2、具有防风、拒水、透气、柔软、防刮耐磨、不掉色、防寒功能；                                                                                3、活里活套内胆可以拆卸，棉帽、毛领可以拆卸，前胸、后背有反光条，耐磨耐用金属拉链，左前胸有对讲机挂绊；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4、内胆可拆卸，内胆的面料采用防水、防风、透气性能良好的材质，以保持内部的温暖和干燥。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5、迷彩棉大衣抗寒度最低零下40度。</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18"/>
                <w:vertAlign w:val="baseline"/>
              </w:rPr>
            </w:pPr>
            <w:r>
              <w:rPr>
                <w:rFonts w:hint="eastAsia"/>
                <w:highlight w:val="yellow"/>
                <w:lang w:val="en-US" w:eastAsia="zh-CN"/>
              </w:rPr>
              <w:t>具体尺码签订合同时另行约定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5" w:hRule="atLeast"/>
        </w:trPr>
        <w:tc>
          <w:tcPr>
            <w:tcW w:w="630" w:type="dxa"/>
            <w:vAlign w:val="center"/>
          </w:tcPr>
          <w:p>
            <w:pPr>
              <w:keepNext w:val="0"/>
              <w:keepLines w:val="0"/>
              <w:widowControl/>
              <w:suppressLineNumbers w:val="0"/>
              <w:jc w:val="center"/>
              <w:textAlignment w:val="center"/>
              <w:rPr>
                <w:b/>
                <w:bCs/>
                <w:sz w:val="15"/>
                <w:szCs w:val="18"/>
                <w:vertAlign w:val="baseline"/>
              </w:rPr>
            </w:pPr>
            <w:r>
              <w:rPr>
                <w:rFonts w:hint="eastAsia" w:hAnsi="宋体"/>
                <w:bCs/>
                <w:color w:val="auto"/>
                <w:sz w:val="21"/>
                <w:szCs w:val="21"/>
              </w:rPr>
              <w:t>★</w:t>
            </w:r>
            <w:r>
              <w:rPr>
                <w:rFonts w:hint="eastAsia" w:ascii="宋体" w:hAnsi="宋体" w:eastAsia="宋体" w:cs="宋体"/>
                <w:b/>
                <w:bCs/>
                <w:i w:val="0"/>
                <w:iCs w:val="0"/>
                <w:color w:val="000000"/>
                <w:kern w:val="0"/>
                <w:sz w:val="16"/>
                <w:szCs w:val="16"/>
                <w:u w:val="none"/>
                <w:lang w:val="en-US" w:eastAsia="zh-CN" w:bidi="ar"/>
              </w:rPr>
              <w:t>7</w:t>
            </w:r>
          </w:p>
        </w:tc>
        <w:tc>
          <w:tcPr>
            <w:tcW w:w="1144" w:type="dxa"/>
            <w:vAlign w:val="center"/>
          </w:tcPr>
          <w:p>
            <w:pPr>
              <w:keepNext w:val="0"/>
              <w:keepLines w:val="0"/>
              <w:widowControl/>
              <w:suppressLineNumbers w:val="0"/>
              <w:jc w:val="center"/>
              <w:textAlignment w:val="center"/>
              <w:rPr>
                <w:rFonts w:hint="default"/>
                <w:b/>
                <w:bCs/>
                <w:sz w:val="15"/>
                <w:szCs w:val="18"/>
                <w:highlight w:val="yellow"/>
                <w:vertAlign w:val="baseline"/>
                <w:lang w:val="en-US"/>
              </w:rPr>
            </w:pPr>
            <w:r>
              <w:rPr>
                <w:rFonts w:hint="eastAsia" w:ascii="宋体" w:hAnsi="宋体" w:eastAsia="宋体" w:cs="宋体"/>
                <w:b/>
                <w:bCs/>
                <w:i w:val="0"/>
                <w:iCs w:val="0"/>
                <w:color w:val="000000"/>
                <w:kern w:val="0"/>
                <w:sz w:val="16"/>
                <w:szCs w:val="16"/>
                <w:highlight w:val="yellow"/>
                <w:u w:val="none"/>
                <w:lang w:val="en-US" w:eastAsia="zh-CN" w:bidi="ar"/>
              </w:rPr>
              <w:t>超高速涡流喷射风力灭火机（20套）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以涡轮喷气发动机为灭火动力的大功率高效灭火机：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hAnsi="宋体"/>
                <w:bCs/>
                <w:color w:val="auto"/>
                <w:sz w:val="21"/>
                <w:szCs w:val="21"/>
              </w:rPr>
              <w:t>★</w:t>
            </w:r>
            <w:r>
              <w:rPr>
                <w:rFonts w:hint="eastAsia"/>
                <w:b/>
                <w:bCs/>
                <w:lang w:val="en-US" w:eastAsia="zh-CN"/>
              </w:rPr>
              <w:t>1、有效灭火距离（m）：≥14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hAnsi="宋体"/>
                <w:bCs/>
                <w:color w:val="auto"/>
                <w:sz w:val="21"/>
                <w:szCs w:val="21"/>
              </w:rPr>
              <w:t>★</w:t>
            </w:r>
            <w:r>
              <w:rPr>
                <w:rFonts w:hint="eastAsia"/>
                <w:b/>
                <w:bCs/>
                <w:lang w:val="en-US" w:eastAsia="zh-CN"/>
              </w:rPr>
              <w:t>2、出风口风速（m/s）：≥260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3、出风口风量（m³/S）：≥1.5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hAnsi="宋体"/>
                <w:bCs/>
                <w:color w:val="auto"/>
                <w:sz w:val="21"/>
                <w:szCs w:val="21"/>
              </w:rPr>
              <w:t>★</w:t>
            </w:r>
            <w:r>
              <w:rPr>
                <w:rFonts w:hint="eastAsia"/>
                <w:b/>
                <w:bCs/>
                <w:lang w:val="en-US" w:eastAsia="zh-CN"/>
              </w:rPr>
              <w:t>4、启动方式：一键电启动，2档风力调节，位于把手上方，易于操作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5、燃油：柴油与机油混合。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hAnsi="宋体"/>
                <w:bCs/>
                <w:color w:val="auto"/>
                <w:sz w:val="21"/>
                <w:szCs w:val="21"/>
              </w:rPr>
              <w:t>★</w:t>
            </w:r>
            <w:r>
              <w:rPr>
                <w:rFonts w:hint="eastAsia"/>
                <w:b/>
                <w:bCs/>
                <w:lang w:val="en-US" w:eastAsia="zh-CN"/>
              </w:rPr>
              <w:t>6、最高转速（r/min）：≥170000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7、整备质量（kg）：≤5.3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hAnsi="宋体"/>
                <w:bCs/>
                <w:color w:val="auto"/>
                <w:sz w:val="21"/>
                <w:szCs w:val="21"/>
              </w:rPr>
              <w:t>★</w:t>
            </w:r>
            <w:r>
              <w:rPr>
                <w:rFonts w:hint="eastAsia"/>
                <w:b/>
                <w:bCs/>
                <w:lang w:val="en-US" w:eastAsia="zh-CN"/>
              </w:rPr>
              <w:t>8、发动机推力（Kg）：≥8.5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9、起动电池:7.4V LiPo 2500mAh、 9.9V LiFePo4 3000mAh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10、进风口防护：两级可拆卸防护罩。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11、出水口结构：304不锈钢材质，5孔大径流体力学发射性角度喷射，水流性集中，喷射距离远，灭火效果好。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12、进风口结构：两级可拆缷防护罩，便于维护和清理。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13、主机集成部件：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13.1、后把手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2材质：高性能、高强度、高韧性的尼龙P66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结构：一体式成型（其中包含双电池仓，按键操作仓，主板电脑检测仓，Ø12进、出水管，Ø5进、出油管，油泵及专用快接接头）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13.2、ECU主板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燃烧器开启期间ECU将通过关闭燃油泵上的集成电磁阀来命令燃油泵进行自启动，以启动自循环泵运行，供电电压7.4-8.4V</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13.3、PWM系统控制器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调控范围实现0-100%调节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PWM改善输出电压，电流波形，电压利用率最高，效率最优，降低电源系统，谐波畸变率（THD）最小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13.4、油泵：带自吸阀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具有集成多路连接器和Led操作指示灯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14、一次性加油连续工作时间（min）:≥60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15、风筒采用耐高温不锈钢制作，机器使用后立即触摸防护罩不会烫伤。具有发动机高、低速切换按钮和熄火按钮。机身采用工程塑料材质开模注塑成型工艺。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16、检测系统:电子检测屏连接机器自动检测转速，运行时间，运行温度，运行次数，记录调试机器数据。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16.1用于检测最高转速和怠速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16.2每次使用数据监测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16.3可检查点火电磁阀、检查油泵、点火头、电源、发动机信息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16.4可检测发动机最后熄火状态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16.5可检测发动机使用数据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17、充电器：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 xml:space="preserve">17.1、输入电压AC100-240V/DC6.5-30V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17.2、平衡电流≥1600ma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17.3、充放电电压：充电电压0.1~15A   放电电流 0.1~3A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 xml:space="preserve">17.4、充电功率DC325W/AC 自动分配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17.5、外部放电电流1~15A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17.6、放电功率 内部放电15W,外部放电325W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17.7、存储温度-20~60℃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17.8、电池类型：LiPo/LiFe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17.9、显示屏尺寸：28" 320*240   26万色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17.10、外形尺寸：≤110mm*105mm*80mm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18、连续运转可靠性：在标定转速下连续运转首次出现故障时间应不小于4h，4h后转速下降不应超过标定转速的5%。二次起动后应正常工作。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19、整机翻转性能：在标定转速下，自喷射筒轴线水平位置上、下、左、右倾斜90°，各位置停留时间均不小于10s，机器应能正常喷水，且水管连接处和燃油系统不应出现漏水和漏油现象。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20、可调式辅助把手：高强度合金钢材质制作，≤120角度灵活调整角度，可以减轻缓冲力，特别解决了使用过程中弯腰操作的麻烦。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rPr>
            </w:pPr>
            <w:r>
              <w:rPr>
                <w:rFonts w:hint="eastAsia"/>
                <w:b/>
                <w:bCs/>
                <w:lang w:val="en-US" w:eastAsia="zh-CN"/>
              </w:rPr>
              <w:t>需提供第三方权威检测机构出具的检测报告予以证明，“</w:t>
            </w:r>
            <w:r>
              <w:rPr>
                <w:rFonts w:hint="eastAsia" w:hAnsi="宋体"/>
                <w:bCs/>
                <w:color w:val="auto"/>
                <w:sz w:val="21"/>
                <w:szCs w:val="21"/>
              </w:rPr>
              <w:t>★</w:t>
            </w:r>
            <w:r>
              <w:rPr>
                <w:rFonts w:hint="eastAsia"/>
                <w:b/>
                <w:bCs/>
                <w:lang w:val="en-US" w:eastAsia="zh-CN"/>
              </w:rPr>
              <w:t>”标注项为重要指标参数，需在检验报告中体现，否则视为负偏离。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6" w:hRule="atLeast"/>
        </w:trPr>
        <w:tc>
          <w:tcPr>
            <w:tcW w:w="630" w:type="dxa"/>
            <w:vAlign w:val="center"/>
          </w:tcPr>
          <w:p>
            <w:pPr>
              <w:keepNext w:val="0"/>
              <w:keepLines w:val="0"/>
              <w:widowControl/>
              <w:suppressLineNumbers w:val="0"/>
              <w:jc w:val="center"/>
              <w:textAlignment w:val="center"/>
              <w:rPr>
                <w:color w:val="auto"/>
                <w:sz w:val="15"/>
                <w:szCs w:val="18"/>
                <w:vertAlign w:val="baseline"/>
              </w:rPr>
            </w:pPr>
            <w:r>
              <w:rPr>
                <w:rFonts w:hint="eastAsia" w:ascii="宋体" w:hAnsi="宋体" w:eastAsia="宋体" w:cs="宋体"/>
                <w:i w:val="0"/>
                <w:iCs w:val="0"/>
                <w:color w:val="auto"/>
                <w:kern w:val="0"/>
                <w:sz w:val="16"/>
                <w:szCs w:val="16"/>
                <w:u w:val="none"/>
                <w:lang w:val="en-US" w:eastAsia="zh-CN" w:bidi="ar"/>
              </w:rPr>
              <w:t>8</w:t>
            </w:r>
          </w:p>
        </w:tc>
        <w:tc>
          <w:tcPr>
            <w:tcW w:w="1144" w:type="dxa"/>
            <w:vAlign w:val="center"/>
          </w:tcPr>
          <w:p>
            <w:pPr>
              <w:keepNext w:val="0"/>
              <w:keepLines w:val="0"/>
              <w:widowControl/>
              <w:suppressLineNumbers w:val="0"/>
              <w:jc w:val="center"/>
              <w:textAlignment w:val="center"/>
              <w:rPr>
                <w:rFonts w:hint="default"/>
                <w:color w:val="auto"/>
                <w:sz w:val="15"/>
                <w:szCs w:val="18"/>
                <w:vertAlign w:val="baseline"/>
                <w:lang w:val="en-US"/>
              </w:rPr>
            </w:pPr>
            <w:r>
              <w:rPr>
                <w:rFonts w:hint="eastAsia" w:ascii="宋体" w:hAnsi="宋体" w:eastAsia="宋体" w:cs="宋体"/>
                <w:i w:val="0"/>
                <w:iCs w:val="0"/>
                <w:color w:val="auto"/>
                <w:kern w:val="0"/>
                <w:sz w:val="16"/>
                <w:szCs w:val="16"/>
                <w:highlight w:val="yellow"/>
                <w:u w:val="none"/>
                <w:lang w:val="en-US" w:eastAsia="zh-CN" w:bidi="ar"/>
              </w:rPr>
              <w:t>便携式消防水泵（12套）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1、水泵结构：三级离心泵；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2、防腐铝合金泵体与泵叶；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3、发动机型式：单缸二冲程风冷汽油机；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4、点火方式：发动机电子点火；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5、启动方式：电启动/手启动；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6、发动机配有电子超速切断自动复位装置；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7、泵体与发动机组装后，整机质量：≤15kg；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8、发动机动力：≥ 8 马力；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9、水泵进水口径：50mm、出水口径：40mm；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10、化油器空气滤清器有防水装置；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11、可背负和手提；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yellow"/>
                <w:lang w:val="en-US" w:eastAsia="zh-CN"/>
              </w:rPr>
            </w:pPr>
            <w:r>
              <w:rPr>
                <w:rFonts w:hint="eastAsia"/>
                <w:lang w:val="en-US" w:eastAsia="zh-CN"/>
              </w:rPr>
              <w:t>12、</w:t>
            </w:r>
            <w:r>
              <w:rPr>
                <w:rFonts w:hint="eastAsia"/>
                <w:highlight w:val="none"/>
                <w:lang w:val="en-US" w:eastAsia="zh-CN"/>
              </w:rPr>
              <w:t>吸水深度：≥7m；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13、最大扬程：≥170m；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14、最大射程：≥35m；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15、最大流量：≥350L/min；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16、油箱容积：≥15L；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17、一次加油连续工作时间：≥3h；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18、吸水性能：≤10s；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19、启动性能：≤6s；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20、噪音：≤100dB(A)；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21、可无限并联及串联；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22、附件：配件:多功能背架 1个；止逆阀1个；潜头1个；直流水枪1支；开花水枪1支；三通1个；止水钳2把；管接头扳手2把；补漏环2只；引水器1个；进水管组件 1组；油管组件1组；油箱组件1组；配比壶 1个；电启动装置1组；工具包：说明书、合格证、8×10套筒1只、两用起子1只、火花塞1只、火花塞套筒1只。</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lang w:val="en-US" w:eastAsia="zh-CN"/>
              </w:rPr>
              <w:t>需提供第三方权威检测机构出具的检测报告予以证明。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2" w:hRule="atLeast"/>
        </w:trPr>
        <w:tc>
          <w:tcPr>
            <w:tcW w:w="630" w:type="dxa"/>
            <w:vAlign w:val="center"/>
          </w:tcPr>
          <w:p>
            <w:pPr>
              <w:keepNext w:val="0"/>
              <w:keepLines w:val="0"/>
              <w:widowControl/>
              <w:suppressLineNumbers w:val="0"/>
              <w:jc w:val="center"/>
              <w:textAlignment w:val="center"/>
              <w:rPr>
                <w:color w:val="auto"/>
                <w:sz w:val="15"/>
                <w:szCs w:val="18"/>
                <w:vertAlign w:val="baseline"/>
              </w:rPr>
            </w:pPr>
            <w:r>
              <w:rPr>
                <w:rFonts w:hint="eastAsia" w:ascii="宋体" w:hAnsi="宋体" w:eastAsia="宋体" w:cs="宋体"/>
                <w:i w:val="0"/>
                <w:iCs w:val="0"/>
                <w:color w:val="auto"/>
                <w:kern w:val="0"/>
                <w:sz w:val="16"/>
                <w:szCs w:val="16"/>
                <w:u w:val="none"/>
                <w:lang w:val="en-US" w:eastAsia="zh-CN" w:bidi="ar"/>
              </w:rPr>
              <w:t>9</w:t>
            </w:r>
          </w:p>
        </w:tc>
        <w:tc>
          <w:tcPr>
            <w:tcW w:w="1144" w:type="dxa"/>
            <w:vAlign w:val="center"/>
          </w:tcPr>
          <w:p>
            <w:pPr>
              <w:keepNext w:val="0"/>
              <w:keepLines w:val="0"/>
              <w:widowControl/>
              <w:suppressLineNumbers w:val="0"/>
              <w:jc w:val="center"/>
              <w:textAlignment w:val="center"/>
              <w:rPr>
                <w:rFonts w:hint="default"/>
                <w:color w:val="auto"/>
                <w:sz w:val="15"/>
                <w:szCs w:val="18"/>
                <w:vertAlign w:val="baseline"/>
                <w:lang w:val="en-US"/>
              </w:rPr>
            </w:pPr>
            <w:r>
              <w:rPr>
                <w:rFonts w:hint="eastAsia" w:ascii="宋体" w:hAnsi="宋体" w:eastAsia="宋体" w:cs="宋体"/>
                <w:i w:val="0"/>
                <w:iCs w:val="0"/>
                <w:color w:val="auto"/>
                <w:kern w:val="0"/>
                <w:sz w:val="16"/>
                <w:szCs w:val="16"/>
                <w:highlight w:val="yellow"/>
                <w:u w:val="none"/>
                <w:lang w:val="en-US" w:eastAsia="zh-CN" w:bidi="ar"/>
              </w:rPr>
              <w:t>移动式森林防火指挥帐篷（6套）</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移动指挥帐篷：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20㎡帐篷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尺寸：长5.56m,宽3.6m,顶高2.5m,边高1.7m；布料：600D天蓝色PVC涂层津布，防雨，防晒，防腐蚀；中间夹棉层每平米250克，保温效果较好起到冬暖夏凉的效果；杆件：直径38mm,壁厚1.2、接头42mm,壁厚1.5mm的焊接圆形喷塑钢管，表面做防锈处理；产品结构：全框架结构；具抗拉、抗撕裂、耐老化、防雨、防风、防蚊虫等优良性能。双坡面框架式结构，前山墙开一个门，围墙两侧各开两个窗户（窗户工艺采用民用十字带）无玻璃板，有防水围子，支架材料规格为直径 32 mm×壁厚 1.0mm(±0.1mm),高频焊接镀锌圆管，并配有固定绳，铁杆，装配工具等附件，方便安装拆撤使用。顶部十字拉筋处每间多加X拉 筋，地钉为三角铁，正常包装外(不打框架包装)，编织袋包装。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野战指挥箱一套：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1、野战指挥桌6张：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参数包括材质：滚塑专用高密度聚乙烯（LLDPE）;箱体尺寸：650*500*720（±5）mm（长*宽*高）;展开尺寸：1930*500*720（±5）mm（长*宽*高）;展开时间：≤3min;收拢时间：≤3min。使用后可组合为一体，便于携带;重量：40±1kg；颜色：军车绿.表面：亚光表面；折叠桌支架：不锈钢     直径20mm   厚度2mm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环境适应性：使用环境温度：-41℃～46℃，相对湿度≥95%;存储极限温度：-55℃，70℃相对湿度≥95%;指挥椅宽度*坐高*总高：390*490*760（±10）mm；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2、椅子12把：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参数：可以折叠，帆布面料。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3、指挥器材放置柜24个：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参数：可以和野战指挥桌配合使用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4、移动式指挥照明装置1套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4.1.设备采用手提式设计，净重不得超过3kg；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4.2.灯头可实现360°全景照明，功率150w；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4.3.不少于四种档位选择，以满足不同场景的使用需求，正常工作模式下，续航时间不得低于8小时，最低档位续航时间不得低于45小时；                                                                4.4.设备选用分体式锂离子电池组，额定容量不低于4Ah，同时为了方便航空运输，额定瓦时数须在90-100wh之间，重量不得大于1kg；                                              4.5.为了满足更长时间的使用需求，设备电池可插拔可替换，支持直充跟单独充电两种充电模式，单个电池充电时间不得超过2小时；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4.6.设备可通过外接转换器，支持车载12-24V供电；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5、LED照明灯1台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参数：额定功率3.8W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光色：白光</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电源：3000MAH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灯珠：LED+COB</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6、折叠床1个：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 xml:space="preserve">参数：展开规格：200x80x43cm     </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18"/>
                <w:vertAlign w:val="baseline"/>
              </w:rPr>
            </w:pPr>
            <w:r>
              <w:rPr>
                <w:rFonts w:hint="eastAsia"/>
                <w:lang w:val="en-US" w:eastAsia="zh-CN"/>
              </w:rPr>
              <w:t>折后规格：98x80x14cm;床架：军绿色，钢架材质;钢管型号：Q195 管壁厚度1.0mm;床板：军绿色，PE（高密度聚乙烯）吹塑面板;整床净重19KG。包装：纸箱包装，一箱一床。床头距离地面高度60cm，床头：25x25x1.0，床杆料：38x1.0mm，床架横撑：20x20x1.0mm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0" w:type="dxa"/>
            <w:vMerge w:val="restart"/>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10</w:t>
            </w:r>
          </w:p>
        </w:tc>
        <w:tc>
          <w:tcPr>
            <w:tcW w:w="1144" w:type="dxa"/>
            <w:vMerge w:val="restart"/>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野外生存装备（背包、双人帐篷、睡袋、气垫、手电筒、多功能水壶）（450套）</w:t>
            </w:r>
          </w:p>
        </w:tc>
        <w:tc>
          <w:tcPr>
            <w:tcW w:w="80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1、大背包：背包容积：主体容积≥60L，副容积≥24L；可增大容积：≥20L；面料为迷彩沁胶牛津布材料。面料断裂强力N/5cm×10cm：T≥2000；W≥1800。超大的防水、防雨淋包盖。金属背架，弹性钢片，加强型，为外骨骼结构，可拆卸。背带安装在背架上。双肩背负式。背负时，背包上挺，背部透气。最大背包负重：≥60kg。</w:t>
            </w:r>
            <w:r>
              <w:rPr>
                <w:rFonts w:hint="eastAsia"/>
                <w:lang w:val="en-US" w:eastAsia="zh-CN"/>
              </w:rPr>
              <w:t>背包有刺绣“中国单兵装备包”字样和“虎威威”图像标识；缝合强力（N）≥380；拉链耐用度：200次无掉牙，无错牙，无损坏。</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2、双人帐篷：2.1×2.1×1.35m高强度玻璃纤维杆，直径7.9mm外帐</w:t>
            </w:r>
            <w:r>
              <w:rPr>
                <w:highlight w:val="none"/>
                <w:lang w:val="en-US" w:eastAsia="zh-CN"/>
              </w:rPr>
              <w:t>采用190T丛林迷彩布，背面涂银防水层，能有效阻止紫外线的照射。内帐1</w:t>
            </w:r>
            <w:r>
              <w:rPr>
                <w:rFonts w:hint="eastAsia"/>
                <w:highlight w:val="none"/>
                <w:lang w:val="en-US" w:eastAsia="zh-CN"/>
              </w:rPr>
              <w:t>9</w:t>
            </w:r>
            <w:r>
              <w:rPr>
                <w:highlight w:val="none"/>
                <w:lang w:val="en-US" w:eastAsia="zh-CN"/>
              </w:rPr>
              <w:t>0T涤纶，有透气网纱。420D牛津布，内</w:t>
            </w:r>
            <w:r>
              <w:rPr>
                <w:lang w:val="en-US" w:eastAsia="zh-CN"/>
              </w:rPr>
              <w:t>杆材料：高强度玻璃纤维杆；                                                                                                  帐篷底向上抬高10cm，内层“U”型开门，内帐为半圆形，有透气窗。外层“┴”型开门，有三角窗。缝线部压有防水胶条；单独防水小包。配有专用地丁和拉绳</w:t>
            </w:r>
            <w:r>
              <w:rPr>
                <w:rFonts w:hint="eastAsia"/>
                <w:lang w:val="en-US" w:eastAsia="zh-CN"/>
              </w:rPr>
              <w:t>，</w:t>
            </w:r>
            <w:r>
              <w:rPr>
                <w:lang w:val="en-US" w:eastAsia="zh-CN"/>
              </w:rPr>
              <w:t xml:space="preserve">地钉材料：镀锌铁地钉。净重：2.5kg。PU涂层防水500-3000mm＋B3纱网；                                                                                 外账面料：190T防水帐篷布；PU涂层防水500-3000mm;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lang w:val="en-US" w:eastAsia="zh-CN"/>
              </w:rPr>
              <w:t>3、睡袋：</w:t>
            </w:r>
            <w:r>
              <w:rPr>
                <w:rFonts w:hint="eastAsia"/>
                <w:lang w:val="en-US" w:eastAsia="zh-CN"/>
              </w:rPr>
              <w:t>面料材质采用涤纶织物，迷彩色，睡袋含绒量&gt;30%，重量&gt;2.0kg，布料规格230D，经防绒、防水处理；睡袋内带有≥3.5cm防绒隔离布，展开面积＞2.1×1.7米，睡袋折叠后可放在底面直径为32cm、高为54cm的外包装内；睡袋拉锁里面有贴边，拉头处有粘扣；睡袋拉锁设有双拉头，上拉头可拉至脚下，下拉头可拉至任意长度；</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4、气垫：涤丝纺贴合PVC皮料，高弹性海绵，优质织带与插扣；自动充气一体式充气枕可方便的充气</w:t>
            </w:r>
            <w:r>
              <w:rPr>
                <w:rFonts w:hint="eastAsia"/>
                <w:lang w:val="en-US" w:eastAsia="zh-CN"/>
              </w:rPr>
              <w:t>，</w:t>
            </w:r>
            <w:r>
              <w:rPr>
                <w:lang w:val="en-US" w:eastAsia="zh-CN"/>
              </w:rPr>
              <w:t>睡垫上钉制织带，方便捆扎，子母扣设计，每张充气垫拼接使用；短时间内恢复弹力。使用方法：在野外打开气嘴，充气垫自动充气。能防潮防水，跟地上的湿气隔开。规格：190*65*3cm。重量为0.9kg</w:t>
            </w:r>
          </w:p>
          <w:p>
            <w:pPr>
              <w:keepNext w:val="0"/>
              <w:keepLines w:val="0"/>
              <w:pageBreakBefore w:val="0"/>
              <w:widowControl w:val="0"/>
              <w:kinsoku/>
              <w:wordWrap/>
              <w:overflowPunct/>
              <w:topLinePunct w:val="0"/>
              <w:autoSpaceDE/>
              <w:autoSpaceDN/>
              <w:bidi w:val="0"/>
              <w:adjustRightInd/>
              <w:snapToGrid/>
              <w:spacing w:line="360" w:lineRule="auto"/>
              <w:textAlignment w:val="auto"/>
              <w:rPr>
                <w:lang w:val="en-US" w:eastAsia="zh-CN"/>
              </w:rPr>
            </w:pPr>
            <w:r>
              <w:rPr>
                <w:lang w:val="en-US" w:eastAsia="zh-CN"/>
              </w:rPr>
              <w:t>5、多功能水壶：容量：1L；外形尺寸10*15*18cm；重量：560g；壁厚：1.6mm；附件：铝制壶体、壶盖（与壶体相连）、餐盒、餐盒盖、帆布防烫袋。。</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lang w:val="en-US" w:eastAsia="zh-CN"/>
              </w:rPr>
              <w:t>6、强光手电：额定电压DC3.7V额定容量2000mAh额定功率（LED）3W光源（LED）平均使用寿命≥100000h连续放电时间5h（强光）/10h（工作光）/20h（频闪）充电时间5h电池使用寿命≥1000（循环）外形尺寸32×128mm(直径×长度)重量0.13kg 外壳防护等级IP68。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0" w:type="dxa"/>
            <w:vMerge w:val="continue"/>
            <w:vAlign w:val="center"/>
          </w:tcPr>
          <w:p>
            <w:pPr>
              <w:jc w:val="center"/>
              <w:rPr>
                <w:sz w:val="13"/>
                <w:szCs w:val="13"/>
                <w:vertAlign w:val="baseline"/>
              </w:rPr>
            </w:pPr>
          </w:p>
        </w:tc>
        <w:tc>
          <w:tcPr>
            <w:tcW w:w="1144" w:type="dxa"/>
            <w:vMerge w:val="continue"/>
            <w:vAlign w:val="center"/>
          </w:tcPr>
          <w:p>
            <w:pPr>
              <w:jc w:val="center"/>
              <w:rPr>
                <w:sz w:val="13"/>
                <w:szCs w:val="13"/>
                <w:vertAlign w:val="baseline"/>
              </w:rPr>
            </w:pPr>
          </w:p>
        </w:tc>
        <w:tc>
          <w:tcPr>
            <w:tcW w:w="8004" w:type="dxa"/>
            <w:vMerge w:val="continue"/>
            <w:vAlign w:val="center"/>
          </w:tcPr>
          <w:p>
            <w:pPr>
              <w:jc w:val="left"/>
              <w:rPr>
                <w:sz w:val="13"/>
                <w:szCs w:val="1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0" w:type="dxa"/>
            <w:vMerge w:val="continue"/>
            <w:vAlign w:val="center"/>
          </w:tcPr>
          <w:p>
            <w:pPr>
              <w:jc w:val="center"/>
              <w:rPr>
                <w:sz w:val="13"/>
                <w:szCs w:val="13"/>
                <w:vertAlign w:val="baseline"/>
              </w:rPr>
            </w:pPr>
          </w:p>
        </w:tc>
        <w:tc>
          <w:tcPr>
            <w:tcW w:w="1144" w:type="dxa"/>
            <w:vMerge w:val="continue"/>
            <w:vAlign w:val="center"/>
          </w:tcPr>
          <w:p>
            <w:pPr>
              <w:jc w:val="center"/>
              <w:rPr>
                <w:sz w:val="13"/>
                <w:szCs w:val="13"/>
                <w:vertAlign w:val="baseline"/>
              </w:rPr>
            </w:pPr>
          </w:p>
        </w:tc>
        <w:tc>
          <w:tcPr>
            <w:tcW w:w="8004" w:type="dxa"/>
            <w:vMerge w:val="continue"/>
            <w:vAlign w:val="center"/>
          </w:tcPr>
          <w:p>
            <w:pPr>
              <w:jc w:val="left"/>
              <w:rPr>
                <w:sz w:val="13"/>
                <w:szCs w:val="1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0" w:type="dxa"/>
            <w:vMerge w:val="continue"/>
            <w:vAlign w:val="center"/>
          </w:tcPr>
          <w:p>
            <w:pPr>
              <w:jc w:val="center"/>
              <w:rPr>
                <w:sz w:val="13"/>
                <w:szCs w:val="13"/>
                <w:vertAlign w:val="baseline"/>
              </w:rPr>
            </w:pPr>
          </w:p>
        </w:tc>
        <w:tc>
          <w:tcPr>
            <w:tcW w:w="1144" w:type="dxa"/>
            <w:vMerge w:val="continue"/>
            <w:vAlign w:val="center"/>
          </w:tcPr>
          <w:p>
            <w:pPr>
              <w:jc w:val="center"/>
              <w:rPr>
                <w:sz w:val="13"/>
                <w:szCs w:val="13"/>
                <w:vertAlign w:val="baseline"/>
              </w:rPr>
            </w:pPr>
          </w:p>
        </w:tc>
        <w:tc>
          <w:tcPr>
            <w:tcW w:w="8004" w:type="dxa"/>
            <w:vMerge w:val="continue"/>
            <w:vAlign w:val="center"/>
          </w:tcPr>
          <w:p>
            <w:pPr>
              <w:jc w:val="left"/>
              <w:rPr>
                <w:sz w:val="13"/>
                <w:szCs w:val="1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0" w:type="dxa"/>
            <w:vMerge w:val="continue"/>
            <w:vAlign w:val="center"/>
          </w:tcPr>
          <w:p>
            <w:pPr>
              <w:jc w:val="center"/>
              <w:rPr>
                <w:sz w:val="13"/>
                <w:szCs w:val="13"/>
                <w:vertAlign w:val="baseline"/>
              </w:rPr>
            </w:pPr>
          </w:p>
        </w:tc>
        <w:tc>
          <w:tcPr>
            <w:tcW w:w="1144" w:type="dxa"/>
            <w:vMerge w:val="continue"/>
            <w:vAlign w:val="center"/>
          </w:tcPr>
          <w:p>
            <w:pPr>
              <w:jc w:val="center"/>
              <w:rPr>
                <w:sz w:val="13"/>
                <w:szCs w:val="13"/>
                <w:vertAlign w:val="baseline"/>
              </w:rPr>
            </w:pPr>
          </w:p>
        </w:tc>
        <w:tc>
          <w:tcPr>
            <w:tcW w:w="8004" w:type="dxa"/>
            <w:vMerge w:val="continue"/>
            <w:vAlign w:val="center"/>
          </w:tcPr>
          <w:p>
            <w:pPr>
              <w:jc w:val="left"/>
              <w:rPr>
                <w:sz w:val="13"/>
                <w:szCs w:val="1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30" w:type="dxa"/>
            <w:vMerge w:val="continue"/>
            <w:vAlign w:val="center"/>
          </w:tcPr>
          <w:p>
            <w:pPr>
              <w:jc w:val="center"/>
              <w:rPr>
                <w:sz w:val="13"/>
                <w:szCs w:val="13"/>
                <w:vertAlign w:val="baseline"/>
              </w:rPr>
            </w:pPr>
          </w:p>
        </w:tc>
        <w:tc>
          <w:tcPr>
            <w:tcW w:w="1144" w:type="dxa"/>
            <w:vMerge w:val="continue"/>
            <w:vAlign w:val="center"/>
          </w:tcPr>
          <w:p>
            <w:pPr>
              <w:jc w:val="center"/>
              <w:rPr>
                <w:sz w:val="13"/>
                <w:szCs w:val="13"/>
                <w:vertAlign w:val="baseline"/>
              </w:rPr>
            </w:pPr>
          </w:p>
        </w:tc>
        <w:tc>
          <w:tcPr>
            <w:tcW w:w="8004" w:type="dxa"/>
            <w:vMerge w:val="continue"/>
            <w:vAlign w:val="center"/>
          </w:tcPr>
          <w:p>
            <w:pPr>
              <w:jc w:val="left"/>
              <w:rPr>
                <w:sz w:val="13"/>
                <w:szCs w:val="13"/>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6" w:hRule="atLeast"/>
        </w:trPr>
        <w:tc>
          <w:tcPr>
            <w:tcW w:w="630" w:type="dxa"/>
            <w:vAlign w:val="center"/>
          </w:tcPr>
          <w:p>
            <w:pPr>
              <w:keepNext w:val="0"/>
              <w:keepLines w:val="0"/>
              <w:widowControl/>
              <w:suppressLineNumbers w:val="0"/>
              <w:jc w:val="center"/>
              <w:textAlignment w:val="center"/>
              <w:rPr>
                <w:sz w:val="15"/>
                <w:szCs w:val="18"/>
                <w:vertAlign w:val="baseline"/>
              </w:rPr>
            </w:pPr>
            <w:r>
              <w:rPr>
                <w:rFonts w:hint="eastAsia" w:ascii="宋体" w:hAnsi="宋体" w:eastAsia="宋体" w:cs="宋体"/>
                <w:i w:val="0"/>
                <w:iCs w:val="0"/>
                <w:color w:val="000000"/>
                <w:kern w:val="0"/>
                <w:sz w:val="16"/>
                <w:szCs w:val="16"/>
                <w:u w:val="none"/>
                <w:lang w:val="en-US" w:eastAsia="zh-CN" w:bidi="ar"/>
              </w:rPr>
              <w:t>11</w:t>
            </w:r>
          </w:p>
        </w:tc>
        <w:tc>
          <w:tcPr>
            <w:tcW w:w="1144" w:type="dxa"/>
            <w:vAlign w:val="center"/>
          </w:tcPr>
          <w:p>
            <w:pPr>
              <w:keepNext w:val="0"/>
              <w:keepLines w:val="0"/>
              <w:widowControl/>
              <w:suppressLineNumbers w:val="0"/>
              <w:jc w:val="center"/>
              <w:textAlignment w:val="center"/>
              <w:rPr>
                <w:rFonts w:hint="default"/>
                <w:sz w:val="15"/>
                <w:szCs w:val="18"/>
                <w:vertAlign w:val="baseline"/>
                <w:lang w:val="en-US"/>
              </w:rPr>
            </w:pPr>
            <w:r>
              <w:rPr>
                <w:rFonts w:hint="eastAsia" w:ascii="宋体" w:hAnsi="宋体" w:eastAsia="宋体" w:cs="宋体"/>
                <w:i w:val="0"/>
                <w:iCs w:val="0"/>
                <w:color w:val="000000"/>
                <w:kern w:val="0"/>
                <w:sz w:val="16"/>
                <w:szCs w:val="16"/>
                <w:highlight w:val="yellow"/>
                <w:u w:val="none"/>
                <w:lang w:val="en-US" w:eastAsia="zh-CN" w:bidi="ar"/>
              </w:rPr>
              <w:t>火场清理锯（50台）</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bookmarkStart w:id="0" w:name="OLE_LINK2"/>
            <w:r>
              <w:rPr>
                <w:rFonts w:hint="default"/>
                <w:color w:val="auto"/>
                <w:lang w:val="en-US" w:eastAsia="zh-CN"/>
              </w:rPr>
              <w:t>一、</w:t>
            </w:r>
            <w:r>
              <w:rPr>
                <w:rFonts w:hint="eastAsia"/>
                <w:color w:val="auto"/>
                <w:lang w:val="en-US" w:eastAsia="zh-CN"/>
              </w:rPr>
              <w:t>整机：</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1、便携式</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2、发动机型式：二冲程，风冷。</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3、常温起动性能≤11s</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4、锯切效率≥80cm²/s</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5、锯切燃油消耗率≤79g/m²</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6、主机比质量≤2.5kg/kW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7、发动机最大功率：≥3.8KW</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8、发动机最低燃油消耗率≤542g/kW.h</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9、耳旁噪音≤105dB(A)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10、手感振动≤9.8m/s²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11、排量≥73cm³</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12、启动方式：电启动和手启动。</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13、电启动器要求：涡流罩为金属材质且手启动的启动轮必须为铝合金材质，内置式启动弹簧。电启动在启动发动机时不可用齿轮作为启动媒介。通过电启动专用装置的启动端子插入涡流罩启动器的电启动辅助功能件直接驱动曲轴上的启动端子旋转从而启动机器。油锯能用自带的发动机产生的电能为手机充电，并可通过连接线提供照明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14、锯链规格：404吋，32刀节。</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15、导板长度≥450MM</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16、每10机器配备一组电启动专用装置</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二、电启动装置要求：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(1)形式：便携式</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(2)连接装置：工业接头、插座</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lang w:val="en-US" w:eastAsia="zh-CN"/>
              </w:rPr>
            </w:pPr>
            <w:r>
              <w:rPr>
                <w:rFonts w:hint="eastAsia"/>
                <w:color w:val="auto"/>
                <w:lang w:val="en-US" w:eastAsia="zh-CN"/>
              </w:rPr>
              <w:t>(3电池要求：6Ah、12V，充电时间4~6h，充满工作次数≥50</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color w:val="auto"/>
                <w:lang w:val="en-US" w:eastAsia="zh-CN"/>
              </w:rPr>
              <w:t>需提供第三方权威检测机构出具的检测报告予以证明。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7" w:hRule="atLeast"/>
        </w:trPr>
        <w:tc>
          <w:tcPr>
            <w:tcW w:w="630" w:type="dxa"/>
            <w:vAlign w:val="center"/>
          </w:tcPr>
          <w:p>
            <w:pPr>
              <w:keepNext w:val="0"/>
              <w:keepLines w:val="0"/>
              <w:widowControl/>
              <w:suppressLineNumbers w:val="0"/>
              <w:jc w:val="center"/>
              <w:textAlignment w:val="center"/>
              <w:rPr>
                <w:color w:val="auto"/>
                <w:sz w:val="15"/>
                <w:szCs w:val="18"/>
                <w:vertAlign w:val="baseline"/>
              </w:rPr>
            </w:pPr>
            <w:r>
              <w:rPr>
                <w:rFonts w:hint="eastAsia" w:ascii="宋体" w:hAnsi="宋体" w:eastAsia="宋体" w:cs="宋体"/>
                <w:i w:val="0"/>
                <w:iCs w:val="0"/>
                <w:color w:val="auto"/>
                <w:kern w:val="0"/>
                <w:sz w:val="16"/>
                <w:szCs w:val="16"/>
                <w:u w:val="none"/>
                <w:lang w:val="en-US" w:eastAsia="zh-CN" w:bidi="ar"/>
              </w:rPr>
              <w:t>12</w:t>
            </w:r>
          </w:p>
        </w:tc>
        <w:tc>
          <w:tcPr>
            <w:tcW w:w="1144" w:type="dxa"/>
            <w:vAlign w:val="center"/>
          </w:tcPr>
          <w:p>
            <w:pPr>
              <w:keepNext w:val="0"/>
              <w:keepLines w:val="0"/>
              <w:widowControl/>
              <w:suppressLineNumbers w:val="0"/>
              <w:jc w:val="center"/>
              <w:textAlignment w:val="center"/>
              <w:rPr>
                <w:rFonts w:hint="default"/>
                <w:color w:val="auto"/>
                <w:sz w:val="15"/>
                <w:szCs w:val="18"/>
                <w:vertAlign w:val="baseline"/>
                <w:lang w:val="en-US"/>
              </w:rPr>
            </w:pPr>
            <w:r>
              <w:rPr>
                <w:rFonts w:hint="eastAsia" w:ascii="宋体" w:hAnsi="宋体" w:eastAsia="宋体" w:cs="宋体"/>
                <w:i w:val="0"/>
                <w:iCs w:val="0"/>
                <w:color w:val="auto"/>
                <w:kern w:val="0"/>
                <w:sz w:val="16"/>
                <w:szCs w:val="16"/>
                <w:highlight w:val="yellow"/>
                <w:u w:val="none"/>
                <w:lang w:val="en-US" w:eastAsia="zh-CN" w:bidi="ar"/>
              </w:rPr>
              <w:t>发电机（10台）</w:t>
            </w:r>
          </w:p>
        </w:tc>
        <w:tc>
          <w:tcPr>
            <w:tcW w:w="800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1、相数：单相；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 xml:space="preserve">2、额定输出（kw）：≥2.8；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3、最大输出（KW）：≥3；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4、电压调节方式：AVR调压；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5、电机类型：有刷自励单相同步电机；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6、发动机类型：单缸、四冲程、强制风冷；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7、排量（cc）：≥208；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8、绝缘等级：F Class;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9、缸径×行程（mm):≥70×54;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10、额定转速：≥3000；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11、启动方式：手启动；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12、油箱容量（L）：≥13；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13、连续运转时间：≥6.5h;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14、机油量（L）：0.6；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15、噪音水平（dBA/7m):≤76;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16、燃油损耗率（g/kw.h):≤380;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17、长×宽×高（㎜）：≥590×430×437.5；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18、重量（kg）:≤48.</w:t>
            </w:r>
          </w:p>
        </w:tc>
      </w:tr>
    </w:tbl>
    <w:p>
      <w:pPr>
        <w:sectPr>
          <w:pgSz w:w="11906" w:h="16838"/>
          <w:pgMar w:top="1440" w:right="1800" w:bottom="1440" w:left="1800" w:header="851" w:footer="992" w:gutter="0"/>
          <w:cols w:space="425" w:num="1"/>
          <w:docGrid w:type="lines" w:linePitch="312" w:charSpace="0"/>
        </w:sectPr>
      </w:pPr>
      <w:bookmarkStart w:id="1" w:name="_GoBack"/>
      <w:bookmarkEnd w:id="1"/>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sz w:val="24"/>
          <w:szCs w:val="32"/>
          <w:lang w:val="en-US" w:eastAsia="zh-CN"/>
        </w:rPr>
      </w:pPr>
      <w:r>
        <w:rPr>
          <w:rFonts w:hint="eastAsia"/>
          <w:sz w:val="24"/>
          <w:szCs w:val="32"/>
          <w:lang w:val="en" w:eastAsia="zh-CN"/>
        </w:rPr>
        <w:t>质保期</w:t>
      </w:r>
      <w:r>
        <w:rPr>
          <w:rFonts w:hint="eastAsia"/>
          <w:sz w:val="24"/>
          <w:szCs w:val="32"/>
          <w:lang w:val="en-US" w:eastAsia="zh-CN"/>
        </w:rPr>
        <w:t xml:space="preserve">1年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Light">
    <w:altName w:val="方正书宋_GBK"/>
    <w:panose1 w:val="020B0304030504040204"/>
    <w:charset w:val="88"/>
    <w:family w:val="auto"/>
    <w:pitch w:val="default"/>
    <w:sig w:usb0="00000000" w:usb1="00000000" w:usb2="00000016" w:usb3="00000000" w:csb0="00100009" w:csb1="00000000"/>
  </w:font>
  <w:font w:name="微软雅黑">
    <w:altName w:val="方正黑体_GBK"/>
    <w:panose1 w:val="020B0503020204020204"/>
    <w:charset w:val="86"/>
    <w:family w:val="auto"/>
    <w:pitch w:val="default"/>
    <w:sig w:usb0="00000000" w:usb1="00000000" w:usb2="00000016" w:usb3="00000000" w:csb0="0004001F" w:csb1="00000000"/>
  </w:font>
  <w:font w:name="Arial Unicode MS">
    <w:altName w:val="DejaVu Sans"/>
    <w:panose1 w:val="020B0604020202020204"/>
    <w:charset w:val="86"/>
    <w:family w:val="auto"/>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D626"/>
    <w:multiLevelType w:val="singleLevel"/>
    <w:tmpl w:val="9772D6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YTQ0ZjRlNjk1Yzc1MGZmMTA4M2IxZDMzNjEwZTkifQ=="/>
  </w:docVars>
  <w:rsids>
    <w:rsidRoot w:val="00000000"/>
    <w:rsid w:val="09B72FD5"/>
    <w:rsid w:val="0C95718B"/>
    <w:rsid w:val="0ED80D75"/>
    <w:rsid w:val="12FD7FCA"/>
    <w:rsid w:val="23CC456F"/>
    <w:rsid w:val="2FFA9F1F"/>
    <w:rsid w:val="35F54491"/>
    <w:rsid w:val="3BDA1B87"/>
    <w:rsid w:val="3CCB565A"/>
    <w:rsid w:val="4070745F"/>
    <w:rsid w:val="40842F0A"/>
    <w:rsid w:val="461D5993"/>
    <w:rsid w:val="48BC547C"/>
    <w:rsid w:val="4C324833"/>
    <w:rsid w:val="4C577725"/>
    <w:rsid w:val="4F231E89"/>
    <w:rsid w:val="51986815"/>
    <w:rsid w:val="5A7C5061"/>
    <w:rsid w:val="5BAA6C88"/>
    <w:rsid w:val="6B0635D5"/>
    <w:rsid w:val="6EFF7449"/>
    <w:rsid w:val="72556C23"/>
    <w:rsid w:val="77EF14F8"/>
    <w:rsid w:val="FDDF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hd w:val="clear" w:color="auto" w:fill="FFFFFF"/>
      <w:spacing w:line="624" w:lineRule="exact"/>
      <w:jc w:val="left"/>
    </w:pPr>
    <w:rPr>
      <w:rFonts w:ascii="黑体" w:hAnsi="Courier New" w:eastAsia="黑体" w:cs="Times New Roman"/>
      <w:sz w:val="27"/>
      <w:szCs w:val="27"/>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color w:val="000000"/>
      <w:sz w:val="28"/>
      <w:szCs w:val="28"/>
      <w:u w:val="none"/>
    </w:rPr>
  </w:style>
  <w:style w:type="character" w:customStyle="1" w:styleId="8">
    <w:name w:val="font112"/>
    <w:basedOn w:val="6"/>
    <w:qFormat/>
    <w:uiPriority w:val="0"/>
    <w:rPr>
      <w:rFonts w:hint="eastAsia" w:ascii="Microsoft JhengHei Light" w:hAnsi="Microsoft JhengHei Light" w:eastAsia="Microsoft JhengHei Light" w:cs="Microsoft JhengHei Light"/>
      <w:color w:val="000000"/>
      <w:sz w:val="28"/>
      <w:szCs w:val="28"/>
      <w:u w:val="none"/>
    </w:rPr>
  </w:style>
  <w:style w:type="character" w:customStyle="1" w:styleId="9">
    <w:name w:val="font121"/>
    <w:basedOn w:val="6"/>
    <w:qFormat/>
    <w:uiPriority w:val="0"/>
    <w:rPr>
      <w:rFonts w:hint="eastAsia" w:ascii="Microsoft JhengHei Light" w:hAnsi="Microsoft JhengHei Light" w:eastAsia="Microsoft JhengHei Light" w:cs="Microsoft JhengHei Light"/>
      <w:b/>
      <w:bCs/>
      <w:color w:val="000000"/>
      <w:sz w:val="28"/>
      <w:szCs w:val="28"/>
      <w:u w:val="none"/>
    </w:rPr>
  </w:style>
  <w:style w:type="character" w:customStyle="1" w:styleId="10">
    <w:name w:val="font131"/>
    <w:basedOn w:val="6"/>
    <w:qFormat/>
    <w:uiPriority w:val="0"/>
    <w:rPr>
      <w:rFonts w:hint="eastAsia" w:ascii="宋体" w:hAnsi="宋体" w:eastAsia="宋体" w:cs="宋体"/>
      <w:b/>
      <w:bCs/>
      <w:color w:val="000000"/>
      <w:sz w:val="28"/>
      <w:szCs w:val="28"/>
      <w:u w:val="none"/>
    </w:rPr>
  </w:style>
  <w:style w:type="character" w:customStyle="1" w:styleId="11">
    <w:name w:val="font61"/>
    <w:basedOn w:val="6"/>
    <w:qFormat/>
    <w:uiPriority w:val="0"/>
    <w:rPr>
      <w:rFonts w:hint="eastAsia" w:ascii="Microsoft JhengHei Light" w:hAnsi="Microsoft JhengHei Light" w:eastAsia="Microsoft JhengHei Light" w:cs="Microsoft JhengHei Light"/>
      <w:color w:val="000000"/>
      <w:sz w:val="28"/>
      <w:szCs w:val="28"/>
      <w:u w:val="none"/>
    </w:rPr>
  </w:style>
  <w:style w:type="character" w:customStyle="1" w:styleId="12">
    <w:name w:val="font51"/>
    <w:basedOn w:val="6"/>
    <w:qFormat/>
    <w:uiPriority w:val="0"/>
    <w:rPr>
      <w:rFonts w:hint="eastAsia" w:ascii="宋体" w:hAnsi="宋体" w:eastAsia="宋体" w:cs="宋体"/>
      <w:color w:val="000000"/>
      <w:sz w:val="28"/>
      <w:szCs w:val="28"/>
      <w:u w:val="none"/>
    </w:rPr>
  </w:style>
  <w:style w:type="character" w:customStyle="1" w:styleId="13">
    <w:name w:val="font81"/>
    <w:basedOn w:val="6"/>
    <w:qFormat/>
    <w:uiPriority w:val="0"/>
    <w:rPr>
      <w:rFonts w:hint="eastAsia" w:ascii="宋体" w:hAnsi="宋体" w:eastAsia="宋体" w:cs="宋体"/>
      <w:color w:val="75BD42"/>
      <w:sz w:val="28"/>
      <w:szCs w:val="28"/>
      <w:u w:val="none"/>
    </w:rPr>
  </w:style>
  <w:style w:type="character" w:customStyle="1" w:styleId="14">
    <w:name w:val="font141"/>
    <w:basedOn w:val="6"/>
    <w:qFormat/>
    <w:uiPriority w:val="0"/>
    <w:rPr>
      <w:rFonts w:hint="eastAsia" w:ascii="Microsoft JhengHei Light" w:hAnsi="Microsoft JhengHei Light" w:eastAsia="Microsoft JhengHei Light" w:cs="Microsoft JhengHei Light"/>
      <w:color w:val="75BD42"/>
      <w:sz w:val="28"/>
      <w:szCs w:val="28"/>
      <w:u w:val="none"/>
    </w:rPr>
  </w:style>
  <w:style w:type="character" w:customStyle="1" w:styleId="15">
    <w:name w:val="font101"/>
    <w:basedOn w:val="6"/>
    <w:qFormat/>
    <w:uiPriority w:val="0"/>
    <w:rPr>
      <w:rFonts w:hint="eastAsia" w:ascii="宋体" w:hAnsi="宋体" w:eastAsia="宋体" w:cs="宋体"/>
      <w:color w:val="FF0000"/>
      <w:sz w:val="28"/>
      <w:szCs w:val="28"/>
      <w:u w:val="none"/>
    </w:rPr>
  </w:style>
  <w:style w:type="character" w:customStyle="1" w:styleId="16">
    <w:name w:val="font151"/>
    <w:basedOn w:val="6"/>
    <w:qFormat/>
    <w:uiPriority w:val="0"/>
    <w:rPr>
      <w:rFonts w:hint="eastAsia" w:ascii="Microsoft JhengHei Light" w:hAnsi="Microsoft JhengHei Light" w:eastAsia="Microsoft JhengHei Light" w:cs="Microsoft JhengHei Light"/>
      <w:color w:val="FF0000"/>
      <w:sz w:val="28"/>
      <w:szCs w:val="28"/>
      <w:u w:val="none"/>
    </w:rPr>
  </w:style>
  <w:style w:type="character" w:customStyle="1" w:styleId="17">
    <w:name w:val="font161"/>
    <w:basedOn w:val="6"/>
    <w:qFormat/>
    <w:uiPriority w:val="0"/>
    <w:rPr>
      <w:rFonts w:ascii="Arial" w:hAnsi="Arial" w:cs="Arial"/>
      <w:color w:val="000000"/>
      <w:sz w:val="28"/>
      <w:szCs w:val="28"/>
      <w:u w:val="none"/>
    </w:rPr>
  </w:style>
  <w:style w:type="character" w:customStyle="1" w:styleId="18">
    <w:name w:val="font171"/>
    <w:basedOn w:val="6"/>
    <w:qFormat/>
    <w:uiPriority w:val="0"/>
    <w:rPr>
      <w:rFonts w:ascii="微软雅黑" w:hAnsi="微软雅黑" w:eastAsia="微软雅黑" w:cs="微软雅黑"/>
      <w:color w:val="000000"/>
      <w:sz w:val="28"/>
      <w:szCs w:val="28"/>
      <w:u w:val="none"/>
    </w:rPr>
  </w:style>
  <w:style w:type="character" w:customStyle="1" w:styleId="19">
    <w:name w:val="font181"/>
    <w:basedOn w:val="6"/>
    <w:qFormat/>
    <w:uiPriority w:val="0"/>
    <w:rPr>
      <w:rFonts w:ascii="Arial Unicode MS" w:hAnsi="Arial Unicode MS" w:eastAsia="Arial Unicode MS" w:cs="Arial Unicode MS"/>
      <w:color w:val="000000"/>
      <w:sz w:val="28"/>
      <w:szCs w:val="28"/>
      <w:u w:val="none"/>
    </w:rPr>
  </w:style>
  <w:style w:type="character" w:customStyle="1" w:styleId="20">
    <w:name w:val="font191"/>
    <w:basedOn w:val="6"/>
    <w:qFormat/>
    <w:uiPriority w:val="0"/>
    <w:rPr>
      <w:rFonts w:hint="default" w:ascii="Arial" w:hAnsi="Arial" w:cs="Arial"/>
      <w:color w:val="FF0000"/>
      <w:sz w:val="28"/>
      <w:szCs w:val="28"/>
      <w:u w:val="none"/>
    </w:rPr>
  </w:style>
  <w:style w:type="character" w:customStyle="1" w:styleId="21">
    <w:name w:val="font201"/>
    <w:basedOn w:val="6"/>
    <w:qFormat/>
    <w:uiPriority w:val="0"/>
    <w:rPr>
      <w:rFonts w:ascii="宋体" w:hAnsi="宋体" w:eastAsia="宋体" w:cs="宋体"/>
      <w:color w:val="FF0000"/>
      <w:sz w:val="28"/>
      <w:szCs w:val="28"/>
      <w:u w:val="none"/>
    </w:rPr>
  </w:style>
  <w:style w:type="paragraph" w:customStyle="1" w:styleId="22">
    <w:name w:val="List Paragraph"/>
    <w:basedOn w:val="1"/>
    <w:qFormat/>
    <w:uiPriority w:val="34"/>
    <w:pPr>
      <w:ind w:firstLine="420" w:firstLineChars="200"/>
    </w:pPr>
    <w:rPr>
      <w:rFonts w:ascii="Calibri" w:hAnsi="Calibri" w:cs="Times New Roman"/>
      <w:kern w:val="2"/>
      <w:sz w:val="21"/>
      <w:szCs w:val="24"/>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8616</Words>
  <Characters>10419</Characters>
  <Lines>0</Lines>
  <Paragraphs>0</Paragraphs>
  <TotalTime>14</TotalTime>
  <ScaleCrop>false</ScaleCrop>
  <LinksUpToDate>false</LinksUpToDate>
  <CharactersWithSpaces>11870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2024-05-25T10:30:00Z</dcterms:created>
  <dc:creator>£YL  J</dc:creator>
  <cp:lastModifiedBy>ak</cp:lastModifiedBy>
  <dcterms:modified xsi:type="dcterms:W3CDTF">2024-06-20T18:37:02Z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1A0D8E7761F249CB93E03019BC58BC4F_13</vt:lpwstr>
  </property>
</Properties>
</file>