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8323"/>
      </w:tblGrid>
      <w:tr w14:paraId="1E85F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20" w:type="dxa"/>
            <w:gridSpan w:val="2"/>
            <w:vAlign w:val="center"/>
          </w:tcPr>
          <w:p w14:paraId="6E65C9C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淋浴车</w:t>
            </w:r>
            <w:r>
              <w:rPr>
                <w:rFonts w:hint="eastAsia" w:ascii="宋体" w:hAnsi="宋体" w:cs="宋体"/>
                <w:sz w:val="24"/>
              </w:rPr>
              <w:t>技术参数</w:t>
            </w:r>
          </w:p>
        </w:tc>
      </w:tr>
      <w:tr w14:paraId="47982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20" w:type="dxa"/>
            <w:gridSpan w:val="2"/>
            <w:vAlign w:val="center"/>
          </w:tcPr>
          <w:p w14:paraId="31990791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▲车辆公告：投标时需提供国家工信部“淋浴车”公告；</w:t>
            </w:r>
          </w:p>
        </w:tc>
      </w:tr>
      <w:tr w14:paraId="5D7D5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8820" w:type="dxa"/>
            <w:gridSpan w:val="2"/>
            <w:vAlign w:val="center"/>
          </w:tcPr>
          <w:p w14:paraId="2BE07B94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（一）整车参数要求</w:t>
            </w:r>
          </w:p>
        </w:tc>
      </w:tr>
      <w:tr w14:paraId="3CE4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3CBD000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323" w:type="dxa"/>
            <w:vAlign w:val="center"/>
          </w:tcPr>
          <w:p w14:paraId="578D43FF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整车</w:t>
            </w:r>
            <w:r>
              <w:rPr>
                <w:rFonts w:hint="eastAsia" w:ascii="宋体" w:hAnsi="宋体" w:cs="宋体"/>
                <w:sz w:val="24"/>
                <w:lang w:val="zh-CN"/>
              </w:rPr>
              <w:t>尺寸：长×宽×高：≥10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lang w:val="zh-CN"/>
              </w:rPr>
              <w:t>00mm×2550mm×39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  <w:lang w:val="zh-CN"/>
              </w:rPr>
              <w:t>0mm；</w:t>
            </w:r>
          </w:p>
        </w:tc>
      </w:tr>
      <w:tr w14:paraId="549E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F106C2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323" w:type="dxa"/>
            <w:vAlign w:val="center"/>
          </w:tcPr>
          <w:p w14:paraId="13122BC2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发动机</w:t>
            </w:r>
            <w:r>
              <w:rPr>
                <w:rFonts w:hint="eastAsia" w:ascii="宋体" w:hAnsi="宋体" w:cs="宋体"/>
                <w:sz w:val="24"/>
              </w:rPr>
              <w:t>最大净</w:t>
            </w:r>
            <w:r>
              <w:rPr>
                <w:rFonts w:hint="eastAsia" w:ascii="宋体" w:hAnsi="宋体" w:cs="宋体"/>
                <w:sz w:val="24"/>
                <w:lang w:val="zh-CN"/>
              </w:rPr>
              <w:t>功率：≥</w:t>
            </w:r>
            <w:r>
              <w:rPr>
                <w:rFonts w:hint="eastAsia" w:ascii="宋体" w:hAnsi="宋体" w:cs="宋体"/>
                <w:sz w:val="24"/>
              </w:rPr>
              <w:t>248KW；（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提供具有CMA和CNAS标识的检测报告佐证）</w:t>
            </w:r>
          </w:p>
        </w:tc>
      </w:tr>
      <w:tr w14:paraId="04BCB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0F24456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323" w:type="dxa"/>
            <w:vAlign w:val="center"/>
          </w:tcPr>
          <w:p w14:paraId="05C3B580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总质量：≥1</w:t>
            </w:r>
            <w:r>
              <w:rPr>
                <w:rFonts w:hint="eastAsia" w:ascii="宋体" w:hAnsi="宋体" w:cs="宋体"/>
                <w:sz w:val="24"/>
              </w:rPr>
              <w:t>80</w:t>
            </w:r>
            <w:r>
              <w:rPr>
                <w:rFonts w:hint="eastAsia" w:ascii="宋体" w:hAnsi="宋体" w:cs="宋体"/>
                <w:sz w:val="24"/>
                <w:lang w:val="zh-CN"/>
              </w:rPr>
              <w:t>00kg</w:t>
            </w:r>
          </w:p>
        </w:tc>
      </w:tr>
      <w:tr w14:paraId="5D1C9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43B9330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323" w:type="dxa"/>
            <w:vAlign w:val="center"/>
          </w:tcPr>
          <w:p w14:paraId="757D7906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排放标准：国VI（国六）标准</w:t>
            </w:r>
          </w:p>
        </w:tc>
      </w:tr>
      <w:tr w14:paraId="2B95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177C78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8323" w:type="dxa"/>
            <w:vAlign w:val="center"/>
          </w:tcPr>
          <w:p w14:paraId="17776DF2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驱动型式：4×2</w:t>
            </w:r>
          </w:p>
        </w:tc>
      </w:tr>
      <w:tr w14:paraId="1473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22616D8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8323" w:type="dxa"/>
            <w:vAlign w:val="center"/>
          </w:tcPr>
          <w:p w14:paraId="2082437D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变速箱：手动</w:t>
            </w:r>
          </w:p>
        </w:tc>
      </w:tr>
      <w:tr w14:paraId="5B09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4613BAD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8323" w:type="dxa"/>
            <w:vAlign w:val="center"/>
          </w:tcPr>
          <w:p w14:paraId="45607594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最高车速：≥</w:t>
            </w:r>
            <w:r>
              <w:rPr>
                <w:rFonts w:hint="eastAsia" w:ascii="宋体" w:hAnsi="宋体" w:cs="宋体"/>
                <w:sz w:val="24"/>
              </w:rPr>
              <w:t>100</w:t>
            </w:r>
            <w:r>
              <w:rPr>
                <w:rFonts w:hint="eastAsia" w:ascii="宋体" w:hAnsi="宋体" w:cs="宋体"/>
                <w:sz w:val="24"/>
                <w:lang w:val="zh-CN"/>
              </w:rPr>
              <w:t>km/h</w:t>
            </w:r>
          </w:p>
        </w:tc>
      </w:tr>
      <w:tr w14:paraId="29A0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C5C845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8323" w:type="dxa"/>
            <w:vAlign w:val="center"/>
          </w:tcPr>
          <w:p w14:paraId="21F1A133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轴距：≥5800mm</w:t>
            </w:r>
          </w:p>
        </w:tc>
      </w:tr>
      <w:tr w14:paraId="6DF0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24B2E74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8323" w:type="dxa"/>
            <w:vAlign w:val="center"/>
          </w:tcPr>
          <w:p w14:paraId="0FE6633D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▲接近角/离去角：≥1</w:t>
            </w:r>
            <w:r>
              <w:rPr>
                <w:rFonts w:hint="eastAsia"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  <w:lang w:val="zh-CN"/>
              </w:rPr>
              <w:t>°/8°</w:t>
            </w:r>
          </w:p>
        </w:tc>
      </w:tr>
      <w:tr w14:paraId="6E8F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0F1B8AF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8323" w:type="dxa"/>
            <w:vAlign w:val="center"/>
          </w:tcPr>
          <w:p w14:paraId="2BBFADA3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安全设备：消防车座椅全部设置安全带，配置钢丝轮胎、胎压监测系统，底盘配置ABS（防抱死制动系统）、 EBS（电控制动系统）和ESP（电子车身稳定系统）。</w:t>
            </w:r>
          </w:p>
        </w:tc>
      </w:tr>
      <w:tr w14:paraId="1E436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2DDFA76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8323" w:type="dxa"/>
            <w:vAlign w:val="center"/>
          </w:tcPr>
          <w:p w14:paraId="0206F4BD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燃油系统：油箱容积≥200L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</w:tr>
      <w:tr w14:paraId="1832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8820" w:type="dxa"/>
            <w:gridSpan w:val="2"/>
            <w:vAlign w:val="center"/>
          </w:tcPr>
          <w:p w14:paraId="1320210E">
            <w:pPr>
              <w:pStyle w:val="9"/>
              <w:spacing w:line="240" w:lineRule="auto"/>
              <w:ind w:firstLine="0" w:firstLineChars="0"/>
              <w:rPr>
                <w:rFonts w:ascii="宋体" w:hAnsi="宋体" w:eastAsia="宋体"/>
                <w:kern w:val="2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kern w:val="2"/>
                <w:sz w:val="24"/>
                <w:lang w:val="zh-CN"/>
              </w:rPr>
              <w:t>（二）驾驶室</w:t>
            </w:r>
          </w:p>
        </w:tc>
      </w:tr>
      <w:tr w14:paraId="3B88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76E4FD62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</w:tcPr>
          <w:p w14:paraId="5803DAE6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平头全金属前翻驾驶室,液压支撑前翻</w:t>
            </w:r>
          </w:p>
        </w:tc>
      </w:tr>
      <w:tr w14:paraId="7D68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781DD177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323" w:type="dxa"/>
            <w:vAlign w:val="center"/>
          </w:tcPr>
          <w:p w14:paraId="364BC938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乘坐人数：≥2人</w:t>
            </w:r>
          </w:p>
        </w:tc>
      </w:tr>
      <w:tr w14:paraId="7A270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497" w:type="dxa"/>
            <w:vAlign w:val="center"/>
          </w:tcPr>
          <w:p w14:paraId="41A1C5FC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323" w:type="dxa"/>
            <w:vAlign w:val="center"/>
          </w:tcPr>
          <w:p w14:paraId="0337E164">
            <w:pPr>
              <w:pStyle w:val="9"/>
              <w:adjustRightInd w:val="0"/>
              <w:spacing w:line="240" w:lineRule="auto"/>
              <w:ind w:firstLine="0" w:firstLineChars="0"/>
              <w:jc w:val="both"/>
              <w:rPr>
                <w:rFonts w:ascii="宋体" w:hAnsi="宋体" w:eastAsia="宋体"/>
                <w:kern w:val="2"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val="zh-CN"/>
              </w:rPr>
              <w:t>驾驶员座椅为气动调节座椅，配置暖风/通风系统，空调系统；乘员室内每个座位加装安全带。</w:t>
            </w:r>
          </w:p>
        </w:tc>
      </w:tr>
      <w:tr w14:paraId="07E14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497" w:type="dxa"/>
            <w:vAlign w:val="center"/>
          </w:tcPr>
          <w:p w14:paraId="0E98AE9D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323" w:type="dxa"/>
          </w:tcPr>
          <w:p w14:paraId="1844E6E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消防车应安装火场通信车载台（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zh-CN"/>
              </w:rPr>
              <w:t>需与采购方单位电台衔接对频</w:t>
            </w: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），驾驶室车载电台电源预留接口，便于充电。配备集 360°全景行车记录仪和定位、导航等多功能一体的智能终端，屏幕尺寸不小于 7 英寸</w:t>
            </w:r>
          </w:p>
        </w:tc>
      </w:tr>
      <w:tr w14:paraId="4731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497" w:type="dxa"/>
            <w:vAlign w:val="center"/>
          </w:tcPr>
          <w:p w14:paraId="6EF823B2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8323" w:type="dxa"/>
            <w:vAlign w:val="center"/>
          </w:tcPr>
          <w:p w14:paraId="340D0DE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警灯系统：警灯须为长排式闪烁全红色、警示声、喊话等功能，警报功率应≥100W，车侧方、后方应安装爆闪灯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zh-CN"/>
              </w:rPr>
              <w:t>。</w:t>
            </w:r>
          </w:p>
        </w:tc>
      </w:tr>
      <w:tr w14:paraId="1421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820" w:type="dxa"/>
            <w:gridSpan w:val="2"/>
            <w:vAlign w:val="center"/>
          </w:tcPr>
          <w:p w14:paraId="5E787692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（三）上装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主功能厢体</w:t>
            </w:r>
          </w:p>
        </w:tc>
      </w:tr>
      <w:tr w14:paraId="035E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97" w:type="dxa"/>
            <w:vAlign w:val="center"/>
          </w:tcPr>
          <w:p w14:paraId="6E090440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  <w:vAlign w:val="center"/>
          </w:tcPr>
          <w:p w14:paraId="7011EEF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▲厢体复合板通过了湿热试验、霉菌试验、盐雾试验并符合 GJB150.9A-2009《军用装备实验室环境试验方法》要求。（提供第三方检测机构出具的产品检测报告复印件加盖公章）</w:t>
            </w:r>
            <w:r>
              <w:rPr>
                <w:rFonts w:hint="eastAsia" w:ascii="宋体" w:hAnsi="宋体" w:cs="宋体"/>
                <w:sz w:val="24"/>
                <w:lang w:val="zh-CN"/>
              </w:rPr>
              <w:t xml:space="preserve">厢体主骨架：整体主骨架采用钢管组焊，形成框架结构，打磨，进行防锈处理。   </w:t>
            </w:r>
          </w:p>
          <w:p w14:paraId="36A7C99F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副骨架：采用钢管焊接珩架结构，打磨，进行磷化防锈处理，喷防锈漆处理。</w:t>
            </w:r>
          </w:p>
          <w:p w14:paraId="1E10ED5D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內/外蒙皮：外蒙皮采用≥</w:t>
            </w:r>
            <w:r>
              <w:rPr>
                <w:rFonts w:hint="eastAsia" w:ascii="宋体" w:hAnsi="宋体" w:cs="宋体"/>
                <w:sz w:val="24"/>
              </w:rPr>
              <w:t>2mm</w:t>
            </w:r>
            <w:r>
              <w:rPr>
                <w:rFonts w:hint="eastAsia" w:ascii="宋体" w:hAnsi="宋体" w:cs="宋体"/>
                <w:sz w:val="24"/>
                <w:lang w:val="zh-CN"/>
              </w:rPr>
              <w:t>铝整板；内蒙皮采用高光玻璃钢板。</w:t>
            </w:r>
          </w:p>
          <w:p w14:paraId="4B8FBEE6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内/外蒙皮与车身骨架采用真空负压技术压合，内部填充保温隔热挤塑板。</w:t>
            </w:r>
          </w:p>
        </w:tc>
      </w:tr>
      <w:tr w14:paraId="5B65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97" w:type="dxa"/>
            <w:vAlign w:val="center"/>
          </w:tcPr>
          <w:p w14:paraId="0796C41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323" w:type="dxa"/>
            <w:vAlign w:val="center"/>
          </w:tcPr>
          <w:p w14:paraId="481AEF68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厢体包边：厢体周围采用易成形的铝合金型材，焊接打磨。</w:t>
            </w:r>
          </w:p>
        </w:tc>
      </w:tr>
      <w:tr w14:paraId="1CF05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497" w:type="dxa"/>
            <w:vAlign w:val="center"/>
          </w:tcPr>
          <w:p w14:paraId="68B7408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323" w:type="dxa"/>
            <w:vAlign w:val="center"/>
          </w:tcPr>
          <w:p w14:paraId="507C99ED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厢门：采用铝合金板，采用两点式门锁，气弹簧支撑。</w:t>
            </w:r>
          </w:p>
        </w:tc>
      </w:tr>
      <w:tr w14:paraId="36C6E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97" w:type="dxa"/>
            <w:vAlign w:val="center"/>
          </w:tcPr>
          <w:p w14:paraId="0E2165D9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4</w:t>
            </w:r>
          </w:p>
        </w:tc>
        <w:tc>
          <w:tcPr>
            <w:tcW w:w="8323" w:type="dxa"/>
            <w:vAlign w:val="center"/>
          </w:tcPr>
          <w:p w14:paraId="420099A5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厢体地板：采用镀锌板打底找平，再铺设氧化花纹铝板。</w:t>
            </w:r>
          </w:p>
        </w:tc>
      </w:tr>
      <w:tr w14:paraId="178A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7B2A8EA4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323" w:type="dxa"/>
            <w:vAlign w:val="center"/>
          </w:tcPr>
          <w:p w14:paraId="0EC888E9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厢体分舱：整车分为设备区，淋浴区和更衣区。</w:t>
            </w:r>
          </w:p>
        </w:tc>
      </w:tr>
      <w:tr w14:paraId="39863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4F4D4FD0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323" w:type="dxa"/>
            <w:vAlign w:val="center"/>
          </w:tcPr>
          <w:p w14:paraId="559ADEC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玻璃窗：上掀式玻璃采光窗，≥</w:t>
            </w:r>
            <w:r>
              <w:rPr>
                <w:rFonts w:hint="eastAsia"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  <w:lang w:val="zh-CN"/>
              </w:rPr>
              <w:t>个。</w:t>
            </w:r>
          </w:p>
        </w:tc>
      </w:tr>
      <w:tr w14:paraId="417B2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4F2D5427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7</w:t>
            </w:r>
          </w:p>
        </w:tc>
        <w:tc>
          <w:tcPr>
            <w:tcW w:w="8323" w:type="dxa"/>
            <w:vAlign w:val="center"/>
          </w:tcPr>
          <w:p w14:paraId="5E6B0307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上车梯：≥2个，踏步防滑设计。驾驶室与车身之间设计上下车顶检修爬梯。</w:t>
            </w:r>
          </w:p>
        </w:tc>
      </w:tr>
      <w:tr w14:paraId="222EE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0" w:type="dxa"/>
            <w:gridSpan w:val="2"/>
            <w:vAlign w:val="center"/>
          </w:tcPr>
          <w:p w14:paraId="696434EE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（四）设备</w:t>
            </w:r>
          </w:p>
        </w:tc>
      </w:tr>
      <w:tr w14:paraId="6308D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17B12E7B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  <w:vAlign w:val="center"/>
          </w:tcPr>
          <w:p w14:paraId="016B89C7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燃油锅炉：≥10万大卡/小时热水量，常压锅炉，含热交换器及附件（按</w:t>
            </w:r>
            <w:r>
              <w:rPr>
                <w:rFonts w:hint="eastAsia"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  <w:lang w:val="zh-CN"/>
              </w:rPr>
              <w:t>人配置）。</w:t>
            </w:r>
          </w:p>
        </w:tc>
      </w:tr>
      <w:tr w14:paraId="1BD84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497" w:type="dxa"/>
            <w:vAlign w:val="center"/>
          </w:tcPr>
          <w:p w14:paraId="18FF3F0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323" w:type="dxa"/>
            <w:vAlign w:val="center"/>
          </w:tcPr>
          <w:p w14:paraId="0C9C7B5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淋浴区制作：含防水处理，花洒、混合阀、香皂盒等淋浴附件；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zh-CN"/>
              </w:rPr>
              <w:t>整个淋浴区排水要设置合理的排水坡度。淋浴区地面应进行防滑处理及设置防滑设施；淋浴区隔断采用可拆卸结构，隔板材质为</w:t>
            </w:r>
            <w:r>
              <w:rPr>
                <w:rFonts w:hint="eastAsia" w:ascii="宋体" w:hAnsi="宋体" w:cs="宋体"/>
                <w:sz w:val="24"/>
              </w:rPr>
              <w:t>pvc，每个淋浴位配备浴帘</w:t>
            </w:r>
            <w:r>
              <w:rPr>
                <w:rFonts w:hint="eastAsia" w:ascii="宋体" w:hAnsi="宋体" w:cs="宋体"/>
                <w:sz w:val="24"/>
                <w:lang w:val="zh-CN"/>
              </w:rPr>
              <w:t>。</w:t>
            </w:r>
          </w:p>
        </w:tc>
      </w:tr>
      <w:tr w14:paraId="79FB4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97" w:type="dxa"/>
            <w:vAlign w:val="center"/>
          </w:tcPr>
          <w:p w14:paraId="4379ADC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4</w:t>
            </w:r>
          </w:p>
        </w:tc>
        <w:tc>
          <w:tcPr>
            <w:tcW w:w="8323" w:type="dxa"/>
            <w:vAlign w:val="center"/>
          </w:tcPr>
          <w:p w14:paraId="6AA66E79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净水箱：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zh-CN"/>
              </w:rPr>
              <w:t>不锈钢材质，防冻处理；容量≥1</w:t>
            </w: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  <w:lang w:val="zh-CN"/>
              </w:rPr>
              <w:t>00L；</w:t>
            </w:r>
          </w:p>
          <w:p w14:paraId="41C12245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配备加水及废水排水管路、配备水囊袋及潜水泵便于野外取水。</w:t>
            </w:r>
          </w:p>
        </w:tc>
      </w:tr>
      <w:tr w14:paraId="53924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2047E3D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323" w:type="dxa"/>
            <w:vAlign w:val="center"/>
          </w:tcPr>
          <w:p w14:paraId="222F3019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保温水箱（热水）：不锈钢材质，保温处理；容量≥</w:t>
            </w:r>
            <w:r>
              <w:rPr>
                <w:rFonts w:hint="eastAsia"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  <w:lang w:val="zh-CN"/>
              </w:rPr>
              <w:t>00L。</w:t>
            </w:r>
          </w:p>
        </w:tc>
      </w:tr>
      <w:tr w14:paraId="6566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97" w:type="dxa"/>
            <w:vAlign w:val="center"/>
          </w:tcPr>
          <w:p w14:paraId="54C569E5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323" w:type="dxa"/>
            <w:vAlign w:val="center"/>
          </w:tcPr>
          <w:p w14:paraId="4646C80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更衣座椅：采用木质更衣座椅并配备皮质坐垫，可供两人以上同时更换衣服；座椅下部安装暖风机。</w:t>
            </w:r>
          </w:p>
        </w:tc>
      </w:tr>
      <w:tr w14:paraId="6AB6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1DBC98D0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7</w:t>
            </w:r>
          </w:p>
        </w:tc>
        <w:tc>
          <w:tcPr>
            <w:tcW w:w="8323" w:type="dxa"/>
            <w:vAlign w:val="center"/>
          </w:tcPr>
          <w:p w14:paraId="6D7A00EF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更衣柜：含衣柜、鞋柜，采用不锈钢材质制作。（按6-8人配置）。</w:t>
            </w:r>
          </w:p>
        </w:tc>
      </w:tr>
      <w:tr w14:paraId="7F972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497" w:type="dxa"/>
            <w:vAlign w:val="center"/>
          </w:tcPr>
          <w:p w14:paraId="0E8A719F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8</w:t>
            </w:r>
          </w:p>
        </w:tc>
        <w:tc>
          <w:tcPr>
            <w:tcW w:w="8323" w:type="dxa"/>
            <w:vAlign w:val="center"/>
          </w:tcPr>
          <w:p w14:paraId="5FD92661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照明系统：场地照明≥4只，车内照明≥8盏、设备舱照明灯≥1只，淋浴舱内照明要求防爆防水雾。</w:t>
            </w:r>
          </w:p>
        </w:tc>
      </w:tr>
      <w:tr w14:paraId="4936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258BD0D8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10</w:t>
            </w:r>
          </w:p>
        </w:tc>
        <w:tc>
          <w:tcPr>
            <w:tcW w:w="8323" w:type="dxa"/>
            <w:vAlign w:val="center"/>
          </w:tcPr>
          <w:p w14:paraId="4C9AB23F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副油箱：大于等于100L，含供油管路。</w:t>
            </w:r>
          </w:p>
        </w:tc>
      </w:tr>
      <w:tr w14:paraId="0E78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20" w:type="dxa"/>
            <w:gridSpan w:val="2"/>
            <w:vAlign w:val="center"/>
          </w:tcPr>
          <w:p w14:paraId="116D1EC8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（五）供电配电设备</w:t>
            </w:r>
          </w:p>
        </w:tc>
      </w:tr>
      <w:tr w14:paraId="137B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03826FFB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  <w:vAlign w:val="center"/>
          </w:tcPr>
          <w:p w14:paraId="5D86424D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蓄电池：容量≥200AH。</w:t>
            </w:r>
          </w:p>
        </w:tc>
      </w:tr>
      <w:tr w14:paraId="655B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08F16F1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323" w:type="dxa"/>
            <w:vAlign w:val="center"/>
          </w:tcPr>
          <w:p w14:paraId="7E83A45C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发电机：额定功率≥3KW。</w:t>
            </w:r>
          </w:p>
        </w:tc>
      </w:tr>
      <w:tr w14:paraId="79517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B3BA7C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3</w:t>
            </w:r>
          </w:p>
        </w:tc>
        <w:tc>
          <w:tcPr>
            <w:tcW w:w="8323" w:type="dxa"/>
            <w:vAlign w:val="center"/>
          </w:tcPr>
          <w:p w14:paraId="06E1664C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配电系统：配有电压表、电流表、及各种主开、分路开关。</w:t>
            </w:r>
          </w:p>
        </w:tc>
      </w:tr>
      <w:tr w14:paraId="3CB46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08D370E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4</w:t>
            </w:r>
          </w:p>
        </w:tc>
        <w:tc>
          <w:tcPr>
            <w:tcW w:w="8323" w:type="dxa"/>
            <w:vAlign w:val="center"/>
          </w:tcPr>
          <w:p w14:paraId="20670D4C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配备全自动智能充电机。</w:t>
            </w:r>
          </w:p>
        </w:tc>
      </w:tr>
      <w:tr w14:paraId="5543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65F5BF06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</w:t>
            </w:r>
          </w:p>
        </w:tc>
        <w:tc>
          <w:tcPr>
            <w:tcW w:w="8323" w:type="dxa"/>
            <w:vAlign w:val="center"/>
          </w:tcPr>
          <w:p w14:paraId="6546C7AD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设置外接口、接地防雷装置、过压过流保护。</w:t>
            </w:r>
          </w:p>
        </w:tc>
      </w:tr>
      <w:tr w14:paraId="7B61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6969A040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6</w:t>
            </w:r>
          </w:p>
        </w:tc>
        <w:tc>
          <w:tcPr>
            <w:tcW w:w="8323" w:type="dxa"/>
            <w:vAlign w:val="center"/>
          </w:tcPr>
          <w:p w14:paraId="65BE4F2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车内外综合布线：采用分类布线原则，含电源线、信号线及接插件。</w:t>
            </w:r>
          </w:p>
        </w:tc>
      </w:tr>
      <w:tr w14:paraId="1C56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97" w:type="dxa"/>
            <w:vAlign w:val="center"/>
          </w:tcPr>
          <w:p w14:paraId="1076F7BD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7</w:t>
            </w:r>
          </w:p>
        </w:tc>
        <w:tc>
          <w:tcPr>
            <w:tcW w:w="8323" w:type="dxa"/>
            <w:vAlign w:val="center"/>
          </w:tcPr>
          <w:p w14:paraId="7AFF37D9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手动电源电缆线盘：电源输入</w:t>
            </w: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  <w:lang w:val="zh-CN"/>
              </w:rPr>
              <w:t>0米电源线缆盘1个，规格为YC 3×</w:t>
            </w:r>
            <w:r>
              <w:rPr>
                <w:rFonts w:hint="eastAsia" w:ascii="宋体" w:hAnsi="宋体" w:cs="宋体"/>
                <w:sz w:val="24"/>
              </w:rPr>
              <w:t>2.5</w:t>
            </w:r>
            <w:r>
              <w:rPr>
                <w:rFonts w:hint="eastAsia" w:ascii="宋体" w:hAnsi="宋体" w:cs="宋体"/>
                <w:sz w:val="24"/>
                <w:lang w:val="zh-CN"/>
              </w:rPr>
              <w:t>mm2，含防爆插头。</w:t>
            </w:r>
          </w:p>
        </w:tc>
      </w:tr>
      <w:tr w14:paraId="0ACB2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20" w:type="dxa"/>
            <w:gridSpan w:val="2"/>
            <w:vAlign w:val="center"/>
          </w:tcPr>
          <w:p w14:paraId="40A292C2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(六)照明系统</w:t>
            </w:r>
          </w:p>
        </w:tc>
      </w:tr>
      <w:tr w14:paraId="187B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1F6B811E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  <w:vAlign w:val="center"/>
          </w:tcPr>
          <w:p w14:paraId="439C95A6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应急照明灯：应急照明采用≥24V</w:t>
            </w:r>
          </w:p>
        </w:tc>
      </w:tr>
      <w:tr w14:paraId="2923A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B47F943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8323" w:type="dxa"/>
            <w:vAlign w:val="center"/>
          </w:tcPr>
          <w:p w14:paraId="2EB5E614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场地照明灯：场地照明灯LED照明灯</w:t>
            </w:r>
          </w:p>
        </w:tc>
      </w:tr>
      <w:tr w14:paraId="40930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20" w:type="dxa"/>
            <w:gridSpan w:val="2"/>
            <w:vAlign w:val="center"/>
          </w:tcPr>
          <w:p w14:paraId="1C8A9E06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(七)灭火设备</w:t>
            </w:r>
          </w:p>
        </w:tc>
      </w:tr>
      <w:tr w14:paraId="1C9D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1C33284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  <w:vAlign w:val="center"/>
          </w:tcPr>
          <w:p w14:paraId="0311F1A2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灭火器：≥2</w:t>
            </w:r>
            <w:r>
              <w:rPr>
                <w:rFonts w:hint="eastAsia" w:ascii="宋体" w:hAnsi="宋体" w:cs="宋体"/>
                <w:sz w:val="24"/>
              </w:rPr>
              <w:t>kg</w:t>
            </w:r>
            <w:r>
              <w:rPr>
                <w:rFonts w:hint="eastAsia" w:ascii="宋体" w:hAnsi="宋体" w:cs="宋体"/>
                <w:sz w:val="24"/>
                <w:lang w:val="zh-CN"/>
              </w:rPr>
              <w:t xml:space="preserve"> ，2个</w:t>
            </w:r>
          </w:p>
        </w:tc>
      </w:tr>
      <w:tr w14:paraId="0F610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8820" w:type="dxa"/>
            <w:gridSpan w:val="2"/>
            <w:vAlign w:val="center"/>
          </w:tcPr>
          <w:p w14:paraId="17334E4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（八)外观</w:t>
            </w:r>
          </w:p>
        </w:tc>
      </w:tr>
      <w:tr w14:paraId="003A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497" w:type="dxa"/>
            <w:vAlign w:val="center"/>
          </w:tcPr>
          <w:p w14:paraId="58DE7C7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  <w:vAlign w:val="center"/>
          </w:tcPr>
          <w:p w14:paraId="013DD8E1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外饰喷漆：选用优质汽车专用漆。</w:t>
            </w:r>
          </w:p>
        </w:tc>
      </w:tr>
      <w:tr w14:paraId="7BDF1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20" w:type="dxa"/>
            <w:gridSpan w:val="2"/>
            <w:vAlign w:val="center"/>
          </w:tcPr>
          <w:p w14:paraId="025E8FA5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（九）随机技术文件</w:t>
            </w:r>
          </w:p>
        </w:tc>
      </w:tr>
      <w:tr w14:paraId="58494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497" w:type="dxa"/>
            <w:vAlign w:val="center"/>
          </w:tcPr>
          <w:p w14:paraId="408AEC55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8323" w:type="dxa"/>
          </w:tcPr>
          <w:p w14:paraId="69495032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（1）底盘使用操作维修手册1份</w:t>
            </w:r>
          </w:p>
          <w:p w14:paraId="3F253A28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（2）整车操作培训视频 U 盘 1 只</w:t>
            </w:r>
          </w:p>
          <w:p w14:paraId="47B9BB2A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（3）服务质保手册1份</w:t>
            </w:r>
          </w:p>
          <w:p w14:paraId="261F381E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（4）底盘证明书(底盘合格证/底盘原产地证明) 1份</w:t>
            </w:r>
          </w:p>
          <w:p w14:paraId="201CB121">
            <w:pPr>
              <w:pStyle w:val="5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（5）检验报告</w:t>
            </w:r>
          </w:p>
        </w:tc>
      </w:tr>
    </w:tbl>
    <w:p w14:paraId="27DFD65E">
      <w:pPr>
        <w:pStyle w:val="5"/>
        <w:tabs>
          <w:tab w:val="left" w:pos="7320"/>
          <w:tab w:val="left" w:pos="8610"/>
        </w:tabs>
        <w:spacing w:line="240" w:lineRule="auto"/>
        <w:ind w:left="0" w:leftChars="0"/>
        <w:rPr>
          <w:rFonts w:ascii="宋体" w:hAnsi="宋体" w:cs="宋体"/>
          <w:sz w:val="22"/>
          <w:szCs w:val="2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TVkMTY3Nzk2MTQ5ODFjMDE5YzA2ZWUyYmJhMTkifQ=="/>
  </w:docVars>
  <w:rsids>
    <w:rsidRoot w:val="006F3569"/>
    <w:rsid w:val="00025DE4"/>
    <w:rsid w:val="00063781"/>
    <w:rsid w:val="00321D1F"/>
    <w:rsid w:val="006639DE"/>
    <w:rsid w:val="006F3569"/>
    <w:rsid w:val="00A15769"/>
    <w:rsid w:val="00CD4CD5"/>
    <w:rsid w:val="00D43712"/>
    <w:rsid w:val="00EA6748"/>
    <w:rsid w:val="04556060"/>
    <w:rsid w:val="066C41D9"/>
    <w:rsid w:val="0AF145C4"/>
    <w:rsid w:val="0C18177B"/>
    <w:rsid w:val="0F6176F0"/>
    <w:rsid w:val="1179618A"/>
    <w:rsid w:val="14706F96"/>
    <w:rsid w:val="164027CC"/>
    <w:rsid w:val="18891C9B"/>
    <w:rsid w:val="1D501FCE"/>
    <w:rsid w:val="1F0E1492"/>
    <w:rsid w:val="23FA1861"/>
    <w:rsid w:val="2611030D"/>
    <w:rsid w:val="284F63F9"/>
    <w:rsid w:val="28607AF7"/>
    <w:rsid w:val="2D090FC0"/>
    <w:rsid w:val="2DAA1EB4"/>
    <w:rsid w:val="2EEA6295"/>
    <w:rsid w:val="375F65B5"/>
    <w:rsid w:val="38C20ECB"/>
    <w:rsid w:val="431E0B2E"/>
    <w:rsid w:val="440116EF"/>
    <w:rsid w:val="46265A48"/>
    <w:rsid w:val="49D960F5"/>
    <w:rsid w:val="49DD5BDD"/>
    <w:rsid w:val="53D031B4"/>
    <w:rsid w:val="553D5212"/>
    <w:rsid w:val="5D515502"/>
    <w:rsid w:val="5ED90201"/>
    <w:rsid w:val="5F204158"/>
    <w:rsid w:val="67473ABD"/>
    <w:rsid w:val="6A716527"/>
    <w:rsid w:val="70C37056"/>
    <w:rsid w:val="71CD2B8F"/>
    <w:rsid w:val="728E35F1"/>
    <w:rsid w:val="733F2FE5"/>
    <w:rsid w:val="742B7B34"/>
    <w:rsid w:val="74D35004"/>
    <w:rsid w:val="7533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sz w:val="24"/>
    </w:rPr>
  </w:style>
  <w:style w:type="paragraph" w:styleId="3">
    <w:name w:val="Block Text"/>
    <w:basedOn w:val="1"/>
    <w:next w:val="1"/>
    <w:qFormat/>
    <w:uiPriority w:val="0"/>
    <w:pPr>
      <w:spacing w:after="120"/>
      <w:ind w:left="1440" w:leftChars="700" w:right="1440" w:rightChars="700"/>
    </w:pPr>
  </w:style>
  <w:style w:type="paragraph" w:styleId="4">
    <w:name w:val="Plain Text"/>
    <w:basedOn w:val="1"/>
    <w:next w:val="1"/>
    <w:unhideWhenUsed/>
    <w:qFormat/>
    <w:uiPriority w:val="0"/>
    <w:rPr>
      <w:rFonts w:ascii="宋体" w:hAnsi="Courier New" w:cs="Courier New"/>
      <w:szCs w:val="21"/>
    </w:rPr>
  </w:style>
  <w:style w:type="paragraph" w:styleId="5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customStyle="1" w:styleId="8">
    <w:name w:val="_Style 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内容样式"/>
    <w:basedOn w:val="1"/>
    <w:qFormat/>
    <w:uiPriority w:val="99"/>
    <w:pPr>
      <w:snapToGrid w:val="0"/>
      <w:spacing w:line="460" w:lineRule="exact"/>
      <w:ind w:firstLine="560" w:firstLineChars="200"/>
      <w:jc w:val="left"/>
    </w:pPr>
    <w:rPr>
      <w:rFonts w:ascii="仿宋_GB2312" w:hAnsi="仿宋_GB2312" w:eastAsia="仿宋_GB2312" w:cs="宋体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3</Pages>
  <Words>1499</Words>
  <Characters>1610</Characters>
  <Lines>14</Lines>
  <Paragraphs>3</Paragraphs>
  <TotalTime>1</TotalTime>
  <ScaleCrop>false</ScaleCrop>
  <LinksUpToDate>false</LinksUpToDate>
  <CharactersWithSpaces>1629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2021-11-24T10:28:00Z</dcterms:created>
  <dc:creator>Administrator</dc:creator>
  <cp:lastModifiedBy>123</cp:lastModifiedBy>
  <cp:lastPrinted>2024-09-24T01:17:34Z</cp:lastPrinted>
  <dcterms:modified xsi:type="dcterms:W3CDTF">2024-09-24T01:18:34Z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2DDC5074907C42D6A1CB5B3C04CF7149</vt:lpwstr>
  </property>
</Properties>
</file>