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159"/>
        <w:tblOverlap w:val="never"/>
        <w:tblW w:w="11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13"/>
        <w:gridCol w:w="1309"/>
        <w:gridCol w:w="737"/>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1213"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评审项目</w:t>
            </w:r>
          </w:p>
        </w:tc>
        <w:tc>
          <w:tcPr>
            <w:tcW w:w="1309"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评分因素</w:t>
            </w:r>
          </w:p>
        </w:tc>
        <w:tc>
          <w:tcPr>
            <w:tcW w:w="737"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分值</w:t>
            </w:r>
          </w:p>
        </w:tc>
        <w:tc>
          <w:tcPr>
            <w:tcW w:w="6994"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5"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13"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投标报价</w:t>
            </w:r>
            <w:r>
              <w:rPr>
                <w:rFonts w:hint="eastAsia" w:ascii="宋体" w:hAnsi="宋体" w:eastAsia="宋体" w:cs="宋体"/>
                <w:color w:val="auto"/>
                <w:sz w:val="24"/>
                <w:szCs w:val="24"/>
                <w:lang w:eastAsia="zh-CN"/>
              </w:rPr>
              <w:t>部分</w:t>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30分）</w:t>
            </w:r>
          </w:p>
        </w:tc>
        <w:tc>
          <w:tcPr>
            <w:tcW w:w="1309"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报价</w:t>
            </w:r>
          </w:p>
        </w:tc>
        <w:tc>
          <w:tcPr>
            <w:tcW w:w="737"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30分</w:t>
            </w:r>
          </w:p>
        </w:tc>
        <w:tc>
          <w:tcPr>
            <w:tcW w:w="6994" w:type="dxa"/>
            <w:noWrap w:val="0"/>
            <w:vAlign w:val="center"/>
          </w:tcPr>
          <w:p>
            <w:pPr>
              <w:pStyle w:val="7"/>
              <w:keepNext w:val="0"/>
              <w:keepLines w:val="0"/>
              <w:pageBreakBefore w:val="0"/>
              <w:kinsoku/>
              <w:wordWrap/>
              <w:overflowPunct/>
              <w:topLinePunct w:val="0"/>
              <w:autoSpaceDE/>
              <w:autoSpaceDN/>
              <w:bidi w:val="0"/>
              <w:spacing w:line="240" w:lineRule="auto"/>
              <w:jc w:val="both"/>
              <w:textAlignment w:val="auto"/>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计算公式如下：</w:t>
            </w:r>
            <w:r>
              <w:rPr>
                <w:rFonts w:hint="eastAsia" w:ascii="宋体" w:hAnsi="宋体" w:cs="宋体"/>
                <w:color w:val="auto"/>
                <w:sz w:val="24"/>
                <w:szCs w:val="24"/>
                <w:lang w:val="en-US" w:eastAsia="zh-CN"/>
              </w:rPr>
              <w:t>投标报价得分=(评标基准价／投标报价)×30</w:t>
            </w:r>
          </w:p>
          <w:p>
            <w:pPr>
              <w:pStyle w:val="7"/>
              <w:keepNext w:val="0"/>
              <w:keepLines w:val="0"/>
              <w:pageBreakBefore w:val="0"/>
              <w:kinsoku/>
              <w:wordWrap/>
              <w:overflowPunct/>
              <w:topLinePunct w:val="0"/>
              <w:autoSpaceDE/>
              <w:autoSpaceDN/>
              <w:bidi w:val="0"/>
              <w:spacing w:line="240" w:lineRule="auto"/>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注：①评标基准价指满足采购文件要求且投标价格最低的投标报价，投标报价指满足采购文件要求的各投标供应商的投标报价。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restar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13" w:type="dxa"/>
            <w:vMerge w:val="restart"/>
            <w:noWrap w:val="0"/>
            <w:vAlign w:val="center"/>
          </w:tcPr>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（45分）</w:t>
            </w:r>
          </w:p>
        </w:tc>
        <w:tc>
          <w:tcPr>
            <w:tcW w:w="1309"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技术参数</w:t>
            </w:r>
          </w:p>
        </w:tc>
        <w:tc>
          <w:tcPr>
            <w:tcW w:w="737"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30分</w:t>
            </w:r>
          </w:p>
        </w:tc>
        <w:tc>
          <w:tcPr>
            <w:tcW w:w="6994" w:type="dxa"/>
            <w:noWrap w:val="0"/>
            <w:vAlign w:val="center"/>
          </w:tcPr>
          <w:p>
            <w:pPr>
              <w:pStyle w:val="7"/>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完全符合招标文件技术参数要求没有负偏离得30分；打“★”号条款为实质性条款，若有任何一条负偏离或不满足则导致投标（响应）无效。打“★”号条款均需提供检测报告复印件加盖公章</w:t>
            </w:r>
            <w:r>
              <w:rPr>
                <w:rFonts w:hint="eastAsia" w:ascii="宋体" w:hAnsi="宋体" w:cs="宋体"/>
                <w:color w:val="auto"/>
                <w:sz w:val="24"/>
                <w:szCs w:val="24"/>
                <w:lang w:val="en-US" w:eastAsia="zh-CN"/>
              </w:rPr>
              <w:t>。</w:t>
            </w:r>
          </w:p>
          <w:p>
            <w:pPr>
              <w:pStyle w:val="7"/>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与招标文件要求有非实质性负偏离的，每偏离一项扣2分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产品技术参数所标示带“▲”的技术参数有负偏离的每项扣3分，扣完为止</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带“▲”的技术参数需提供检测报告复印件加盖公章）；提供性能及参数模糊的，视为不响应招标要求，不得分。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项目实施方案</w:t>
            </w:r>
          </w:p>
        </w:tc>
        <w:tc>
          <w:tcPr>
            <w:tcW w:w="737" w:type="dxa"/>
            <w:noWrap w:val="0"/>
            <w:vAlign w:val="center"/>
          </w:tcPr>
          <w:p>
            <w:pPr>
              <w:pStyle w:val="7"/>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6分</w:t>
            </w:r>
          </w:p>
        </w:tc>
        <w:tc>
          <w:tcPr>
            <w:tcW w:w="6994" w:type="dxa"/>
            <w:noWrap w:val="0"/>
            <w:vAlign w:val="center"/>
          </w:tcPr>
          <w:p>
            <w:pPr>
              <w:pStyle w:val="7"/>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根据提供的项目总体实施方案进行评价，包括安装调试方案、验收方案等进行横向比较打分（0-6分）</w:t>
            </w:r>
            <w:r>
              <w:rPr>
                <w:rFonts w:hint="eastAsia" w:ascii="宋体" w:hAnsi="宋体" w:cs="宋体"/>
                <w:color w:val="auto"/>
                <w:sz w:val="24"/>
                <w:szCs w:val="24"/>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cs="宋体"/>
                <w:color w:val="auto"/>
                <w:sz w:val="24"/>
                <w:szCs w:val="24"/>
              </w:rPr>
            </w:pPr>
            <w:r>
              <w:rPr>
                <w:rFonts w:hint="eastAsia" w:ascii="宋体" w:hAnsi="宋体"/>
                <w:color w:val="auto"/>
                <w:sz w:val="24"/>
                <w:szCs w:val="24"/>
                <w:lang w:eastAsia="zh-CN"/>
              </w:rPr>
              <w:t>质量保证措施</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4分</w:t>
            </w:r>
          </w:p>
        </w:tc>
        <w:tc>
          <w:tcPr>
            <w:tcW w:w="6994" w:type="dxa"/>
            <w:noWrap w:val="0"/>
            <w:vAlign w:val="center"/>
          </w:tcPr>
          <w:p>
            <w:pPr>
              <w:pStyle w:val="7"/>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val="en-US" w:eastAsia="zh-CN"/>
              </w:rPr>
            </w:pPr>
            <w:r>
              <w:rPr>
                <w:rFonts w:hint="eastAsia" w:ascii="宋体" w:hAnsi="宋体"/>
                <w:color w:val="auto"/>
                <w:sz w:val="24"/>
                <w:szCs w:val="24"/>
                <w:lang w:eastAsia="zh-CN"/>
              </w:rPr>
              <w:t>根据投标人提供的质量保证措施由评标委员会进行横向比较打分</w:t>
            </w:r>
            <w:r>
              <w:rPr>
                <w:rFonts w:hint="eastAsia" w:ascii="宋体" w:hAnsi="宋体"/>
                <w:color w:val="auto"/>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0"/>
                <w:sz w:val="24"/>
                <w:szCs w:val="24"/>
                <w:lang w:val="en-US" w:eastAsia="zh-CN" w:bidi="ar-SA"/>
              </w:rPr>
              <w:t>货物安装方案</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5分</w:t>
            </w:r>
          </w:p>
        </w:tc>
        <w:tc>
          <w:tcPr>
            <w:tcW w:w="6994" w:type="dxa"/>
            <w:noWrap w:val="0"/>
            <w:vAlign w:val="center"/>
          </w:tcPr>
          <w:p>
            <w:pPr>
              <w:pStyle w:val="7"/>
              <w:keepNext w:val="0"/>
              <w:keepLines w:val="0"/>
              <w:pageBreakBefore w:val="0"/>
              <w:kinsoku/>
              <w:wordWrap/>
              <w:overflowPunct/>
              <w:topLinePunct w:val="0"/>
              <w:autoSpaceDE/>
              <w:autoSpaceDN/>
              <w:bidi w:val="0"/>
              <w:spacing w:line="240" w:lineRule="auto"/>
              <w:jc w:val="both"/>
              <w:textAlignment w:val="auto"/>
              <w:rPr>
                <w:rFonts w:hint="eastAsia" w:ascii="Tahoma" w:hAnsi="Tahoma" w:eastAsia="宋体" w:cs="Times New Roman"/>
                <w:color w:val="auto"/>
                <w:sz w:val="24"/>
                <w:szCs w:val="24"/>
                <w:lang w:val="en-US" w:eastAsia="zh-CN" w:bidi="ar-SA"/>
              </w:rPr>
            </w:pPr>
            <w:r>
              <w:rPr>
                <w:rFonts w:hint="eastAsia"/>
                <w:color w:val="auto"/>
                <w:sz w:val="24"/>
                <w:szCs w:val="24"/>
                <w:lang w:val="en-US" w:eastAsia="zh-CN"/>
              </w:rPr>
              <w:t>评审委员会针对投标人所投货物的安装方案进行横向比较打分0-5分。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55" w:type="dxa"/>
            <w:vMerge w:val="restart"/>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13" w:type="dxa"/>
            <w:vMerge w:val="restart"/>
            <w:noWrap w:val="0"/>
            <w:vAlign w:val="center"/>
          </w:tcPr>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商务部分</w:t>
            </w:r>
          </w:p>
          <w:p>
            <w:pPr>
              <w:pStyle w:val="7"/>
              <w:keepNext w:val="0"/>
              <w:keepLines w:val="0"/>
              <w:pageBreakBefore w:val="0"/>
              <w:kinsoku/>
              <w:wordWrap/>
              <w:overflowPunct/>
              <w:topLinePunct w:val="0"/>
              <w:autoSpaceDE/>
              <w:autoSpaceDN/>
              <w:bidi w:val="0"/>
              <w:spacing w:line="24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（25分）</w:t>
            </w:r>
          </w:p>
        </w:tc>
        <w:tc>
          <w:tcPr>
            <w:tcW w:w="1309"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业绩要求</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4分</w:t>
            </w:r>
          </w:p>
        </w:tc>
        <w:tc>
          <w:tcPr>
            <w:tcW w:w="6994" w:type="dxa"/>
            <w:noWrap w:val="0"/>
            <w:vAlign w:val="center"/>
          </w:tcPr>
          <w:p>
            <w:pPr>
              <w:pStyle w:val="7"/>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近三年承担过的同类项目每提供1个得1分，最多得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p>
            <w:pPr>
              <w:pStyle w:val="7"/>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rPr>
              <w:t>以上业绩需提供中标通知书或网上中标公示或合同等相关材料作为依据，附相关材料原件扫描件或截图。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sz w:val="24"/>
                <w:szCs w:val="24"/>
                <w:u w:val="none"/>
              </w:rPr>
              <w:t>售后服务</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sz w:val="24"/>
                <w:szCs w:val="24"/>
                <w:u w:val="none"/>
                <w:lang w:val="en-US" w:eastAsia="zh-CN"/>
              </w:rPr>
              <w:t>10分</w:t>
            </w:r>
          </w:p>
        </w:tc>
        <w:tc>
          <w:tcPr>
            <w:tcW w:w="6994" w:type="dxa"/>
            <w:noWrap w:val="0"/>
            <w:vAlign w:val="center"/>
          </w:tcPr>
          <w:p>
            <w:pPr>
              <w:pStyle w:val="3"/>
              <w:keepNext w:val="0"/>
              <w:keepLines w:val="0"/>
              <w:pageBreakBefore w:val="0"/>
              <w:kinsoku/>
              <w:wordWrap/>
              <w:overflowPunct/>
              <w:topLinePunct w:val="0"/>
              <w:autoSpaceDE/>
              <w:autoSpaceDN/>
              <w:bidi w:val="0"/>
              <w:spacing w:line="240" w:lineRule="auto"/>
              <w:jc w:val="both"/>
              <w:textAlignment w:val="auto"/>
              <w:rPr>
                <w:rFonts w:hint="eastAsia"/>
                <w:lang w:val="en-US" w:eastAsia="zh-CN"/>
              </w:rPr>
            </w:pPr>
            <w:r>
              <w:rPr>
                <w:rFonts w:hint="eastAsia"/>
                <w:lang w:val="en-US" w:eastAsia="zh-CN"/>
              </w:rPr>
              <w:t>1、投标时需提供生产厂家针对本项目出具授权书、售后服务承诺函原件扫描，提供得5分。（缺项或不提供的不得分）</w:t>
            </w:r>
          </w:p>
          <w:p>
            <w:pPr>
              <w:pStyle w:val="4"/>
              <w:keepNext w:val="0"/>
              <w:keepLines w:val="0"/>
              <w:pageBreakBefore w:val="0"/>
              <w:kinsoku/>
              <w:wordWrap/>
              <w:overflowPunct/>
              <w:topLinePunct w:val="0"/>
              <w:autoSpaceDE/>
              <w:autoSpaceDN/>
              <w:bidi w:val="0"/>
              <w:spacing w:before="0" w:beforeLines="0" w:after="0" w:afterLines="0" w:line="240" w:lineRule="auto"/>
              <w:jc w:val="both"/>
              <w:textAlignment w:val="auto"/>
              <w:rPr>
                <w:rFonts w:hint="default"/>
                <w:lang w:val="en-US" w:eastAsia="zh-CN"/>
              </w:rPr>
            </w:pPr>
            <w:r>
              <w:rPr>
                <w:rFonts w:hint="default"/>
                <w:b w:val="0"/>
                <w:bCs w:val="0"/>
                <w:color w:val="auto"/>
                <w:sz w:val="24"/>
                <w:szCs w:val="24"/>
                <w:u w:val="none"/>
                <w:lang w:val="en-US" w:eastAsia="zh-CN"/>
              </w:rPr>
              <w:t>2、根据投标人所投产品，针对本项目提出售后服务方案，应包括供货计划、服务计划、售后技术人员配备、应急维修时间承诺、质保期后维修维护方案、硬软件更换和培训计划</w:t>
            </w:r>
            <w:r>
              <w:rPr>
                <w:rFonts w:hint="eastAsia"/>
                <w:b w:val="0"/>
                <w:bCs w:val="0"/>
                <w:color w:val="auto"/>
                <w:sz w:val="24"/>
                <w:szCs w:val="24"/>
                <w:u w:val="none"/>
                <w:lang w:val="en-US" w:eastAsia="zh-CN"/>
              </w:rPr>
              <w:t>等</w:t>
            </w:r>
            <w:r>
              <w:rPr>
                <w:rFonts w:hint="default"/>
                <w:b w:val="0"/>
                <w:bCs w:val="0"/>
                <w:color w:val="auto"/>
                <w:sz w:val="24"/>
                <w:szCs w:val="24"/>
                <w:u w:val="none"/>
                <w:lang w:val="en-US" w:eastAsia="zh-CN"/>
              </w:rPr>
              <w:t>内容，根据方案完整性及优劣程度</w:t>
            </w:r>
            <w:r>
              <w:rPr>
                <w:rFonts w:hint="eastAsia"/>
                <w:b w:val="0"/>
                <w:bCs w:val="0"/>
                <w:color w:val="auto"/>
                <w:sz w:val="24"/>
                <w:szCs w:val="24"/>
                <w:u w:val="none"/>
                <w:lang w:val="en-US" w:eastAsia="zh-CN"/>
              </w:rPr>
              <w:t>综合</w:t>
            </w:r>
            <w:r>
              <w:rPr>
                <w:rFonts w:hint="default"/>
                <w:b w:val="0"/>
                <w:bCs w:val="0"/>
                <w:color w:val="auto"/>
                <w:sz w:val="24"/>
                <w:szCs w:val="24"/>
                <w:u w:val="none"/>
                <w:lang w:val="en-US" w:eastAsia="zh-CN"/>
              </w:rPr>
              <w:t>评分，</w:t>
            </w:r>
            <w:r>
              <w:rPr>
                <w:rFonts w:hint="eastAsia"/>
                <w:b w:val="0"/>
                <w:bCs w:val="0"/>
                <w:color w:val="auto"/>
                <w:sz w:val="24"/>
                <w:szCs w:val="24"/>
                <w:u w:val="none"/>
                <w:lang w:val="en-US" w:eastAsia="zh-CN"/>
              </w:rPr>
              <w:t>0-5</w:t>
            </w:r>
            <w:r>
              <w:rPr>
                <w:rFonts w:hint="default"/>
                <w:b w:val="0"/>
                <w:bCs w:val="0"/>
                <w:color w:val="auto"/>
                <w:sz w:val="24"/>
                <w:szCs w:val="24"/>
                <w:u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55" w:type="dxa"/>
            <w:vMerge w:val="continue"/>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rPr>
            </w:pPr>
          </w:p>
        </w:tc>
        <w:tc>
          <w:tcPr>
            <w:tcW w:w="1213" w:type="dxa"/>
            <w:vMerge w:val="continue"/>
            <w:noWrap w:val="0"/>
            <w:vAlign w:val="center"/>
          </w:tcPr>
          <w:p>
            <w:pPr>
              <w:pStyle w:val="7"/>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lang w:val="en-US" w:eastAsia="zh-CN"/>
              </w:rPr>
            </w:pPr>
          </w:p>
        </w:tc>
        <w:tc>
          <w:tcPr>
            <w:tcW w:w="1309"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企业综合实力</w:t>
            </w:r>
          </w:p>
        </w:tc>
        <w:tc>
          <w:tcPr>
            <w:tcW w:w="737" w:type="dxa"/>
            <w:noWrap w:val="0"/>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11分</w:t>
            </w:r>
          </w:p>
        </w:tc>
        <w:tc>
          <w:tcPr>
            <w:tcW w:w="6994" w:type="dxa"/>
            <w:noWrap w:val="0"/>
            <w:vAlign w:val="center"/>
          </w:tcPr>
          <w:p>
            <w:pPr>
              <w:pStyle w:val="3"/>
              <w:keepNext w:val="0"/>
              <w:keepLines w:val="0"/>
              <w:pageBreakBefore w:val="0"/>
              <w:kinsoku/>
              <w:wordWrap/>
              <w:overflowPunct/>
              <w:topLinePunct w:val="0"/>
              <w:autoSpaceDE/>
              <w:autoSpaceDN/>
              <w:bidi w:val="0"/>
              <w:spacing w:line="240" w:lineRule="auto"/>
              <w:jc w:val="both"/>
              <w:textAlignment w:val="auto"/>
              <w:rPr>
                <w:rFonts w:hint="eastAsia"/>
                <w:lang w:val="en-US" w:eastAsia="zh-CN"/>
              </w:rPr>
            </w:pPr>
            <w:r>
              <w:rPr>
                <w:rFonts w:hint="eastAsia"/>
                <w:lang w:val="en-US" w:eastAsia="zh-CN"/>
              </w:rPr>
              <w:t>1.投标人所投交互式书写屏中的相关技术能力获得市级科学技术进步奖得1分，省级科学技术进步奖得2分，国家级科学技术进步奖得3分，不提供不得分；必须提供奖项复印件加盖厂家公章。</w:t>
            </w:r>
          </w:p>
          <w:p>
            <w:pPr>
              <w:pStyle w:val="3"/>
              <w:keepNext w:val="0"/>
              <w:keepLines w:val="0"/>
              <w:pageBreakBefore w:val="0"/>
              <w:kinsoku/>
              <w:wordWrap/>
              <w:overflowPunct/>
              <w:topLinePunct w:val="0"/>
              <w:autoSpaceDE/>
              <w:autoSpaceDN/>
              <w:bidi w:val="0"/>
              <w:spacing w:line="240" w:lineRule="auto"/>
              <w:jc w:val="both"/>
              <w:textAlignment w:val="auto"/>
              <w:rPr>
                <w:rFonts w:hint="eastAsia"/>
                <w:lang w:val="en-US" w:eastAsia="zh-CN"/>
              </w:rPr>
            </w:pPr>
            <w:r>
              <w:rPr>
                <w:rFonts w:hint="eastAsia"/>
                <w:lang w:val="en-US" w:eastAsia="zh-CN"/>
              </w:rPr>
              <w:t>2.智能交互设备产品和插拔式电脑共同运行下产品平均无故障达到MTBF≥10万小时的计2分，智能交互设备或OPS单独通过故障时间（MTBF）≥100000小时，得1分，不满足不得分。</w:t>
            </w:r>
          </w:p>
          <w:p>
            <w:pPr>
              <w:pStyle w:val="3"/>
              <w:keepNext w:val="0"/>
              <w:keepLines w:val="0"/>
              <w:pageBreakBefore w:val="0"/>
              <w:kinsoku/>
              <w:wordWrap/>
              <w:overflowPunct/>
              <w:topLinePunct w:val="0"/>
              <w:autoSpaceDE/>
              <w:autoSpaceDN/>
              <w:bidi w:val="0"/>
              <w:spacing w:line="240" w:lineRule="auto"/>
              <w:jc w:val="both"/>
              <w:textAlignment w:val="auto"/>
              <w:rPr>
                <w:rFonts w:hint="eastAsia"/>
                <w:lang w:val="en-US" w:eastAsia="zh-CN"/>
              </w:rPr>
            </w:pPr>
            <w:r>
              <w:rPr>
                <w:rFonts w:hint="eastAsia"/>
                <w:lang w:val="en-US" w:eastAsia="zh-CN"/>
              </w:rPr>
              <w:t>3.所投软件应用平台系统具备公安部出具的信息安全等级保护(3级证明加2分，2级以下1分)多个软件具备按最高等级计算)</w:t>
            </w:r>
          </w:p>
          <w:p>
            <w:pPr>
              <w:pStyle w:val="3"/>
              <w:keepNext w:val="0"/>
              <w:keepLines w:val="0"/>
              <w:pageBreakBefore w:val="0"/>
              <w:kinsoku/>
              <w:wordWrap/>
              <w:overflowPunct/>
              <w:topLinePunct w:val="0"/>
              <w:autoSpaceDE/>
              <w:autoSpaceDN/>
              <w:bidi w:val="0"/>
              <w:spacing w:line="240" w:lineRule="auto"/>
              <w:jc w:val="both"/>
              <w:textAlignment w:val="auto"/>
              <w:rPr>
                <w:rFonts w:hint="eastAsia"/>
                <w:lang w:val="en-US" w:eastAsia="zh-CN"/>
              </w:rPr>
            </w:pPr>
            <w:r>
              <w:rPr>
                <w:rFonts w:hint="eastAsia"/>
                <w:lang w:val="en-US" w:eastAsia="zh-CN"/>
              </w:rPr>
              <w:t>4.所投触控一体机制造商具有CMMI软件成熟度模型三级及以上认证的，得2分。（提供证书复印件加盖厂家公章）。</w:t>
            </w:r>
          </w:p>
          <w:p>
            <w:pPr>
              <w:keepNext w:val="0"/>
              <w:keepLines w:val="0"/>
              <w:pageBreakBefore w:val="0"/>
              <w:widowControl w:val="0"/>
              <w:numPr>
                <w:ilvl w:val="0"/>
                <w:numId w:val="0"/>
              </w:numPr>
              <w:suppressLineNumbers w:val="0"/>
              <w:kinsoku/>
              <w:wordWrap/>
              <w:overflowPunct/>
              <w:topLinePunct w:val="0"/>
              <w:autoSpaceDE/>
              <w:autoSpaceDN/>
              <w:bidi w:val="0"/>
              <w:spacing w:beforeAutospacing="0" w:afterAutospacing="0" w:line="240" w:lineRule="auto"/>
              <w:ind w:right="0" w:rightChars="0"/>
              <w:jc w:val="both"/>
              <w:textAlignment w:val="auto"/>
              <w:rPr>
                <w:rFonts w:hint="default"/>
                <w:lang w:val="en-US" w:eastAsia="zh-CN"/>
              </w:rPr>
            </w:pPr>
            <w:r>
              <w:rPr>
                <w:rFonts w:hint="eastAsia" w:ascii="Calibri" w:hAnsi="Calibri" w:eastAsia="宋体" w:cs="黑体"/>
                <w:kern w:val="2"/>
                <w:sz w:val="24"/>
                <w:szCs w:val="24"/>
                <w:lang w:val="en-US" w:eastAsia="zh-CN" w:bidi="ar-SA"/>
              </w:rPr>
              <w:t>5.为保障产品手势触控性能稳定性，所投产品制造商需符合手势交互系统相关国家标准规范，并参与手势交互系统相关国家标准编制建设，得2分</w:t>
            </w:r>
            <w:r>
              <w:rPr>
                <w:rFonts w:hint="eastAsia" w:eastAsia="宋体" w:cs="黑体"/>
                <w:kern w:val="2"/>
                <w:sz w:val="24"/>
                <w:szCs w:val="24"/>
                <w:lang w:val="en-US" w:eastAsia="zh-CN" w:bidi="ar-SA"/>
              </w:rPr>
              <w:t>，不提供不得分</w:t>
            </w:r>
            <w:r>
              <w:rPr>
                <w:rFonts w:hint="eastAsia" w:ascii="Calibri" w:hAnsi="Calibri" w:eastAsia="宋体" w:cs="黑体"/>
                <w:kern w:val="2"/>
                <w:sz w:val="24"/>
                <w:szCs w:val="24"/>
                <w:lang w:val="en-US" w:eastAsia="zh-CN" w:bidi="ar-SA"/>
              </w:rPr>
              <w:t>（提供现行的含标准级别、标准号、起草单位和标准归口单位相关证明材料复印件加盖公章）</w:t>
            </w:r>
            <w:r>
              <w:rPr>
                <w:rFonts w:hint="eastAsia" w:cs="黑体"/>
                <w:kern w:val="2"/>
                <w:sz w:val="24"/>
                <w:szCs w:val="24"/>
                <w:lang w:val="en-US" w:eastAsia="zh-CN" w:bidi="ar-SA"/>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NThkMjEwMWYxN2I3OTdmYzQ4YTRjMzgwZDNjMzYifQ=="/>
  </w:docVars>
  <w:rsids>
    <w:rsidRoot w:val="68CC3099"/>
    <w:rsid w:val="0689271A"/>
    <w:rsid w:val="09E15316"/>
    <w:rsid w:val="24185231"/>
    <w:rsid w:val="362F1FC2"/>
    <w:rsid w:val="410D028F"/>
    <w:rsid w:val="5D884A6B"/>
    <w:rsid w:val="68CC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3">
    <w:name w:val="Body Text"/>
    <w:basedOn w:val="1"/>
    <w:next w:val="4"/>
    <w:qFormat/>
    <w:uiPriority w:val="0"/>
    <w:pPr>
      <w:spacing w:line="380" w:lineRule="exact"/>
    </w:pPr>
    <w:rPr>
      <w:sz w:val="24"/>
    </w:rPr>
  </w:style>
  <w:style w:type="paragraph" w:styleId="4">
    <w:name w:val="Subtitle"/>
    <w:basedOn w:val="1"/>
    <w:next w:val="1"/>
    <w:qFormat/>
    <w:uiPriority w:val="0"/>
    <w:pPr>
      <w:spacing w:before="240" w:beforeLines="0" w:after="60" w:afterLines="0" w:line="312" w:lineRule="auto"/>
      <w:jc w:val="center"/>
      <w:outlineLvl w:val="1"/>
    </w:pPr>
    <w:rPr>
      <w:rFonts w:ascii="Calibri Light" w:hAnsi="Calibri Light"/>
      <w:b/>
      <w:bCs/>
      <w:kern w:val="28"/>
      <w:sz w:val="32"/>
      <w:szCs w:val="32"/>
    </w:rPr>
  </w:style>
  <w:style w:type="paragraph" w:customStyle="1" w:styleId="7">
    <w:name w:val="No Spacing"/>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1093</Words>
  <Characters>1134</Characters>
  <Lines>0</Lines>
  <Paragraphs>0</Paragraphs>
  <TotalTime>10</TotalTime>
  <ScaleCrop>false</ScaleCrop>
  <LinksUpToDate>false</LinksUpToDate>
  <CharactersWithSpaces>1146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2023-08-30T07:52:00Z</dcterms:created>
  <dc:creator>WPS_1528193518</dc:creator>
  <cp:lastModifiedBy>Administrator</cp:lastModifiedBy>
  <dcterms:modified xsi:type="dcterms:W3CDTF">2023-09-05T07:22:07Z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9F4EC47AE08E4AC498DDC4A3EB3250F0</vt:lpwstr>
  </property>
</Properties>
</file>