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hAnsi="宋体"/>
          <w:sz w:val="24"/>
        </w:rPr>
        <w:t>技术标准与要求</w:t>
      </w:r>
    </w:p>
    <w:tbl>
      <w:tblPr>
        <w:tblStyle w:val="4"/>
        <w:tblW w:w="9164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04"/>
        <w:gridCol w:w="822"/>
        <w:gridCol w:w="1265"/>
        <w:gridCol w:w="1146"/>
        <w:gridCol w:w="1669"/>
        <w:gridCol w:w="1291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76" w:type="dxa"/>
            <w:noWrap w:val="0"/>
            <w:vAlign w:val="center"/>
          </w:tcPr>
          <w:p>
            <w:pPr>
              <w:ind w:right="57"/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24"/>
              </w:rPr>
              <w:t>参数性质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ind w:right="57"/>
              <w:jc w:val="center"/>
              <w:rPr>
                <w:rFonts w:hint="eastAsia" w:ascii="宋体" w:hAnsi="宋体"/>
                <w:b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24"/>
              </w:rPr>
              <w:t>序号</w:t>
            </w:r>
          </w:p>
        </w:tc>
        <w:tc>
          <w:tcPr>
            <w:tcW w:w="7884" w:type="dxa"/>
            <w:gridSpan w:val="6"/>
            <w:noWrap w:val="0"/>
            <w:vAlign w:val="center"/>
          </w:tcPr>
          <w:p>
            <w:pPr>
              <w:ind w:right="57"/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24"/>
              </w:rPr>
              <w:t>具体技术（参数）要求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ind w:right="57"/>
              <w:jc w:val="center"/>
              <w:rPr>
                <w:rFonts w:hint="eastAsia" w:ascii="宋体" w:hAnsi="宋体"/>
                <w:b/>
                <w:bCs/>
                <w:kern w:val="44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一、项目技术要求：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严格落实《自然资源部办公厅关于开展2023年上半年自然资源监测工作的通知》（自然资办发﹝2023﹞22号）精神，根据《2023年城市国土空间监测实施方案》及自治区自然资源厅（内自然资字【2023】422号）要求，切实做好巴彦淖尔市7个旗县区的2023年城市国土空间监测工作，范围按照《城区范围确定规程》划定的城区范围和2022年度国土变更调查确定的城市（201）范围采集；旗、县城区范围参照《城区范围确定规程》和城镇开发边界（旗县政府所在地）划定城区范围和 2022 年度国土变更调查确定的城镇(202)范围采集，确保工作顺利实施。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ind w:right="57"/>
              <w:jc w:val="center"/>
              <w:rPr>
                <w:rFonts w:hint="eastAsia" w:ascii="宋体" w:hAnsi="宋体"/>
                <w:b/>
                <w:bCs/>
                <w:kern w:val="44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二、工作目标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以2022年度国土变更调查成果为底图，以收集的资料为指引，套合最新遥感影像，利用多种技术手段，结合实地调查，确定监测对象的位置、范围和属性组织开展巴彦淖尔市城市国土空间监测工作，以收集的资料为指引，套合最新遥感影像，利用多种技术手段，结合实地调查，确定监测对象的位置、范围和属性掌握城市建设总量、用地结构、基础设施和服务功能等情况，支撑城市建设用地细化、国土空间规划编制及实施监督、城市体检评估和用途管制等国土空间治理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ind w:right="57"/>
              <w:jc w:val="center"/>
              <w:rPr>
                <w:rFonts w:hint="eastAsia" w:ascii="宋体" w:hAnsi="宋体"/>
                <w:b/>
                <w:bCs/>
                <w:kern w:val="44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三、工作任务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依据2022年度国土变更调查成果、2023年高分辨率遥感影像和最新的相关专题资料，结合实地调查，采集国家、自治区要求的监测要素，同时，核实补充国家下发的滑雪场范围、相关属性等信息。水域网络、交通网络在2020年地理国情监测水网和路网数据基础上更新采集相关监测内容。城市商品房、保障性住房、单体建筑等采集工作严格按照国家、自治区要求时限完成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城市国土空间监测内容与范围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87" w:type="dxa"/>
            <w:gridSpan w:val="2"/>
            <w:noWrap w:val="0"/>
            <w:vAlign w:val="top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一级类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二级类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三级类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检测范围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编码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名称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名称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名称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pStyle w:val="3"/>
              <w:spacing w:before="240"/>
              <w:rPr>
                <w:rFonts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01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pStyle w:val="3"/>
              <w:spacing w:before="240" w:line="180" w:lineRule="exact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住宅</w:t>
            </w:r>
          </w:p>
          <w:p>
            <w:pPr>
              <w:pStyle w:val="3"/>
              <w:spacing w:before="240" w:line="180" w:lineRule="exact"/>
              <w:rPr>
                <w:rFonts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用地</w:t>
            </w:r>
          </w:p>
        </w:tc>
        <w:tc>
          <w:tcPr>
            <w:tcW w:w="1146" w:type="dxa"/>
            <w:vMerge w:val="restart"/>
            <w:noWrap w:val="0"/>
            <w:vAlign w:val="center"/>
          </w:tcPr>
          <w:p>
            <w:pPr>
              <w:pStyle w:val="3"/>
              <w:spacing w:before="240" w:line="300" w:lineRule="exact"/>
              <w:rPr>
                <w:rFonts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城区住宅用地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3"/>
              <w:spacing w:before="240" w:line="180" w:lineRule="exact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商品住房</w:t>
            </w:r>
          </w:p>
          <w:p>
            <w:pPr>
              <w:pStyle w:val="3"/>
              <w:spacing w:before="240" w:line="180" w:lineRule="exact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（地上）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pStyle w:val="3"/>
              <w:spacing w:before="240" w:line="180" w:lineRule="exact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城区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独立用地的细化，非独立用地的单独图层表示，并标注相关属性。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pStyle w:val="3"/>
              <w:spacing w:before="240" w:line="300" w:lineRule="exact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pStyle w:val="3"/>
              <w:spacing w:before="240" w:line="300" w:lineRule="exact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pStyle w:val="3"/>
              <w:spacing w:before="240" w:line="220" w:lineRule="exact"/>
              <w:jc w:val="both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保障性住房</w:t>
            </w:r>
          </w:p>
          <w:p>
            <w:pPr>
              <w:pStyle w:val="3"/>
              <w:spacing w:before="240" w:line="180" w:lineRule="exact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（地上）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02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公共管</w:t>
            </w:r>
          </w:p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理与公</w:t>
            </w:r>
          </w:p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共服务</w:t>
            </w:r>
          </w:p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用地</w:t>
            </w:r>
          </w:p>
        </w:tc>
        <w:tc>
          <w:tcPr>
            <w:tcW w:w="1146" w:type="dxa"/>
            <w:vMerge w:val="restart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科教文卫用地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文化艺术场馆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城区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 xml:space="preserve">独立用地的细化，非独立用地的单独图层表示，并标注相关属性。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中小学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城区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幼儿园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center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Ansi="宋体" w:cs="宋体"/>
                <w:b w:val="0"/>
                <w:spacing w:val="0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医院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pStyle w:val="3"/>
              <w:spacing w:before="240" w:line="240" w:lineRule="auto"/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before="28" w:line="222" w:lineRule="auto"/>
              <w:ind w:left="111" w:right="272" w:hang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社区卫生服务</w:t>
            </w:r>
            <w:r>
              <w:rPr>
                <w:rFonts w:ascii="宋体" w:hAnsi="宋体" w:cs="宋体"/>
                <w:spacing w:val="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3"/>
                <w:szCs w:val="21"/>
              </w:rPr>
              <w:t>设施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0"/>
                <w:sz w:val="24"/>
                <w:szCs w:val="24"/>
              </w:rPr>
              <w:t>城区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spacing w:before="28" w:line="222" w:lineRule="auto"/>
              <w:ind w:left="111" w:right="272" w:hanging="1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独立用地的细化，非独立用地的单</w:t>
            </w:r>
          </w:p>
          <w:p>
            <w:pPr>
              <w:spacing w:before="28" w:line="222" w:lineRule="auto"/>
              <w:ind w:left="111" w:right="272" w:hang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独图层表示，并标注相关属性。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before="34" w:line="210" w:lineRule="auto"/>
              <w:ind w:left="11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养老设施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before="28" w:line="222" w:lineRule="auto"/>
              <w:ind w:left="111" w:right="272" w:hang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社区文化活动</w:t>
            </w:r>
            <w:r>
              <w:rPr>
                <w:rFonts w:ascii="宋体" w:hAnsi="宋体" w:cs="宋体"/>
                <w:spacing w:val="-3"/>
                <w:szCs w:val="21"/>
              </w:rPr>
              <w:t>设施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before="28" w:line="222" w:lineRule="auto"/>
              <w:ind w:left="109" w:right="27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体育场馆（含</w:t>
            </w:r>
            <w:r>
              <w:rPr>
                <w:rFonts w:ascii="宋体" w:hAnsi="宋体" w:cs="宋体"/>
                <w:spacing w:val="2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4"/>
                <w:szCs w:val="21"/>
              </w:rPr>
              <w:t>独立足球场）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before="31" w:line="221" w:lineRule="auto"/>
              <w:ind w:left="112" w:right="27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儿童社会福利设施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before="31" w:line="221" w:lineRule="auto"/>
              <w:ind w:left="108" w:right="27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残疾人福利设</w:t>
            </w:r>
            <w:r>
              <w:rPr>
                <w:rFonts w:ascii="宋体" w:hAnsi="宋体" w:cs="宋体"/>
                <w:szCs w:val="21"/>
              </w:rPr>
              <w:t>施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noWrap w:val="0"/>
            <w:vAlign w:val="top"/>
          </w:tcPr>
          <w:p>
            <w:pPr>
              <w:pStyle w:val="3"/>
              <w:spacing w:before="240"/>
              <w:rPr>
                <w:rFonts w:hAnsi="宋体" w:cs="宋体"/>
                <w:b w:val="0"/>
                <w:spacing w:val="-2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spacing w:val="-2"/>
                <w:kern w:val="2"/>
                <w:sz w:val="21"/>
                <w:szCs w:val="21"/>
              </w:rPr>
              <w:t>公用设施用地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3"/>
              <w:spacing w:before="240"/>
              <w:rPr>
                <w:rFonts w:hAnsi="宋体" w:cs="宋体"/>
                <w:b w:val="0"/>
                <w:spacing w:val="-2"/>
                <w:kern w:val="2"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spacing w:val="-2"/>
                <w:kern w:val="2"/>
                <w:sz w:val="21"/>
                <w:szCs w:val="21"/>
              </w:rPr>
              <w:t>消防站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-2"/>
                <w:kern w:val="2"/>
                <w:sz w:val="21"/>
                <w:szCs w:val="21"/>
              </w:rPr>
              <w:t>城区</w:t>
            </w: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b w:val="0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垃圾集中处理设施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-2"/>
                <w:kern w:val="2"/>
                <w:sz w:val="21"/>
                <w:szCs w:val="21"/>
              </w:rPr>
              <w:t>城区</w:t>
            </w: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b w:val="0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before="28" w:line="222" w:lineRule="auto"/>
              <w:ind w:left="109" w:right="272"/>
              <w:jc w:val="center"/>
              <w:rPr>
                <w:rFonts w:hint="eastAsia"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邮政局（所）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spacing w:before="28" w:line="222" w:lineRule="auto"/>
              <w:ind w:left="109" w:right="272"/>
              <w:jc w:val="center"/>
              <w:rPr>
                <w:rFonts w:hint="eastAsia"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城区</w:t>
            </w: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noWrap w:val="0"/>
            <w:vAlign w:val="center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spacing w:val="-2"/>
                <w:kern w:val="2"/>
                <w:sz w:val="21"/>
                <w:szCs w:val="21"/>
              </w:rPr>
              <w:t>公园与绿地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before="28" w:line="222" w:lineRule="auto"/>
              <w:ind w:left="109" w:right="272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公园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spacing w:before="28" w:line="222" w:lineRule="auto"/>
              <w:ind w:left="109" w:right="272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城区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细化，并标注相关属性。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绿地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广场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pStyle w:val="3"/>
              <w:spacing w:before="2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color w:val="000000"/>
                <w:spacing w:val="0"/>
                <w:sz w:val="21"/>
                <w:szCs w:val="21"/>
                <w:lang w:bidi="ar"/>
              </w:rPr>
              <w:t>03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交通运</w:t>
            </w:r>
          </w:p>
          <w:p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输用地</w:t>
            </w:r>
          </w:p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交通服务场站</w:t>
            </w:r>
          </w:p>
          <w:p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用地</w:t>
            </w:r>
          </w:p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对外交通场站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pStyle w:val="3"/>
              <w:spacing w:before="240"/>
              <w:rPr>
                <w:rFonts w:hAnsi="宋体" w:cs="宋体"/>
                <w:b w:val="0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hAnsi="宋体" w:cs="宋体"/>
                <w:b w:val="0"/>
                <w:color w:val="000000"/>
                <w:spacing w:val="0"/>
                <w:sz w:val="21"/>
                <w:szCs w:val="21"/>
                <w:lang w:bidi="ar"/>
              </w:rPr>
              <w:t>城区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3"/>
              <w:spacing w:before="240"/>
              <w:rPr>
                <w:rFonts w:hint="eastAsia" w:hAnsi="宋体" w:cs="宋体"/>
                <w:b w:val="0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hint="eastAsia" w:hAnsi="宋体" w:cs="宋体"/>
                <w:b w:val="0"/>
                <w:color w:val="000000"/>
                <w:spacing w:val="0"/>
                <w:sz w:val="21"/>
                <w:szCs w:val="21"/>
                <w:lang w:bidi="ar"/>
              </w:rPr>
              <w:t>细化，并标注相关属性。</w:t>
            </w:r>
          </w:p>
          <w:p>
            <w:pPr>
              <w:pStyle w:val="3"/>
              <w:spacing w:before="240"/>
              <w:rPr>
                <w:rFonts w:hint="eastAsia" w:hAnsi="宋体" w:cs="宋体"/>
                <w:b w:val="0"/>
                <w:color w:val="000000"/>
                <w:spacing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公共交通场站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公共停车场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（地上）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公共停车楼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（地上）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noWrap w:val="0"/>
            <w:vAlign w:val="top"/>
          </w:tcPr>
          <w:p>
            <w:pPr>
              <w:pStyle w:val="3"/>
              <w:spacing w:before="24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建（构）筑物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单体房屋建筑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单独图层表示，并标注相关属性。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城市内涝积水点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单独图层表示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应急避难场所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新增城市更新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改造用地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单独图层表示（包括棚户区改造、三旧改造等，不包括微更新、建筑维护改造、环境整治等）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80" w:type="dxa"/>
            <w:gridSpan w:val="2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（二）监测范围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监测范围为城区范围，是巴彦淖尔市的城市行政区域范围。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全域范围采集的内容包括：高等院校、中等职业学校、特殊教育学校，方舱医院，自来水厂、污水处理厂、供热场，殡葬设施，轨道交通站点(地铁站)、高速公路服务区，水电站，河湖(含大型水库)岸线、河渠结构线，铁路(含高速铁路)、公路(含高速公路)、城市道路、农村道路、匝道中心线，室外滑雪场(含附属设施)。 其余监测要素在城区工作范围内采集。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gridSpan w:val="2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四、工作内容与要求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（一）遥感影像收集与正射处理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收集时相为2023年、1米或者更高分辨率的卫星遥感影像、无人机遥感影像、倾斜摄影影像等，综合分析选择时相较新、分辨率更优的影像制作正射影像图，用于城市国土空间监测。国家统一提供正射纠正后的1米或2米分辨率，时相为2023年4-6月的卫星遥感影像数据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gridSpan w:val="2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（二）资料收集与整理 </w:t>
            </w:r>
          </w:p>
          <w:p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收集涉及民政、统计、应急、教育、环保、住建、交通、水利、卫生健康、市场监管、体育、文物、宗教等行业，现势性为2022年1月1日之后的专题资料、POI数据，结合地籍调查和不动产登记、城市大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比例尺基础测绘、数字城市、智慧城市等成果，为确定各类监测对象空间位置、占地范围和属性做参考和指引。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收集各类与水网变化相关的专题资料，包括各类水利设施建设工程、河湖治理工程、河（湖）长制测绘成果、河湖岸线变更信息，以及最新不小于1:10000比例尺河湖相关的基础地理信息数据、地名信息等。 </w:t>
            </w:r>
          </w:p>
          <w:p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收集各类与道路变化相关的专题资料，包括铁路、公路、城市道路、乡村道路相关的规划，建设、开通等信息，以及交通部门关于路网的最新专题数据，最新不小于1:10000比例尺道路相关的基础地理信息数据，城市建设信息、地名信息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gridSpan w:val="2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（三）监测内容采集 </w:t>
            </w:r>
          </w:p>
          <w:p>
            <w:pPr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以2022年度国土变更调查成果为底图，以收集的资料为指引，套合最新遥感影像，利用多种技术手段，结合实地调查，确定相关监测内容的位置、占地范围和相关属性等。具体要求如下：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一是对于有独立用地的监测要素，监测时实地与2022年度国土变更调查成果地类二级类一致的，在变更调查成果底图上进行细化采集，矢量化相关位置和范围，并标注相关属性；监测时实地与2022年度国土变更调查成果地类二级类不一致的，在单独图层上进行采集，矢量化相关位置和范围，并标注相关属性，同时，按照国土变更调查外业举证相关要求进行举证。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二是对于没有独立用地的监测要素，以单独图层表示其矢量位置，并标注相关属性。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三是对于相关部门权威资料可以表明相关属性的，可以直接使用；对于无权威资料或相关资料不能表明相关属性的，要结合外业实地调查确定相关属性。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四是对于监测时实地原有监测要素改变为不需要监测的要素，对其范围进行标注，以单独图层表示其矢量位置。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五是水域网络、交通网络只更新河湖(含大型水库)岸线、河渠结构线，铁路(含高速铁路)、公路(含高速公路)、城市道路、农村道路、匝道中心线。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六是室外滑雪场相关情况根据国家下发的矢量范围为指引，结合管理资料和实地调查，进一步确定其范围及相关属性(相关省级自然资源主管部门按照国家下发的范围，组织监测本行政区域内的室外滑雪场情况)。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gridSpan w:val="2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（四）数据库建设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根据国家和自治区要求，完成数据成果汇交，建立巴彦淖尔市城市国土空间监测数据库，向国家和自治区提交监测数据成果，按时完成国家、自治区的相关任务。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gridSpan w:val="2"/>
            <w:noWrap w:val="0"/>
            <w:vAlign w:val="center"/>
          </w:tcPr>
          <w:p>
            <w:pPr>
              <w:widowControl/>
              <w:ind w:right="57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7884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（五）监测成果统计、分析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根据城市国土空间监测成果，各层级自然资源主管部门分别进行统计分析，满足不同层级的自然资源管理和国土空间治理等工作需要。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mVmOWRkMDE1ZTkwZTc1ZmY2NWQ5MTg1YWMwMTEifQ=="/>
  </w:docVars>
  <w:rsids>
    <w:rsidRoot w:val="001F6181"/>
    <w:rsid w:val="001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widowControl/>
      <w:spacing w:before="312" w:beforeLines="100" w:line="360" w:lineRule="auto"/>
      <w:jc w:val="center"/>
    </w:pPr>
    <w:rPr>
      <w:rFonts w:ascii="宋体"/>
      <w:b/>
      <w:spacing w:val="20"/>
      <w:kern w:val="0"/>
      <w:sz w:val="48"/>
      <w:szCs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2024-04-14T02:59:00Z</dcterms:created>
  <dc:creator>Lenovo</dc:creator>
  <cp:lastModifiedBy>Lenovo</cp:lastModifiedBy>
  <dcterms:modified xsi:type="dcterms:W3CDTF">2024-04-14T03:00:45Z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59B6F3BABD744FC5B3AB0C71F275421D_11</vt:lpwstr>
  </property>
</Properties>
</file>