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rPr>
          <w:b w:val="1"/>
          <w:bCs w:val="1"/>
          <w:sz w:val="28"/>
          <w:szCs w:val="28"/>
          <w:rFonts w:ascii="宋体" w:hAnsi="宋体" w:hint="eastAsia"/>
        </w:rPr>
        <w:jc w:val="center"/>
      </w:pPr>
      <w:r>
        <w:rPr>
          <w:b w:val="1"/>
          <w:bCs w:val="1"/>
          <w:sz w:val="28"/>
          <w:szCs w:val="28"/>
          <w:rFonts w:ascii="宋体" w:hAnsi="宋体" w:hint="eastAsia"/>
        </w:rPr>
        <w:t>可视软性喉镜（便携电子支气管镜）</w:t>
      </w:r>
    </w:p>
    <w:p>
      <w:pPr>
        <w:rPr>
          <w:b w:val="1"/>
          <w:bCs w:val="1"/>
          <w:sz w:val="28"/>
          <w:szCs w:val="28"/>
          <w:rFonts w:ascii="宋体" w:hAnsi="宋体" w:hint="eastAsia"/>
        </w:rPr>
        <w:jc w:val="both"/>
      </w:pPr>
      <w:bookmarkStart w:id="0" w:name="_GoBack"/>
      <w:bookmarkEnd w:id="0"/>
    </w:p>
    <w:p>
      <w:pPr>
        <w:rPr>
          <w:b w:val="1"/>
          <w:bCs w:val="1"/>
          <w:sz w:val="28"/>
          <w:szCs w:val="28"/>
          <w:rFonts w:ascii="宋体" w:hAnsi="宋体" w:hint="eastAsia"/>
        </w:rPr>
        <w:jc w:val="center"/>
      </w:pP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1、整机由机身软管和显示器两部分组成，整机具有拍照录像、数据存取、显示器有线视频输出，兼容av输出、吸痰、给药、吹氧等功能；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2、显示器能上下0º～180º转动，左右0º～180º转动,方便不同站位操作；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3、软管直径：5.2mm；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4、工作通道：≥2.6mm，可通过标准活检钳；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5、前端蛇骨弯曲角度：双向≥290°向上≥160°，向下≥130°；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6、视场角：≥90°，保证清晰图像和视场及最小的图像畸变；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7、内置的全密封防水设计高功率LED光源，光照度≥700Lux；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8、采用高分辨率自制摄像头，剔除白平衡功能，确保显示效果一致性，摄像头头端采用蓝宝石镜片，防刮花，耐腐蚀；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9、TFT显示屏尺寸≥3.0″，像素≥640*480；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10、分辨率≥9.92 lP/mm；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11、景深：3-100mm；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12、显示器与机身手柄可分离拆卸，镜体手柄为医用高分子材料材质,轻盈更耐腐蚀，插入部前端为非金属医用高分子材质，减少气道刺激，镜体可浸泡消毒；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13、负压吸引按键可完全拆卸分体消毒，符合院感要求；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14、充电器输入：100-240V AC，50-60Hz；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</w:t>
      </w:r>
      <w:r>
        <w:rPr>
          <w:szCs w:val="21"/>
          <w:rFonts w:ascii="宋体" w:hAnsi="宋体" w:eastAsia="宋体"/>
        </w:rPr>
        <w:t>5</w:t>
      </w:r>
      <w:r>
        <w:rPr>
          <w:szCs w:val="21"/>
          <w:rFonts w:ascii="宋体" w:hAnsi="宋体" w:eastAsia="宋体" w:hint="eastAsia"/>
        </w:rPr>
        <w:t>、充电器输出：5V DC,1A；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 w:hint="eastAsia"/>
        </w:rPr>
        <w:t>1</w:t>
      </w:r>
      <w:r>
        <w:rPr>
          <w:szCs w:val="21"/>
          <w:rFonts w:ascii="宋体" w:hAnsi="宋体" w:eastAsia="宋体"/>
        </w:rPr>
        <w:t>6</w:t>
      </w:r>
      <w:r>
        <w:rPr>
          <w:szCs w:val="21"/>
          <w:rFonts w:ascii="宋体" w:hAnsi="宋体" w:eastAsia="宋体" w:hint="eastAsia"/>
        </w:rPr>
        <w:t>、内置可充电式锂电子聚合物电池，不可插拔，减少固件损伤, 电池容量≥2</w:t>
      </w:r>
      <w:r>
        <w:rPr>
          <w:szCs w:val="21"/>
          <w:rFonts w:ascii="宋体" w:hAnsi="宋体" w:eastAsia="宋体"/>
        </w:rPr>
        <w:t>3</w:t>
      </w:r>
      <w:r>
        <w:rPr>
          <w:szCs w:val="21"/>
          <w:rFonts w:ascii="宋体" w:hAnsi="宋体" w:eastAsia="宋体" w:hint="eastAsia"/>
        </w:rPr>
        <w:t>00mAH；</w:t>
      </w:r>
    </w:p>
    <w:p>
      <w:pPr>
        <w:rPr>
          <w:szCs w:val="21"/>
          <w:rFonts w:ascii="宋体" w:hAnsi="宋体" w:eastAsia="宋体"/>
        </w:rPr>
      </w:pPr>
      <w:r>
        <w:rPr>
          <w:szCs w:val="21"/>
          <w:rFonts w:ascii="宋体" w:hAnsi="宋体" w:eastAsia="宋体"/>
        </w:rPr>
        <w:t>17</w:t>
      </w:r>
      <w:r>
        <w:rPr>
          <w:szCs w:val="21"/>
          <w:rFonts w:ascii="宋体" w:hAnsi="宋体" w:eastAsia="宋体" w:hint="eastAsia"/>
        </w:rPr>
        <w:t>、由厂家负责售后服务；</w:t>
      </w:r>
    </w:p>
    <w:p>
      <w:pPr>
        <w:rPr>
          <w:b w:val="1"/>
          <w:bCs w:val="1"/>
          <w:sz w:val="28"/>
          <w:szCs w:val="28"/>
          <w:rFonts w:ascii="宋体" w:hAnsi="宋体" w:hint="eastAsia"/>
        </w:rPr>
        <w:jc w:val="center"/>
      </w:pPr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7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00000"/>
    <w:rsid w:val="31D6015D"/>
    <w:rsid w:val="40274478"/>
    <w:rsid w:val="42DC702D"/>
    <w:rsid w:val="482C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/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59" w:semiHidden="0" w:unhideWhenUsed="0" w:qFormat="1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widowControl w:val="0"/>
      <w:jc w:val="both"/>
    </w:pPr>
    <w:rPr>
      <w:kern w:val="2"/>
      <w:sz w:val="21"/>
      <w:szCs w:val="24"/>
      <w:lang w:val="en-US" w:eastAsia="zh-CN" w:bidi="ar-SA"/>
      <w:rFonts w:asciiTheme="minorHAnsi" w:hAnsiTheme="minorHAnsi" w:eastAsiaTheme="minorEastAsia" w:cstheme="minorBidi"/>
    </w:rPr>
  </w:style>
  <w:style w:type="character" w:styleId="4" w:default="1">
    <w:name w:val="Default Paragraph Font"/>
    <w:uiPriority w:val="0"/>
    <w:semiHidden/>
  </w:style>
  <w:style w:type="table" w:styleId="2" w:default="1">
    <w:name w:val="Normal Table"/>
    <w:uiPriority w:val="0"/>
    <w:semiHidden/>
    <w:tblPr>
      <w:tblCellMar>
        <w:top w:type="dxa" w:w="0"/>
        <w:bottom w:type="dxa" w:w="0"/>
        <w:left w:type="dxa" w:w="108"/>
        <w:right w:type="dxa" w:w="108"/>
      </w:tblCellMar>
    </w:tblPr>
  </w:style>
  <w:style w:type="table" w:styleId="3" w:default="0">
    <w:name w:val="Table Grid"/>
    <w:basedOn w:val="2"/>
    <w:uiPriority w:val="59"/>
    <w:qFormat/>
    <w:tblPr>
      <w:tblBorders>
        <w:top w:val="single" w:color="auto" w:sz="4" w:space="0" w:shadow="off" w:frame="off"/>
        <w:left w:val="single" w:color="auto" w:sz="4" w:space="0" w:shadow="off" w:frame="off"/>
        <w:bottom w:val="single" w:color="auto" w:sz="4" w:space="0" w:shadow="off" w:frame="off"/>
        <w:right w:val="single" w:color="auto" w:sz="4" w:space="0" w:shadow="off" w:frame="off"/>
        <w:insideH w:val="single" w:color="auto" w:sz="4" w:space="0" w:shadow="off" w:frame="off"/>
        <w:insideV w:val="single" w:color="auto" w:sz="4" w:space="0" w:shadow="off" w:frame="off"/>
      </w:tblBorders>
    </w:tbl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typeface="Times New Roman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MoolBoran" script="Khmr"/>
        <a:font typeface="Estrangelo Edessa" script="Syrc"/>
        <a:font typeface="Angsana New" script="Thai"/>
        <a:font typeface="Shruti" script="Gujr"/>
        <a:font typeface="Microsoft Uighur" script="Uigh"/>
        <a:font typeface="Vrinda" script="Beng"/>
        <a:font typeface="ＭＳ ゴシック" script="Jpan"/>
        <a:font typeface="MV Boli" script="Thaa"/>
        <a:font typeface="Plantagenet Cherokee" script="Cher"/>
        <a:font typeface="Times New Roman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Calibri"/>
        <a:ea typeface=""/>
        <a:cs typeface=""/>
        <a:font typeface="Arial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DaunPenh" script="Khmr"/>
        <a:font typeface="Estrangelo Edessa" script="Syrc"/>
        <a:font typeface="Cordia New" script="Thai"/>
        <a:font typeface="Shruti" script="Gujr"/>
        <a:font typeface="Microsoft Uighur" script="Uigh"/>
        <a:font typeface="Vrinda" script="Beng"/>
        <a:font typeface="ＭＳ 明朝" script="Jpan"/>
        <a:font typeface="MV Boli" script="Thaa"/>
        <a:font typeface="Plantagenet Cherokee" script="Cher"/>
        <a:font typeface="Arial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0" ang="540000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0" ang="540000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scaled="0" ang="540000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</TotalTime>
  <Pages>1</Pages>
  <Words>462</Words>
  <Characters>549</Characters>
  <Application>WPS Office_11.1.0.11636_F1E327BC-269C-435d-A152-05C5408002CA</Application>
  <DocSecurity>0</DocSecurity>
  <Lines>0</Lines>
  <Paragraphs>0</Paragraphs>
  <ScaleCrop>false</ScaleCrop>
  <Company/>
  <LinksUpToDate>false</LinksUpToDate>
  <CharactersWithSpaces>553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cp</dc:creator>
  <cp:keywords/>
  <dc:description/>
  <cp:lastModifiedBy>A许溢华</cp:lastModifiedBy>
  <cp:revision>0</cp:revision>
  <dcterms:created xsi:type="dcterms:W3CDTF">2014-10-29T12:08:00Z</dcterms:created>
  <dcterms:modified xsi:type="dcterms:W3CDTF">2022-05-24T08:25:17Z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便携电子支气管镜</w:t>
      </w:r>
    </w:p>
    <w:p>
      <w:pPr>
        <w:jc w:val="both"/>
        <w:rPr>
          <w:rFonts w:hint="eastAsia" w:ascii="宋体" w:hAnsi="宋体"/>
          <w:b/>
          <w:bCs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1、整机由机身软管和显示器两部分组成，整机具有拍照录像、数据存取、显示器有线视频输出，兼容av输出、吸痰、给药、吹氧等功能；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2、显示器能上下0º～180º转动，左右0º～180º转动,方便不同站位操作；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3、软管直径：5.2mm；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4、工作通道：≥2.6mm，可通过标准活检钳；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5、前端蛇骨弯曲角度：双向≥290°向上≥160°，向下≥130°；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6、视场角：≥90°，保证清晰图像和视场及最小的图像畸变；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7、内置的全密封防水设计高功率LED光源，光照度≥700Lux；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8、采用高分辨率自制摄像头，剔除白平衡功能，确保显示效果一致性，摄像头头端采用蓝宝石镜片，防刮花，耐腐蚀；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9、TFT显示屏尺寸≥3.0″，像素≥640*480；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10、分辨率≥9.92 lP/mm；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11、景深：3-100mm；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12、显示器与机身手柄可分离拆卸，镜体手柄为医用高分子材料材质,轻盈更耐腐蚀，插入部前端为非金属医用高分子材质，减少气道刺激，镜体可浸泡消毒；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13、负压吸引按键可完全拆卸分体消毒，符合院感要求；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14、充电器输入：100-240V AC，50-60Hz；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、充电器输出：5V DC,1A；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</w:rPr>
        <w:t>、内置可充电式锂电子聚合物电池，不可插拔，减少固件损伤, 电池容量≥2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00mAH；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</w:t>
      </w:r>
      <w:r>
        <w:rPr>
          <w:rFonts w:hint="eastAsia" w:ascii="宋体" w:hAnsi="宋体" w:eastAsia="宋体"/>
          <w:szCs w:val="21"/>
        </w:rPr>
        <w:t>、由厂家负责售后服务；</w:t>
      </w: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