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2"/>
          <w:sz w:val="20"/>
          <w:szCs w:val="20"/>
          <w:highlight w:val="none"/>
        </w:rPr>
        <w:t>附</w:t>
      </w:r>
      <w:r>
        <w:rPr>
          <w:rFonts w:hint="eastAsia" w:asciiTheme="minorEastAsia" w:hAnsiTheme="minorEastAsia" w:eastAsiaTheme="minorEastAsia" w:cstheme="minorEastAsia"/>
          <w:spacing w:val="10"/>
          <w:sz w:val="20"/>
          <w:szCs w:val="20"/>
          <w:highlight w:val="none"/>
        </w:rPr>
        <w:t>表一：</w:t>
      </w:r>
      <w:r>
        <w:rPr>
          <w:rFonts w:hint="eastAsia" w:asciiTheme="minorEastAsia" w:hAnsiTheme="minorEastAsia" w:eastAsiaTheme="minorEastAsia" w:cstheme="minorEastAsia"/>
          <w:spacing w:val="2"/>
          <w:sz w:val="20"/>
          <w:szCs w:val="20"/>
          <w:highlight w:val="none"/>
          <w:lang w:val="en-US" w:eastAsia="zh-CN"/>
        </w:rPr>
        <w:t xml:space="preserve">空气源热泵供暖系统  </w:t>
      </w:r>
      <w:r>
        <w:rPr>
          <w:rFonts w:hint="eastAsia" w:asciiTheme="minorEastAsia" w:hAnsiTheme="minorEastAsia" w:eastAsiaTheme="minorEastAsia" w:cstheme="minorEastAsia"/>
          <w:spacing w:val="10"/>
          <w:sz w:val="20"/>
          <w:szCs w:val="20"/>
          <w:highlight w:val="none"/>
        </w:rPr>
        <w:t xml:space="preserve">   是否允许进口： 否</w:t>
      </w:r>
    </w:p>
    <w:p>
      <w:pPr>
        <w:spacing w:line="15" w:lineRule="exact"/>
        <w:rPr>
          <w:rFonts w:hint="eastAsia" w:asciiTheme="minorEastAsia" w:hAnsiTheme="minorEastAsia" w:eastAsiaTheme="minorEastAsia" w:cstheme="minorEastAsia"/>
          <w:sz w:val="20"/>
          <w:szCs w:val="20"/>
          <w:highlight w:val="none"/>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autofit"/>
        <w:tblCellMar>
          <w:top w:w="0" w:type="dxa"/>
          <w:left w:w="0" w:type="dxa"/>
          <w:bottom w:w="0" w:type="dxa"/>
          <w:right w:w="0" w:type="dxa"/>
        </w:tblCellMar>
      </w:tblPr>
      <w:tblGrid>
        <w:gridCol w:w="1061"/>
        <w:gridCol w:w="503"/>
        <w:gridCol w:w="8988"/>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4" w:hRule="atLeast"/>
        </w:trPr>
        <w:tc>
          <w:tcPr>
            <w:tcW w:w="1061" w:type="dxa"/>
            <w:tcBorders>
              <w:top w:val="single" w:color="B4C3D8" w:sz="2" w:space="0"/>
              <w:bottom w:val="single" w:color="B4C3D8" w:sz="2" w:space="0"/>
            </w:tcBorders>
            <w:vAlign w:val="top"/>
          </w:tcPr>
          <w:p>
            <w:pPr>
              <w:spacing w:before="82" w:line="221" w:lineRule="auto"/>
              <w:ind w:left="14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pacing w:val="-1"/>
                <w:sz w:val="20"/>
                <w:szCs w:val="20"/>
                <w:highlight w:val="none"/>
              </w:rPr>
              <w:t>参数性</w:t>
            </w:r>
            <w:r>
              <w:rPr>
                <w:rFonts w:hint="eastAsia" w:asciiTheme="minorEastAsia" w:hAnsiTheme="minorEastAsia" w:eastAsiaTheme="minorEastAsia" w:cstheme="minorEastAsia"/>
                <w:color w:val="666666"/>
                <w:sz w:val="20"/>
                <w:szCs w:val="20"/>
                <w:highlight w:val="none"/>
              </w:rPr>
              <w:t>质</w:t>
            </w:r>
          </w:p>
        </w:tc>
        <w:tc>
          <w:tcPr>
            <w:tcW w:w="503" w:type="dxa"/>
            <w:tcBorders>
              <w:top w:val="single" w:color="B4C3D8" w:sz="2" w:space="0"/>
              <w:bottom w:val="single" w:color="B4C3D8" w:sz="2" w:space="0"/>
            </w:tcBorders>
            <w:vAlign w:val="top"/>
          </w:tcPr>
          <w:p>
            <w:pPr>
              <w:spacing w:before="81" w:line="223" w:lineRule="auto"/>
              <w:ind w:left="7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pacing w:val="-3"/>
                <w:sz w:val="20"/>
                <w:szCs w:val="20"/>
                <w:highlight w:val="none"/>
              </w:rPr>
              <w:t>序</w:t>
            </w:r>
            <w:r>
              <w:rPr>
                <w:rFonts w:hint="eastAsia" w:asciiTheme="minorEastAsia" w:hAnsiTheme="minorEastAsia" w:eastAsiaTheme="minorEastAsia" w:cstheme="minorEastAsia"/>
                <w:color w:val="666666"/>
                <w:spacing w:val="-2"/>
                <w:sz w:val="20"/>
                <w:szCs w:val="20"/>
                <w:highlight w:val="none"/>
              </w:rPr>
              <w:t>号</w:t>
            </w:r>
          </w:p>
        </w:tc>
        <w:tc>
          <w:tcPr>
            <w:tcW w:w="8988" w:type="dxa"/>
            <w:tcBorders>
              <w:top w:val="single" w:color="B4C3D8" w:sz="2" w:space="0"/>
              <w:bottom w:val="single" w:color="B4C3D8" w:sz="2" w:space="0"/>
            </w:tcBorders>
            <w:vAlign w:val="top"/>
          </w:tcPr>
          <w:p>
            <w:pPr>
              <w:spacing w:before="23" w:line="303" w:lineRule="exact"/>
              <w:ind w:left="364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pacing w:val="4"/>
                <w:position w:val="3"/>
                <w:sz w:val="20"/>
                <w:szCs w:val="20"/>
                <w:highlight w:val="none"/>
              </w:rPr>
              <w:t>具体</w:t>
            </w:r>
            <w:r>
              <w:rPr>
                <w:rFonts w:hint="eastAsia" w:asciiTheme="minorEastAsia" w:hAnsiTheme="minorEastAsia" w:eastAsiaTheme="minorEastAsia" w:cstheme="minorEastAsia"/>
                <w:color w:val="666666"/>
                <w:spacing w:val="2"/>
                <w:position w:val="3"/>
                <w:sz w:val="20"/>
                <w:szCs w:val="20"/>
                <w:highlight w:val="none"/>
              </w:rPr>
              <w:t>技术(参数)要求</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8014" w:hRule="atLeast"/>
        </w:trPr>
        <w:tc>
          <w:tcPr>
            <w:tcW w:w="1061" w:type="dxa"/>
            <w:tcBorders>
              <w:top w:val="single" w:color="B4C3D8" w:sz="2" w:space="0"/>
              <w:bottom w:val="single" w:color="B4C3D8" w:sz="2" w:space="0"/>
            </w:tcBorders>
            <w:vAlign w:val="top"/>
          </w:tcPr>
          <w:p>
            <w:pPr>
              <w:rPr>
                <w:rFonts w:hint="eastAsia" w:asciiTheme="minorEastAsia" w:hAnsiTheme="minorEastAsia" w:eastAsiaTheme="minorEastAsia" w:cstheme="minorEastAsia"/>
                <w:sz w:val="20"/>
                <w:szCs w:val="20"/>
                <w:highlight w:val="none"/>
              </w:rPr>
            </w:pPr>
          </w:p>
        </w:tc>
        <w:tc>
          <w:tcPr>
            <w:tcW w:w="503" w:type="dxa"/>
            <w:tcBorders>
              <w:top w:val="single" w:color="B4C3D8" w:sz="2" w:space="0"/>
              <w:bottom w:val="single" w:color="B4C3D8" w:sz="2" w:space="0"/>
            </w:tcBorders>
            <w:vAlign w:val="top"/>
          </w:tcPr>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4"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line="255" w:lineRule="auto"/>
              <w:rPr>
                <w:rFonts w:hint="eastAsia" w:asciiTheme="minorEastAsia" w:hAnsiTheme="minorEastAsia" w:eastAsiaTheme="minorEastAsia" w:cstheme="minorEastAsia"/>
                <w:sz w:val="20"/>
                <w:szCs w:val="20"/>
                <w:highlight w:val="none"/>
              </w:rPr>
            </w:pPr>
          </w:p>
          <w:p>
            <w:pPr>
              <w:spacing w:before="82" w:line="169" w:lineRule="auto"/>
              <w:ind w:left="21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z w:val="20"/>
                <w:szCs w:val="20"/>
                <w:highlight w:val="none"/>
              </w:rPr>
              <w:t>1</w:t>
            </w:r>
          </w:p>
        </w:tc>
        <w:tc>
          <w:tcPr>
            <w:tcW w:w="8988" w:type="dxa"/>
            <w:tcBorders>
              <w:top w:val="single" w:color="B4C3D8" w:sz="2" w:space="0"/>
              <w:bottom w:val="single" w:color="B4C3D8"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一、空气源热泵采暖系统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1、方案概述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采用空气源热泵形式改造用户共479户。每户独立供暖，空气源热泵机组为成套设备，可在居民户内实现热水循环、补水等流程。原居民户内电源无法满足空气源热泵供热系统要求，需另行接入外部电源。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2、空气源热泵系统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2.1供热介质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空气源热泵系统以热水作为采暖供热介质，以直接供热方式供暖，在室外设置空气源热泵机组，从大气中提取热量加热采暖循环水，经循环水泵加压直接送至采暖热用户。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2.2系统设置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户用空气源热泵供热系统主要设备包括：空气源热泵机组、循环泵、电辅热、补水阀等。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rPr>
              <w:t>空气源热泵室外机利用电能从室外吸收大气中的热量加热室外系统循环水，送至室内机换热。热量经换热传递至室内系统循环水中，在室内循环水泵的作用下，热水在室内散热系统循环放热，达到给室内采暖的目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val="en-US" w:eastAsia="zh-CN"/>
              </w:rPr>
              <w:t>3、</w:t>
            </w:r>
            <w:r>
              <w:rPr>
                <w:rFonts w:hint="eastAsia" w:asciiTheme="minorEastAsia" w:hAnsiTheme="minorEastAsia" w:eastAsiaTheme="minorEastAsia" w:cstheme="minorEastAsia"/>
                <w:spacing w:val="2"/>
                <w:sz w:val="20"/>
                <w:szCs w:val="20"/>
                <w:highlight w:val="none"/>
              </w:rPr>
              <w:t>主要设备选型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3.1空气源热泵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空气源热泵机组选用性能系数高、运行稳定可靠的设备。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1</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rPr>
              <w:t>每户设置1台户用空气源热泵热水机组，需与热负荷变化情况及运行调节要求相适应，一般不考虑备用。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val="en-US"/>
              </w:rPr>
              <w:t>热泵机组应选用性能系数较高的产品设备；同时，机组的部分负荷性能及变工况性能良好。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（3）</w:t>
            </w:r>
            <w:r>
              <w:rPr>
                <w:rFonts w:hint="eastAsia" w:asciiTheme="minorEastAsia" w:hAnsiTheme="minorEastAsia" w:eastAsiaTheme="minorEastAsia" w:cstheme="minorEastAsia"/>
                <w:spacing w:val="2"/>
                <w:sz w:val="20"/>
                <w:szCs w:val="20"/>
                <w:highlight w:val="none"/>
                <w:lang w:val="en-US"/>
              </w:rPr>
              <w:t>在冬季最冷月，热泵机组能稳定运行，需</w:t>
            </w:r>
            <w:r>
              <w:rPr>
                <w:rFonts w:hint="eastAsia" w:asciiTheme="minorEastAsia" w:hAnsiTheme="minorEastAsia" w:eastAsiaTheme="minorEastAsia" w:cstheme="minorEastAsia"/>
                <w:spacing w:val="2"/>
                <w:sz w:val="20"/>
                <w:szCs w:val="20"/>
                <w:highlight w:val="none"/>
                <w:lang w:val="en-US" w:eastAsia="zh-CN"/>
              </w:rPr>
              <w:t>加电</w:t>
            </w:r>
            <w:r>
              <w:rPr>
                <w:rFonts w:hint="eastAsia" w:asciiTheme="minorEastAsia" w:hAnsiTheme="minorEastAsia" w:eastAsiaTheme="minorEastAsia" w:cstheme="minorEastAsia"/>
                <w:spacing w:val="2"/>
                <w:sz w:val="20"/>
                <w:szCs w:val="20"/>
                <w:highlight w:val="none"/>
                <w:lang w:val="en-US"/>
              </w:rPr>
              <w:t>辅助热源，并保证出水温度不低于5</w:t>
            </w:r>
            <w:r>
              <w:rPr>
                <w:rFonts w:hint="eastAsia" w:asciiTheme="minorEastAsia" w:hAnsiTheme="minorEastAsia" w:eastAsiaTheme="minorEastAsia" w:cstheme="minorEastAsia"/>
                <w:spacing w:val="2"/>
                <w:sz w:val="20"/>
                <w:szCs w:val="20"/>
                <w:highlight w:val="none"/>
                <w:lang w:val="en-US" w:eastAsia="zh-CN"/>
              </w:rPr>
              <w:t>5</w:t>
            </w:r>
            <w:r>
              <w:rPr>
                <w:rFonts w:hint="eastAsia" w:asciiTheme="minorEastAsia" w:hAnsiTheme="minorEastAsia" w:eastAsiaTheme="minorEastAsia" w:cstheme="minorEastAsia"/>
                <w:spacing w:val="2"/>
                <w:sz w:val="20"/>
                <w:szCs w:val="20"/>
                <w:highlight w:val="none"/>
                <w:lang w:val="en-US"/>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（4）</w:t>
            </w:r>
            <w:r>
              <w:rPr>
                <w:rFonts w:hint="eastAsia" w:asciiTheme="minorEastAsia" w:hAnsiTheme="minorEastAsia" w:eastAsiaTheme="minorEastAsia" w:cstheme="minorEastAsia"/>
                <w:spacing w:val="2"/>
                <w:sz w:val="20"/>
                <w:szCs w:val="20"/>
                <w:highlight w:val="none"/>
                <w:lang w:val="en-US"/>
              </w:rPr>
              <w:t>热泵机组应具备自动除霜功能，保证快速除霜正常供热。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（5）</w:t>
            </w:r>
            <w:r>
              <w:rPr>
                <w:rFonts w:hint="eastAsia" w:asciiTheme="minorEastAsia" w:hAnsiTheme="minorEastAsia" w:eastAsiaTheme="minorEastAsia" w:cstheme="minorEastAsia"/>
                <w:spacing w:val="2"/>
                <w:sz w:val="20"/>
                <w:szCs w:val="20"/>
                <w:highlight w:val="none"/>
                <w:lang w:val="en-US"/>
              </w:rPr>
              <w:t>热泵机组应使用环保型冷媒。</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（6）</w:t>
            </w:r>
            <w:r>
              <w:rPr>
                <w:rFonts w:hint="eastAsia" w:asciiTheme="minorEastAsia" w:hAnsiTheme="minorEastAsia" w:eastAsiaTheme="minorEastAsia" w:cstheme="minorEastAsia"/>
                <w:spacing w:val="2"/>
                <w:sz w:val="20"/>
                <w:szCs w:val="20"/>
                <w:highlight w:val="none"/>
                <w:lang w:val="en-US"/>
              </w:rPr>
              <w:t>空气源热泵cop应满足标准工况下（环境干球温度7℃）COP≥2.0，低环境温度下（环境干球温度-20℃）COP≥1.35。</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（7）</w:t>
            </w:r>
            <w:r>
              <w:rPr>
                <w:rFonts w:hint="eastAsia" w:asciiTheme="minorEastAsia" w:hAnsiTheme="minorEastAsia" w:eastAsiaTheme="minorEastAsia" w:cstheme="minorEastAsia"/>
                <w:spacing w:val="2"/>
                <w:sz w:val="20"/>
                <w:szCs w:val="20"/>
                <w:highlight w:val="none"/>
                <w:lang w:val="en-US"/>
              </w:rPr>
              <w:t xml:space="preserve">根据农村居民实际采暖面积选择空气源热泵规格，根据空气源热泵常用产品规格，及农村居民居住情况，按照100~60平米采用额定制热量14kw机组，≤60平米采用额定制热量9kw机组。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（8）</w:t>
            </w:r>
            <w:r>
              <w:rPr>
                <w:rFonts w:hint="eastAsia" w:asciiTheme="minorEastAsia" w:hAnsiTheme="minorEastAsia" w:eastAsiaTheme="minorEastAsia" w:cstheme="minorEastAsia"/>
                <w:spacing w:val="2"/>
                <w:sz w:val="20"/>
                <w:szCs w:val="20"/>
                <w:highlight w:val="none"/>
                <w:lang w:val="en-US"/>
              </w:rPr>
              <w:t>对于＞100平米住宅选用额定制热量21kw机组，该功率机组报价仅作为参考，用于居民选装时补差价用，不计入本次投标总价。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outlineLvl w:val="0"/>
              <w:rPr>
                <w:rFonts w:ascii="宋体" w:hAnsi="宋体"/>
                <w:spacing w:val="2"/>
                <w:sz w:val="19"/>
                <w:szCs w:val="19"/>
                <w:highlight w:val="none"/>
              </w:rPr>
            </w:pPr>
            <w:r>
              <w:rPr>
                <w:rFonts w:hint="eastAsia" w:asciiTheme="minorEastAsia" w:hAnsiTheme="minorEastAsia" w:eastAsiaTheme="minorEastAsia" w:cstheme="minorEastAsia"/>
                <w:spacing w:val="2"/>
                <w:sz w:val="20"/>
                <w:szCs w:val="20"/>
                <w:highlight w:val="none"/>
                <w:lang w:val="en-US" w:eastAsia="zh-CN"/>
              </w:rPr>
              <w:t>★</w:t>
            </w:r>
            <w:r>
              <w:rPr>
                <w:rFonts w:hint="eastAsia" w:ascii="宋体" w:hAnsi="宋体"/>
                <w:spacing w:val="2"/>
                <w:sz w:val="19"/>
                <w:szCs w:val="19"/>
                <w:highlight w:val="none"/>
              </w:rPr>
              <w:t>台额定制热量9KW机组</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92"/>
              <w:gridCol w:w="3025"/>
              <w:gridCol w:w="2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内容</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要求</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压缩机形式</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直流变频转子式</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额定单台制热量（KW）</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≥9KW</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超低环境温度下的制热量</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≥4.5KW</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41℃出水，IPLV (H)（W/W）</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2.79</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超低温制热工况的Cop(KW/KW)</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Cop≥1.35</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额定进水温度（℃）</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45</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额定出水温度（℃）</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55</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标准制热工况COP比值</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 xml:space="preserve"> ≥3</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冷媒</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环保冷媒</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电源</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380V±50Hz</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噪音（dB (A)）</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 xml:space="preserve">噪声声压应≤65dB </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运行环境温度（℃）</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-30~35</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除霜方式</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智能除霜</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防触电保护类型</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I类</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防水等级</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IPX4</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循环水泵</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可外置</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控制系统</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智能操作、根据室内外温度自动调节、维持室内恒温。</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电辅热（KW）</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≥2KW,可外置</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压缩机免大修时间（H）</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大于3万小时</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类型</w:t>
                  </w:r>
                </w:p>
              </w:tc>
              <w:tc>
                <w:tcPr>
                  <w:tcW w:w="3025"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分体机</w:t>
                  </w:r>
                </w:p>
              </w:tc>
              <w:tc>
                <w:tcPr>
                  <w:tcW w:w="2132"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bl>
          <w:p>
            <w:pPr>
              <w:outlineLvl w:val="0"/>
              <w:rPr>
                <w:rFonts w:hint="eastAsia" w:ascii="宋体" w:hAnsi="宋体"/>
                <w:spacing w:val="2"/>
                <w:sz w:val="19"/>
                <w:szCs w:val="19"/>
                <w:highlight w:val="none"/>
              </w:rPr>
            </w:pPr>
            <w:r>
              <w:rPr>
                <w:rFonts w:hint="eastAsia" w:asciiTheme="minorEastAsia" w:hAnsiTheme="minorEastAsia" w:eastAsiaTheme="minorEastAsia" w:cstheme="minorEastAsia"/>
                <w:spacing w:val="2"/>
                <w:sz w:val="20"/>
                <w:szCs w:val="20"/>
                <w:highlight w:val="none"/>
                <w:lang w:val="en-US" w:eastAsia="zh-CN"/>
              </w:rPr>
              <w:t>★</w:t>
            </w:r>
            <w:r>
              <w:rPr>
                <w:rFonts w:hint="eastAsia" w:ascii="宋体" w:hAnsi="宋体"/>
                <w:spacing w:val="2"/>
                <w:sz w:val="19"/>
                <w:szCs w:val="19"/>
                <w:highlight w:val="none"/>
              </w:rPr>
              <w:t>单台额定制热量14KW机组</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30"/>
              <w:gridCol w:w="2987"/>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内容</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要求</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压缩机形式</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直流变频转子式</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额定单台制热量（KW）</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≥14KW</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超低环境温度下的制热量</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≥8KW</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41℃出水，IPLV (H)（W/W）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2.79</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超低温制热工况的Cop(KW/KW)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Cop≥1.35</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额定进水温度（℃）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45</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额定出水温度（℃）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55</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标准制热工况COP比值(KW/KW)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 xml:space="preserve"> ≥3</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冷媒</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环保冷媒</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电源</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380V±50Hz</w:t>
                  </w:r>
                </w:p>
              </w:tc>
              <w:tc>
                <w:tcPr>
                  <w:tcW w:w="2151"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噪音（dB (A)）</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噪声声压应≤65dB</w:t>
                  </w:r>
                </w:p>
              </w:tc>
              <w:tc>
                <w:tcPr>
                  <w:tcW w:w="2151"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 xml:space="preserve"> 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运行环境温度（℃）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-30~35</w:t>
                  </w:r>
                </w:p>
              </w:tc>
              <w:tc>
                <w:tcPr>
                  <w:tcW w:w="2151"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除霜方式</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智能除霜</w:t>
                  </w:r>
                </w:p>
              </w:tc>
              <w:tc>
                <w:tcPr>
                  <w:tcW w:w="2151"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防触电保护类型</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I类</w:t>
                  </w:r>
                </w:p>
              </w:tc>
              <w:tc>
                <w:tcPr>
                  <w:tcW w:w="2151"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防水等级</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IPX4</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循环水泵</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外置</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控制系统</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智能操作、根据室内外温度自动调节、维持室内恒温</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电辅热（KW）</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≥3KW,可外置</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压缩机免大修时间（H）</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大于3万小时</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类型</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分体机</w:t>
                  </w:r>
                </w:p>
              </w:tc>
              <w:tc>
                <w:tcPr>
                  <w:tcW w:w="2151"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bl>
          <w:p>
            <w:pPr>
              <w:outlineLvl w:val="0"/>
              <w:rPr>
                <w:rFonts w:hint="eastAsia" w:ascii="宋体" w:hAnsi="宋体"/>
                <w:spacing w:val="2"/>
                <w:sz w:val="19"/>
                <w:szCs w:val="19"/>
                <w:highlight w:val="none"/>
              </w:rPr>
            </w:pPr>
          </w:p>
          <w:p>
            <w:pPr>
              <w:outlineLvl w:val="0"/>
              <w:rPr>
                <w:rFonts w:hint="eastAsia" w:ascii="宋体" w:hAnsi="宋体"/>
                <w:spacing w:val="2"/>
                <w:sz w:val="19"/>
                <w:szCs w:val="19"/>
                <w:highlight w:val="none"/>
              </w:rPr>
            </w:pPr>
            <w:r>
              <w:rPr>
                <w:rFonts w:hint="eastAsia" w:asciiTheme="minorEastAsia" w:hAnsiTheme="minorEastAsia" w:eastAsiaTheme="minorEastAsia" w:cstheme="minorEastAsia"/>
                <w:spacing w:val="2"/>
                <w:sz w:val="20"/>
                <w:szCs w:val="20"/>
                <w:highlight w:val="none"/>
                <w:lang w:val="en-US" w:eastAsia="zh-CN"/>
              </w:rPr>
              <w:t>★</w:t>
            </w:r>
            <w:r>
              <w:rPr>
                <w:rFonts w:hint="eastAsia" w:ascii="宋体" w:hAnsi="宋体"/>
                <w:spacing w:val="2"/>
                <w:sz w:val="19"/>
                <w:szCs w:val="19"/>
                <w:highlight w:val="none"/>
              </w:rPr>
              <w:t>单台额定制热量</w:t>
            </w:r>
            <w:r>
              <w:rPr>
                <w:rFonts w:hint="eastAsia" w:ascii="宋体" w:hAnsi="宋体"/>
                <w:spacing w:val="2"/>
                <w:sz w:val="19"/>
                <w:szCs w:val="19"/>
                <w:highlight w:val="none"/>
                <w:lang w:val="en-US" w:eastAsia="zh-CN"/>
              </w:rPr>
              <w:t>17</w:t>
            </w:r>
            <w:r>
              <w:rPr>
                <w:rFonts w:hint="eastAsia" w:ascii="宋体" w:hAnsi="宋体"/>
                <w:spacing w:val="2"/>
                <w:sz w:val="19"/>
                <w:szCs w:val="19"/>
                <w:highlight w:val="none"/>
              </w:rPr>
              <w:t>KW机组</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30"/>
              <w:gridCol w:w="2987"/>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内容</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要求</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压缩机形式</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直流变频转子式</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额定单台制热量（KW）</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≥1</w:t>
                  </w:r>
                  <w:r>
                    <w:rPr>
                      <w:rFonts w:hint="eastAsia" w:ascii="宋体" w:hAnsi="宋体"/>
                      <w:spacing w:val="2"/>
                      <w:sz w:val="19"/>
                      <w:szCs w:val="19"/>
                      <w:highlight w:val="none"/>
                      <w:lang w:val="en-US" w:eastAsia="zh-CN"/>
                    </w:rPr>
                    <w:t>7</w:t>
                  </w:r>
                  <w:r>
                    <w:rPr>
                      <w:rFonts w:hint="eastAsia" w:ascii="宋体" w:hAnsi="宋体"/>
                      <w:spacing w:val="2"/>
                      <w:sz w:val="19"/>
                      <w:szCs w:val="19"/>
                      <w:highlight w:val="none"/>
                    </w:rPr>
                    <w:t>KW</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超低环境温度下的制热量</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w:t>
                  </w:r>
                  <w:r>
                    <w:rPr>
                      <w:rFonts w:hint="eastAsia" w:ascii="宋体" w:hAnsi="宋体"/>
                      <w:spacing w:val="2"/>
                      <w:sz w:val="19"/>
                      <w:szCs w:val="19"/>
                      <w:highlight w:val="none"/>
                      <w:lang w:val="en-US" w:eastAsia="zh-CN"/>
                    </w:rPr>
                    <w:t>10</w:t>
                  </w:r>
                  <w:r>
                    <w:rPr>
                      <w:rFonts w:hint="eastAsia" w:ascii="宋体" w:hAnsi="宋体"/>
                      <w:spacing w:val="2"/>
                      <w:sz w:val="19"/>
                      <w:szCs w:val="19"/>
                      <w:highlight w:val="none"/>
                    </w:rPr>
                    <w:t>KW</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41℃出水，IPLV (H)（W/W）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2.79</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超低温制热工况的Cop（(KW/KW)）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Cop≥1.35</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额定进水温度（℃）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45</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额定出水温度（℃）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55</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标准制热工况COP比值(KW/KW)</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 xml:space="preserve"> ≥3</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冷媒</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环保冷媒</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电源</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380V±50Hz</w:t>
                  </w:r>
                </w:p>
              </w:tc>
              <w:tc>
                <w:tcPr>
                  <w:tcW w:w="2076"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噪音（dB (A)）</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噪声声压应≤65dB</w:t>
                  </w:r>
                </w:p>
              </w:tc>
              <w:tc>
                <w:tcPr>
                  <w:tcW w:w="2076"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 xml:space="preserve"> 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运行环境温度（℃）</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-30~35</w:t>
                  </w:r>
                </w:p>
              </w:tc>
              <w:tc>
                <w:tcPr>
                  <w:tcW w:w="2076"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除霜方式</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智能除霜</w:t>
                  </w:r>
                </w:p>
              </w:tc>
              <w:tc>
                <w:tcPr>
                  <w:tcW w:w="2076"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防触电保护类型</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I类</w:t>
                  </w:r>
                </w:p>
              </w:tc>
              <w:tc>
                <w:tcPr>
                  <w:tcW w:w="2076"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防水等级</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IPX4</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循环水泵</w:t>
                  </w:r>
                </w:p>
              </w:tc>
              <w:tc>
                <w:tcPr>
                  <w:tcW w:w="298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外置</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控制系统</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智能操作、根据室内外温度自动调节、维持室内恒温</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电辅热（KW）</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w:t>
                  </w:r>
                  <w:r>
                    <w:rPr>
                      <w:rFonts w:hint="eastAsia" w:ascii="宋体" w:hAnsi="宋体"/>
                      <w:spacing w:val="2"/>
                      <w:sz w:val="19"/>
                      <w:szCs w:val="19"/>
                      <w:highlight w:val="none"/>
                      <w:lang w:val="en-US" w:eastAsia="zh-CN"/>
                    </w:rPr>
                    <w:t>3</w:t>
                  </w:r>
                  <w:r>
                    <w:rPr>
                      <w:rFonts w:hint="eastAsia" w:ascii="宋体" w:hAnsi="宋体"/>
                      <w:spacing w:val="2"/>
                      <w:sz w:val="19"/>
                      <w:szCs w:val="19"/>
                      <w:highlight w:val="none"/>
                    </w:rPr>
                    <w:t>KW,可外置</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压缩机免大修时间（H）</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大于3万小时</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类型</w:t>
                  </w:r>
                </w:p>
              </w:tc>
              <w:tc>
                <w:tcPr>
                  <w:tcW w:w="2987" w:type="dxa"/>
                  <w:tcBorders>
                    <w:top w:val="single" w:color="auto" w:sz="6" w:space="0"/>
                    <w:left w:val="single" w:color="auto" w:sz="6" w:space="0"/>
                    <w:bottom w:val="single" w:color="auto" w:sz="6" w:space="0"/>
                    <w:right w:val="single" w:color="auto" w:sz="6" w:space="0"/>
                  </w:tcBorders>
                </w:tcPr>
                <w:p>
                  <w:pPr>
                    <w:rPr>
                      <w:rFonts w:ascii="宋体" w:hAnsi="宋体"/>
                      <w:spacing w:val="2"/>
                      <w:sz w:val="19"/>
                      <w:szCs w:val="19"/>
                      <w:highlight w:val="none"/>
                    </w:rPr>
                  </w:pPr>
                  <w:r>
                    <w:rPr>
                      <w:rFonts w:hint="eastAsia" w:ascii="宋体" w:hAnsi="宋体"/>
                      <w:spacing w:val="2"/>
                      <w:sz w:val="19"/>
                      <w:szCs w:val="19"/>
                      <w:highlight w:val="none"/>
                    </w:rPr>
                    <w:t>分体机</w:t>
                  </w:r>
                </w:p>
              </w:tc>
              <w:tc>
                <w:tcPr>
                  <w:tcW w:w="2076"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bl>
          <w:p>
            <w:pPr>
              <w:rPr>
                <w:rFonts w:hint="eastAsia" w:ascii="宋体" w:hAnsi="宋体"/>
                <w:spacing w:val="2"/>
                <w:sz w:val="19"/>
                <w:szCs w:val="19"/>
                <w:highlight w:val="none"/>
              </w:rPr>
            </w:pPr>
            <w:r>
              <w:rPr>
                <w:rFonts w:hint="eastAsia" w:ascii="宋体" w:hAnsi="宋体"/>
                <w:spacing w:val="2"/>
                <w:sz w:val="19"/>
                <w:szCs w:val="19"/>
                <w:highlight w:val="none"/>
              </w:rPr>
              <w:br w:type="page"/>
            </w:r>
          </w:p>
          <w:p>
            <w:pPr>
              <w:outlineLvl w:val="0"/>
              <w:rPr>
                <w:rFonts w:hint="eastAsia" w:ascii="宋体" w:hAnsi="宋体"/>
                <w:spacing w:val="2"/>
                <w:sz w:val="19"/>
                <w:szCs w:val="19"/>
                <w:highlight w:val="none"/>
              </w:rPr>
            </w:pPr>
            <w:r>
              <w:rPr>
                <w:rFonts w:hint="eastAsia" w:asciiTheme="minorEastAsia" w:hAnsiTheme="minorEastAsia" w:eastAsiaTheme="minorEastAsia" w:cstheme="minorEastAsia"/>
                <w:spacing w:val="2"/>
                <w:sz w:val="20"/>
                <w:szCs w:val="20"/>
                <w:highlight w:val="none"/>
                <w:lang w:val="en-US" w:eastAsia="zh-CN"/>
              </w:rPr>
              <w:t>★</w:t>
            </w:r>
            <w:r>
              <w:rPr>
                <w:rFonts w:hint="eastAsia" w:ascii="宋体" w:hAnsi="宋体"/>
                <w:spacing w:val="2"/>
                <w:sz w:val="19"/>
                <w:szCs w:val="19"/>
                <w:highlight w:val="none"/>
              </w:rPr>
              <w:t>单台额定制热量21KW机组</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228"/>
              <w:gridCol w:w="2124"/>
              <w:gridCol w:w="22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top"/>
                </w:tcPr>
                <w:p>
                  <w:pPr>
                    <w:rPr>
                      <w:rFonts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内容</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要求</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额定供热量（kw）</w:t>
                  </w:r>
                </w:p>
              </w:tc>
              <w:tc>
                <w:tcPr>
                  <w:tcW w:w="2124"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≥21</w:t>
                  </w:r>
                </w:p>
              </w:tc>
              <w:tc>
                <w:tcPr>
                  <w:tcW w:w="229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Arial"/>
                      <w:color w:val="000000"/>
                      <w:spacing w:val="2"/>
                      <w:kern w:val="0"/>
                      <w:sz w:val="19"/>
                      <w:szCs w:val="19"/>
                      <w:highlight w:val="none"/>
                      <w:lang w:val="en-US" w:eastAsia="zh-CN" w:bidi="ar-SA"/>
                    </w:rPr>
                  </w:pPr>
                  <w:r>
                    <w:rPr>
                      <w:rFonts w:hint="eastAsia" w:ascii="宋体" w:hAnsi="宋体"/>
                      <w:spacing w:val="2"/>
                      <w:sz w:val="19"/>
                      <w:szCs w:val="19"/>
                      <w:highlight w:val="none"/>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超低温制热量（kw）</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≥9.5</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超低温制热工况COP值</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≥1.35</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额定工作压力（MPa）</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0.6</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额定出水温度（℃）</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55</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额定进水温度（℃）</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45</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压缩机形式</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直流变频转子</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电源</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380V</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运行环境温度</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-30~35℃</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除霜方式</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智能除霜</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类型</w:t>
                  </w:r>
                </w:p>
              </w:tc>
              <w:tc>
                <w:tcPr>
                  <w:tcW w:w="2124"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分体机</w:t>
                  </w:r>
                </w:p>
              </w:tc>
              <w:tc>
                <w:tcPr>
                  <w:tcW w:w="2297" w:type="dxa"/>
                  <w:tcBorders>
                    <w:top w:val="single" w:color="auto" w:sz="6" w:space="0"/>
                    <w:left w:val="single" w:color="auto" w:sz="6" w:space="0"/>
                    <w:bottom w:val="single" w:color="auto" w:sz="6" w:space="0"/>
                    <w:right w:val="single" w:color="auto" w:sz="6" w:space="0"/>
                  </w:tcBorders>
                  <w:vAlign w:val="center"/>
                </w:tcPr>
                <w:p>
                  <w:pPr>
                    <w:rPr>
                      <w:rFonts w:ascii="宋体" w:hAnsi="宋体"/>
                      <w:spacing w:val="2"/>
                      <w:sz w:val="19"/>
                      <w:szCs w:val="19"/>
                      <w:highlight w:val="none"/>
                    </w:rPr>
                  </w:pPr>
                  <w:r>
                    <w:rPr>
                      <w:rFonts w:hint="eastAsia" w:ascii="宋体" w:hAnsi="宋体"/>
                      <w:spacing w:val="2"/>
                      <w:sz w:val="19"/>
                      <w:szCs w:val="19"/>
                      <w:highlight w:val="none"/>
                    </w:rPr>
                    <w:t>配套供货</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4</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电气系统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（1）供电电源及供电系统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农村用户：由变压器低压出线侧引出单路AC 380/</w:t>
            </w:r>
            <w:r>
              <w:rPr>
                <w:rFonts w:hint="eastAsia" w:asciiTheme="minorEastAsia" w:hAnsiTheme="minorEastAsia" w:eastAsiaTheme="minorEastAsia" w:cstheme="minorEastAsia"/>
                <w:spacing w:val="2"/>
                <w:sz w:val="20"/>
                <w:szCs w:val="20"/>
                <w:highlight w:val="none"/>
                <w:lang w:val="en-US" w:eastAsia="zh-CN"/>
              </w:rPr>
              <w:t>380</w:t>
            </w:r>
            <w:r>
              <w:rPr>
                <w:rFonts w:hint="eastAsia" w:asciiTheme="minorEastAsia" w:hAnsiTheme="minorEastAsia" w:eastAsiaTheme="minorEastAsia" w:cstheme="minorEastAsia"/>
                <w:spacing w:val="2"/>
                <w:sz w:val="20"/>
                <w:szCs w:val="20"/>
                <w:highlight w:val="none"/>
              </w:rPr>
              <w:t>V电源，采用绝缘导线或电缆敷设至用户附近，然后通过下户线接至用户新装户表。其中变压器至新装户表箱由电网公司负责，投标方负责设备接线从新装户表至用户设备（报价仅包含50米线缆，超出部分</w:t>
            </w:r>
            <w:r>
              <w:rPr>
                <w:rFonts w:hint="eastAsia" w:asciiTheme="minorEastAsia" w:hAnsiTheme="minorEastAsia" w:eastAsiaTheme="minorEastAsia" w:cstheme="minorEastAsia"/>
                <w:spacing w:val="2"/>
                <w:sz w:val="20"/>
                <w:szCs w:val="20"/>
                <w:highlight w:val="none"/>
                <w:lang w:val="en-US" w:eastAsia="zh-CN"/>
              </w:rPr>
              <w:t>由居民用户自行承担</w:t>
            </w:r>
            <w:r>
              <w:rPr>
                <w:rFonts w:hint="eastAsia" w:asciiTheme="minorEastAsia" w:hAnsiTheme="minorEastAsia" w:eastAsiaTheme="minorEastAsia" w:cstheme="minorEastAsia"/>
                <w:spacing w:val="2"/>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（2）导线选择和线路敷设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val="en-US"/>
              </w:rPr>
              <w:t>选用电力电缆</w:t>
            </w:r>
            <w:r>
              <w:rPr>
                <w:rFonts w:hint="eastAsia" w:asciiTheme="minorEastAsia" w:hAnsiTheme="minorEastAsia" w:eastAsiaTheme="minorEastAsia" w:cstheme="minorEastAsia"/>
                <w:spacing w:val="2"/>
                <w:sz w:val="20"/>
                <w:szCs w:val="20"/>
                <w:highlight w:val="none"/>
              </w:rPr>
              <w:t>或</w:t>
            </w:r>
            <w:r>
              <w:rPr>
                <w:rFonts w:hint="eastAsia" w:asciiTheme="minorEastAsia" w:hAnsiTheme="minorEastAsia" w:eastAsiaTheme="minorEastAsia" w:cstheme="minorEastAsia"/>
                <w:spacing w:val="2"/>
                <w:sz w:val="20"/>
                <w:szCs w:val="20"/>
                <w:highlight w:val="none"/>
                <w:lang w:val="en-US"/>
              </w:rPr>
              <w:t>导线</w:t>
            </w:r>
            <w:r>
              <w:rPr>
                <w:rFonts w:hint="eastAsia" w:asciiTheme="minorEastAsia" w:hAnsiTheme="minorEastAsia" w:eastAsiaTheme="minorEastAsia" w:cstheme="minorEastAsia"/>
                <w:spacing w:val="2"/>
                <w:sz w:val="20"/>
                <w:szCs w:val="20"/>
                <w:highlight w:val="none"/>
              </w:rPr>
              <w:t>，电缆线径符合国家设计标准，电缆电线载流量应满足设备最大载流量。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（3）接地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二、太阳能+电辅热采暖系统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1 </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方案概述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采用</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形式改造该方式在居民庭院中或屋顶设置</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及蓄热水罐，利用原采暖煤炉房间设置壁挂式电热水器及控制器。每户独立供暖，采暖系统为成套设备，可在居民户内实现热水循环、补水等流程。采用自来水作为补水。原居民户内电源无法满足采暖系统要求，需另行接入外部电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2.1供热介质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采暖系统以热水作为采暖供热介质，以直接供热方式供暖，在室外设置</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，白天集热器吸收太阳光热量加热采暖循环水，并利用蓄热水罐蓄热，夜间电热水器利用低谷电加热采暖循环水，经循环水泵加压直接送至采暖热用户。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2.2系统设置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采暖系统主要设备包括：</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、壁挂式电热水器、蓄热水罐、设备支架、控制器、循环泵、连接管路、阀门及附件等。系统设置应满足《民用建筑太阳能热水系统应用技术标准》（GB50364-2018）的相关要求。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1</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rPr>
              <w:t>太阳能热水系统类型的选择，应根据建筑物类型、使用功能、安装条件、居民要求、地理位置、气候条件、太阳能资源等因素综合确定。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val="en-US"/>
              </w:rPr>
              <w:t>在既有建筑上增设或改造太阳能热水系统，必须经建筑结构安全复核，并应满足建筑结构的安全性要求。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（3）</w:t>
            </w:r>
            <w:r>
              <w:rPr>
                <w:rFonts w:hint="eastAsia" w:asciiTheme="minorEastAsia" w:hAnsiTheme="minorEastAsia" w:eastAsiaTheme="minorEastAsia" w:cstheme="minorEastAsia"/>
                <w:spacing w:val="2"/>
                <w:sz w:val="20"/>
                <w:szCs w:val="20"/>
                <w:highlight w:val="none"/>
                <w:lang w:val="en-US"/>
              </w:rPr>
              <w:t>太阳能热水系统应采取防冻、防结露、防过热、放电击、防雷、抗雹、抗风、抗震等技术措施。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（4）</w:t>
            </w:r>
            <w:r>
              <w:rPr>
                <w:rFonts w:hint="eastAsia" w:asciiTheme="minorEastAsia" w:hAnsiTheme="minorEastAsia" w:eastAsiaTheme="minorEastAsia" w:cstheme="minorEastAsia"/>
                <w:spacing w:val="2"/>
                <w:sz w:val="20"/>
                <w:szCs w:val="20"/>
                <w:highlight w:val="none"/>
                <w:lang w:val="en-US"/>
              </w:rPr>
              <w:t>太阳能集热系统的管路应采用镀锌钢管，配件应采用钢制或铜制，耐温不应小于200℃。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（5）</w:t>
            </w:r>
            <w:r>
              <w:rPr>
                <w:rFonts w:hint="eastAsia" w:asciiTheme="minorEastAsia" w:hAnsiTheme="minorEastAsia" w:eastAsiaTheme="minorEastAsia" w:cstheme="minorEastAsia"/>
                <w:spacing w:val="2"/>
                <w:sz w:val="20"/>
                <w:szCs w:val="20"/>
                <w:highlight w:val="none"/>
                <w:lang w:val="en-US"/>
              </w:rPr>
              <w:t>太阳能集热系统的管路保温设计应按照现行国家标准《设备及管道绝热技术通则》GB/T4272和《设备及管道绝热设计导则》GB/T8175执行。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（6）</w:t>
            </w:r>
            <w:r>
              <w:rPr>
                <w:rFonts w:hint="eastAsia" w:asciiTheme="minorEastAsia" w:hAnsiTheme="minorEastAsia" w:eastAsiaTheme="minorEastAsia" w:cstheme="minorEastAsia"/>
                <w:spacing w:val="2"/>
                <w:sz w:val="20"/>
                <w:szCs w:val="20"/>
                <w:highlight w:val="none"/>
                <w:lang w:val="en-US"/>
              </w:rPr>
              <w:t>太阳能热水系统辅热设备采用快热式电热水器，电热水器应满足国家标准《快热式电热水器》（GB/T26185-2010）。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（7）</w:t>
            </w:r>
            <w:r>
              <w:rPr>
                <w:rFonts w:hint="eastAsia" w:asciiTheme="minorEastAsia" w:hAnsiTheme="minorEastAsia" w:eastAsiaTheme="minorEastAsia" w:cstheme="minorEastAsia"/>
                <w:spacing w:val="2"/>
                <w:sz w:val="20"/>
                <w:szCs w:val="20"/>
                <w:highlight w:val="none"/>
                <w:lang w:val="en-US"/>
              </w:rPr>
              <w:t>80-100平米住宅，</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集热面积应≥14㎡；60-80平米住宅，</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集热面积应≥11㎡；60平米以下住宅，</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集热面积应≥8㎡。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（8）</w:t>
            </w:r>
            <w:r>
              <w:rPr>
                <w:rFonts w:hint="eastAsia" w:asciiTheme="minorEastAsia" w:hAnsiTheme="minorEastAsia" w:eastAsiaTheme="minorEastAsia" w:cstheme="minorEastAsia"/>
                <w:spacing w:val="2"/>
                <w:sz w:val="20"/>
                <w:szCs w:val="20"/>
                <w:highlight w:val="none"/>
                <w:lang w:val="en-US"/>
              </w:rPr>
              <w:t>配套电热水器：80-100平米住宅，电热水器制热量应≥12kw；60-80平米住宅，电热水器制热量应≥9kw；60平米以下住宅，电热水器制热量应≥7kw。</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（9）</w:t>
            </w:r>
            <w:r>
              <w:rPr>
                <w:rFonts w:hint="eastAsia" w:asciiTheme="minorEastAsia" w:hAnsiTheme="minorEastAsia" w:eastAsiaTheme="minorEastAsia" w:cstheme="minorEastAsia"/>
                <w:spacing w:val="2"/>
                <w:sz w:val="20"/>
                <w:szCs w:val="20"/>
                <w:highlight w:val="none"/>
                <w:lang w:val="en-US"/>
              </w:rPr>
              <w:t>对于＞100平米住宅，</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面积选用≥17㎡,电热水器制热量应≥14kw。该选型系统报价仅作为参考，用于居民选装时补差价用，不计入本次投标总价。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3</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主要设备选型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eastAsia="zh-CN"/>
              </w:rPr>
            </w:pPr>
            <w:r>
              <w:rPr>
                <w:rFonts w:hint="eastAsia" w:asciiTheme="minorEastAsia" w:hAnsiTheme="minorEastAsia" w:eastAsiaTheme="minorEastAsia" w:cstheme="minorEastAsia"/>
                <w:spacing w:val="2"/>
                <w:sz w:val="20"/>
                <w:szCs w:val="20"/>
                <w:highlight w:val="none"/>
              </w:rPr>
              <w:t>3.1</w:t>
            </w:r>
            <w:r>
              <w:rPr>
                <w:rFonts w:hint="eastAsia" w:asciiTheme="minorEastAsia" w:hAnsiTheme="minorEastAsia" w:eastAsiaTheme="minorEastAsia" w:cstheme="minorEastAsia"/>
                <w:spacing w:val="2"/>
                <w:sz w:val="20"/>
                <w:szCs w:val="20"/>
                <w:highlight w:val="none"/>
                <w:lang w:eastAsia="zh-CN"/>
              </w:rPr>
              <w:t>太阳能电辅热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（1）太阳能电辅热</w:t>
            </w:r>
            <w:r>
              <w:rPr>
                <w:rFonts w:hint="eastAsia" w:asciiTheme="minorEastAsia" w:hAnsiTheme="minorEastAsia" w:eastAsiaTheme="minorEastAsia" w:cstheme="minorEastAsia"/>
                <w:spacing w:val="2"/>
                <w:sz w:val="20"/>
                <w:szCs w:val="20"/>
                <w:highlight w:val="none"/>
                <w:lang w:val="en-US"/>
              </w:rPr>
              <w:t>采用热管式真空管太阳集热器，集热器应具备集热效率高、得热量大、输出温度高、承压运行快、结构强度高、抗冻性强、安装维护方便、使用中无漏水隐患的特点。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val="en-US"/>
              </w:rPr>
              <w:t>集热器应满足《真空管型</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》（GB/T17581-2007）的相关要求。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4</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电气与控制系统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（1）</w:t>
            </w:r>
            <w:r>
              <w:rPr>
                <w:rFonts w:hint="eastAsia" w:asciiTheme="minorEastAsia" w:hAnsiTheme="minorEastAsia" w:eastAsiaTheme="minorEastAsia" w:cstheme="minorEastAsia"/>
                <w:spacing w:val="2"/>
                <w:sz w:val="20"/>
                <w:szCs w:val="20"/>
                <w:highlight w:val="none"/>
                <w:lang w:val="en-US"/>
              </w:rPr>
              <w:t>太阳能热水系统的电气设计应满足太阳能热水系统用电可靠性和运行安全要求。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val="en-US"/>
              </w:rPr>
              <w:t>太阳能热水系统中所使用的电气设备应装设短路保护和基地故障保护装置。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（3）</w:t>
            </w:r>
            <w:r>
              <w:rPr>
                <w:rFonts w:hint="eastAsia" w:asciiTheme="minorEastAsia" w:hAnsiTheme="minorEastAsia" w:eastAsiaTheme="minorEastAsia" w:cstheme="minorEastAsia"/>
                <w:spacing w:val="2"/>
                <w:sz w:val="20"/>
                <w:szCs w:val="20"/>
                <w:highlight w:val="none"/>
                <w:lang w:val="en-US"/>
              </w:rPr>
              <w:t>安装在建筑物上的</w:t>
            </w:r>
            <w:r>
              <w:rPr>
                <w:rFonts w:hint="eastAsia" w:asciiTheme="minorEastAsia" w:hAnsiTheme="minorEastAsia" w:eastAsiaTheme="minorEastAsia" w:cstheme="minorEastAsia"/>
                <w:spacing w:val="2"/>
                <w:sz w:val="20"/>
                <w:szCs w:val="20"/>
                <w:highlight w:val="none"/>
                <w:lang w:val="en-US" w:eastAsia="zh-CN"/>
              </w:rPr>
              <w:t>太阳能电辅热</w:t>
            </w:r>
            <w:r>
              <w:rPr>
                <w:rFonts w:hint="eastAsia" w:asciiTheme="minorEastAsia" w:hAnsiTheme="minorEastAsia" w:eastAsiaTheme="minorEastAsia" w:cstheme="minorEastAsia"/>
                <w:spacing w:val="2"/>
                <w:sz w:val="20"/>
                <w:szCs w:val="20"/>
                <w:highlight w:val="none"/>
                <w:lang w:val="en-US"/>
              </w:rPr>
              <w:t>、支架和连接管路，应符合现行国家标准《建筑物防雷设计规范》GB50057的规定。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rPr>
            </w:pPr>
            <w:r>
              <w:rPr>
                <w:rFonts w:hint="eastAsia" w:asciiTheme="minorEastAsia" w:hAnsiTheme="minorEastAsia" w:eastAsiaTheme="minorEastAsia" w:cstheme="minorEastAsia"/>
                <w:spacing w:val="2"/>
                <w:sz w:val="20"/>
                <w:szCs w:val="20"/>
                <w:highlight w:val="none"/>
                <w:lang w:val="en-US" w:eastAsia="zh-CN"/>
              </w:rPr>
              <w:t>（4）</w:t>
            </w:r>
            <w:r>
              <w:rPr>
                <w:rFonts w:hint="eastAsia" w:asciiTheme="minorEastAsia" w:hAnsiTheme="minorEastAsia" w:eastAsiaTheme="minorEastAsia" w:cstheme="minorEastAsia"/>
                <w:spacing w:val="2"/>
                <w:sz w:val="20"/>
                <w:szCs w:val="20"/>
                <w:highlight w:val="none"/>
                <w:lang w:val="en-US"/>
              </w:rPr>
              <w:t>控制系统的设计应军训安全可靠、经济使用、地区与季节差别的原则。根据不同的太阳能热水系统特点确定相应的功能实现在最小的常规能源消耗条件下获得最大限度太阳能的总体目标。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val="en-US" w:eastAsia="zh-CN"/>
              </w:rPr>
              <w:t>（5）</w:t>
            </w:r>
            <w:r>
              <w:rPr>
                <w:rFonts w:hint="eastAsia" w:asciiTheme="minorEastAsia" w:hAnsiTheme="minorEastAsia" w:eastAsiaTheme="minorEastAsia" w:cstheme="minorEastAsia"/>
                <w:spacing w:val="2"/>
                <w:sz w:val="20"/>
                <w:szCs w:val="20"/>
                <w:highlight w:val="none"/>
                <w:lang w:val="en-US"/>
              </w:rPr>
              <w:t>控制系统的电气设计应满足系统用电负荷要求，器件选择应保证用电安全。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w:t>
            </w:r>
            <w:r>
              <w:rPr>
                <w:rFonts w:hint="eastAsia" w:asciiTheme="minorEastAsia" w:hAnsiTheme="minorEastAsia" w:eastAsiaTheme="minorEastAsia" w:cstheme="minorEastAsia"/>
                <w:spacing w:val="2"/>
                <w:sz w:val="20"/>
                <w:szCs w:val="20"/>
                <w:highlight w:val="none"/>
                <w:lang w:val="en-US"/>
              </w:rPr>
              <w:t>6</w:t>
            </w:r>
            <w:r>
              <w:rPr>
                <w:rFonts w:hint="eastAsia" w:asciiTheme="minorEastAsia" w:hAnsiTheme="minorEastAsia" w:eastAsiaTheme="minorEastAsia" w:cstheme="minorEastAsia"/>
                <w:spacing w:val="2"/>
                <w:sz w:val="20"/>
                <w:szCs w:val="20"/>
                <w:highlight w:val="none"/>
              </w:rPr>
              <w:t>）导线选择和线路敷设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选用电力电缆或导线，电缆线径符合国家设计标准，电缆电线载流量应满足设备最大载流量。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（7）接地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（8）其中变压器至新装户表箱由电网公司负责，投标方负责设备接线从新装户表至用户设备（报价仅包含50米线缆，超出部分据实结算）。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三、施工技术要求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1</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采暖系统安装要求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1.1安装范围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1</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空气源热泵系统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包括热泵机组、循环水泵、电辅热、电气系统（包含电表箱至设备之间的电线、缆）、仪器仪表、除污器、管道、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太阳能+电辅热系统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包括</w:t>
            </w:r>
            <w:r>
              <w:rPr>
                <w:rFonts w:hint="eastAsia" w:asciiTheme="minorEastAsia" w:hAnsiTheme="minorEastAsia" w:eastAsiaTheme="minorEastAsia" w:cstheme="minorEastAsia"/>
                <w:spacing w:val="2"/>
                <w:sz w:val="20"/>
                <w:szCs w:val="20"/>
                <w:highlight w:val="none"/>
                <w:lang w:eastAsia="zh-CN"/>
              </w:rPr>
              <w:t>太阳能电辅热</w:t>
            </w:r>
            <w:r>
              <w:rPr>
                <w:rFonts w:hint="eastAsia" w:asciiTheme="minorEastAsia" w:hAnsiTheme="minorEastAsia" w:eastAsiaTheme="minorEastAsia" w:cstheme="minorEastAsia"/>
                <w:spacing w:val="2"/>
                <w:sz w:val="20"/>
                <w:szCs w:val="20"/>
                <w:highlight w:val="none"/>
              </w:rPr>
              <w:t>、保温蓄热水箱、循环水泵、电辅热（快热式电热水器）、电气系统（包含电表箱至设备之间的电线、缆）、仪器仪表、控制器、除污器、管道、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1.2采暖系统安装要求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eastAsia="zh-CN"/>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1</w:t>
            </w:r>
            <w:r>
              <w:rPr>
                <w:rFonts w:hint="eastAsia" w:asciiTheme="minorEastAsia" w:hAnsiTheme="minorEastAsia" w:eastAsiaTheme="minorEastAsia" w:cstheme="minorEastAsia"/>
                <w:spacing w:val="2"/>
                <w:sz w:val="20"/>
                <w:szCs w:val="20"/>
                <w:highlight w:val="none"/>
                <w:lang w:eastAsia="zh-CN"/>
              </w:rPr>
              <w:t>）空气源热泵系统的安装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应校核设备运行重量对墙体承重能力的影响。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设备应安装在经过设计、有足够强度的水平基础之上，且设备应固定在基础上。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室外机组应采取减震措施。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管道和管线穿越建筑物外围护结构时，应按建筑防水要求采取相应的防水措施，室外敷设的电气线路管线接线盒、出线口均应做防水防护处理。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设置在室内的制冷剂-水换热装置、水箱、水泵等设备的安装位置，应符合设计要求。安装时应满足下列规定：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挂墙安装时，墙体和连接件应能够承受设备运行重量，连接应牢固可靠。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有振动的设备应采取减振措施。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6）电辅热设备应有自动控制，功率可调、水电分离、防干烧功能。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2</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太阳能集热系统的安装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太阳能热水系统的安装应满足《民用建筑太阳能热水系统应用技术标准》（GB50364-2018）的相关要求；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太阳能热水系统的安装应符合系统设计要求。不应损坏建筑物的结构；不影响建筑物在设计使用年限内承受各种载荷的能力；不应影响建筑物在设计使用年限内承受各种载荷的能力；不应破坏屋面防水层和建筑物的附属设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太阳能热水系统基座应与建筑主体结构连接牢固。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太阳能热水系统钢结构支架应涂防腐涂料，安装中应及时涂刷并妥善保护。防腐施工应符合现行国家标准《建筑防腐工程施工规范》GB50212和《建筑防腐蚀工程施工质量验收规范》GB50224的规定。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集热器阵列安装的方位角、倾角和间距应符合设计要求。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集热器连接完毕，应进行检漏试验，检漏试验应符合设计要求。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集热器之间连接管的保温应在检漏试验合格后进行。保温材料及其厚度应符合现行国家标准《建筑给水排水及采暖工程施工质量验收规范》GB50242。</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室外管路，应采取防冻措施。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val="en-US" w:eastAsia="zh-CN"/>
              </w:rPr>
              <w:t>9</w:t>
            </w:r>
            <w:r>
              <w:rPr>
                <w:rFonts w:hint="eastAsia" w:asciiTheme="minorEastAsia" w:hAnsiTheme="minorEastAsia" w:eastAsiaTheme="minorEastAsia" w:cstheme="minorEastAsia"/>
                <w:spacing w:val="2"/>
                <w:sz w:val="20"/>
                <w:szCs w:val="20"/>
                <w:highlight w:val="none"/>
              </w:rPr>
              <w:t>）电辅热设备应有自动控制，功率可调、水电分离、防干烧功能。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3</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电热水器的安装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采暖系统的安装必须有专业安装人员完成，并满足《电热水器安装规范》（GB20429-2006），《电气装置安装工程接地装置施工及验收规范》（GB50169-2016）；《建筑给水塑料管道工程技术规程》（CJJ/T98-2014）；《建筑给水塑料管道工程技术规程》（CJJ/T98-2014），《建筑给水排水及采暖工程施工质量验收规范》（GB50242-2002）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电热水器应安装于室内，并避开易燃气体发生泄漏的地方或由强烈腐蚀气体的环境，避开强电、强磁场直接作用的地方，避开容易产生振动的地方。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电热水器的安装面一个坚固结实，安装面的承载力应不低于热水器注满水后4倍质量，必要时应采取加固或防护措施，以确保热水器的安全运行。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电热水器应使用带漏电保护的空气开关进行电源连接。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电热水器安装挂架的承载能力应不低于热水器注满水质量的2倍，安装架和紧固件应进行防锈处理。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安装完毕时必须保证电热水器的泄压口与大气相同。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安装完毕后，安装人员应向用户介绍电热水器的使用、维护、保养的必要知识。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电热水器调试前应进行电气安全检查，检查内容应包括插座的火线和零线为检查，接地检查，漏电检查。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电热水器安装应进行调试，保障热水器各项性能指标符合要求。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电热水器进出水口与管路连接处应采用金属软连接过渡，长度不应小于400mm。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4</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水系统管安装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管道接头不应埋设在墙体和地面之内。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管道外包保温装饰材料时，应便于检修。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水系统管路施工安装应符合《建筑给水排水及采暖工程施工质量验收规范》GB50242的相关要求。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水泵安装应符合制造商要求，并符合现行国家标准《压缩机、风机、泵安装工程各行施工及验收规范》GB50275的有关规定。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管路保温应在水压试验合格后进行，保温应符合现行国家标准《建筑给水排水及采暖工程施工质量验收规范》GB50242的相关要求。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lang w:val="en-US" w:eastAsia="zh-CN"/>
              </w:rPr>
              <w:t>5</w:t>
            </w:r>
            <w:r>
              <w:rPr>
                <w:rFonts w:hint="eastAsia" w:asciiTheme="minorEastAsia" w:hAnsiTheme="minorEastAsia" w:eastAsiaTheme="minorEastAsia" w:cstheme="minorEastAsia"/>
                <w:spacing w:val="2"/>
                <w:sz w:val="20"/>
                <w:szCs w:val="20"/>
                <w:highlight w:val="none"/>
                <w:lang w:eastAsia="zh-CN"/>
              </w:rPr>
              <w:t>）</w:t>
            </w:r>
            <w:r>
              <w:rPr>
                <w:rFonts w:hint="eastAsia" w:asciiTheme="minorEastAsia" w:hAnsiTheme="minorEastAsia" w:eastAsiaTheme="minorEastAsia" w:cstheme="minorEastAsia"/>
                <w:spacing w:val="2"/>
                <w:sz w:val="20"/>
                <w:szCs w:val="20"/>
                <w:highlight w:val="none"/>
              </w:rPr>
              <w:t>电气系统施工和安装应符合下列规定：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 电气系统施工和安装应符合《建筑电气工程施工质量验收规范》（GB50303-2015）的有关要求。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电缆线路的施工应符合现行国家标准《电气装置安装工程电缆线路施工及验收规范》GB50168的相关规定。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设备安装前应进行下列检查：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机电设备及材料的防护及验证应符合设计和施工要求；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提供的电源应与铭牌及产品安装说明书要求的电源一致；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电源的安全性。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设备的保护器件选择及接地安装必须按产品及设计要求进行整定和接线到位。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传感器的接线应牢固可靠，接触良好。传感器控制线应做防水处理。传感器安装应与被测部位良好接触，温度传感器四周应进行良好的保温并做好标识。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 xml:space="preserve">选用的各种导线参数应符合产品及设计要求。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除国家现行标准允许的插座连接外，所有线路导体两端均应直接固定在设备相应的接线端子上，接线端连接应可靠。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1.3安全措施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施工前应编制安全技术措施方案和应急预案，并应经有关单位审批通过后方可进行施工。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施工现场应根据作业对象及其特点和环境状况，设置安全防护措施；安全防护设施应可靠、完整，警示标志应醒目。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施工现场夜间必须设置照明、警示灯和具有反光功能的警示标志。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开挖土方时应根据需要设置临时道路和便桥，沟槽周围和临时便桥应设置护栏；在重要路口应分别设置车行便桥和人行便桥，在沟槽两端和交通道口应设置明显的安全标志；并应设置供施工人员上下沟槽的安全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高空作业应有可靠的防护设施，作业人员应佩戴安全带（绳）。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rPr>
            </w:pPr>
            <w:r>
              <w:rPr>
                <w:rFonts w:hint="eastAsia" w:asciiTheme="minorEastAsia" w:hAnsiTheme="minorEastAsia" w:eastAsiaTheme="minorEastAsia" w:cstheme="minorEastAsia"/>
                <w:spacing w:val="2"/>
                <w:sz w:val="20"/>
                <w:szCs w:val="20"/>
                <w:highlight w:val="none"/>
              </w:rPr>
              <w:t>进行有限空间作业前，应编制作业方案并对参与作业人员进行培训交底，作业方案应符合DB11/852.1的规定。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四、售后服务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所有设备质保期5年。用户空气源热泵、太阳能+电辅热、应免费提供5年维修保障服务。制造商应在乌拉特中旗设有售后服务机构。维修点需提供足够的备件以适应维修需求。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lang w:val="en-US" w:eastAsia="zh-CN"/>
              </w:rPr>
            </w:pPr>
            <w:r>
              <w:rPr>
                <w:rFonts w:hint="eastAsia" w:asciiTheme="minorEastAsia" w:hAnsiTheme="minorEastAsia" w:eastAsiaTheme="minorEastAsia" w:cstheme="minorEastAsia"/>
                <w:spacing w:val="2"/>
                <w:sz w:val="20"/>
                <w:szCs w:val="20"/>
                <w:highlight w:val="none"/>
                <w:lang w:val="en-US" w:eastAsia="zh-CN"/>
              </w:rPr>
              <w:t>统计表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21"/>
              <w:gridCol w:w="235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w:t>
                  </w: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序号</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名称</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空气源热泵采暖系统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额定制热量：9kW</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2</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空气源热泵采暖系统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额定制热量：14kW</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3</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空气源热泵采暖系统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额定制热量：17kW</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4</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空气源热泵采暖系统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额定制热量：21kW</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5</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太阳能+电辅热采暖系统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8m2集热器+7kw电热水器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6</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太阳能+电辅热采暖系统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11m2集热器+9kw电热水器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7</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太阳能+电辅热采暖系统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14m2集热器+12kw电热水器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p>
              </w:tc>
              <w:tc>
                <w:tcPr>
                  <w:tcW w:w="4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8</w:t>
                  </w:r>
                </w:p>
              </w:tc>
              <w:tc>
                <w:tcPr>
                  <w:tcW w:w="131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太阳能+电辅热采暖系统</w:t>
                  </w:r>
                </w:p>
              </w:tc>
              <w:tc>
                <w:tcPr>
                  <w:tcW w:w="286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17m2集热器+14kw电热水器</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★1、所投总价暂按14KW空气源热泵所报单价乘以所投标段总户数进行投标报价，实际以各类型所报单价乘以各类型具体安装户数(包括空气源热泵和太阳能+电辅热)据实结算。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★2、由于本项目安装户平米大小不一致，除投标总价报价外，供应商还需对9KW(每套不超16000元)、14KW (每套不超18000元)、17KW（每套不超过22000）和21KW(每套不超25000元)的空气源热泵进行单独单价报价，9KW、17KW和21KW空气源热泵不在总报价里计算，9KW空气源热泵具体按实际安装户数乘以所投单价据实结算，其中17KW、21KW (&gt;100m2) 报价仅作为参考，用于居民选装时补差价用。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★3、除投标总价报价外，供应商还需对太阳能+电辅热投标单独单价单独报价，每套不超15000元，具体按实际安装户数和实际单价据实结算。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2"/>
                <w:sz w:val="20"/>
                <w:szCs w:val="20"/>
                <w:highlight w:val="none"/>
                <w:lang w:val="en-US" w:eastAsia="zh-CN"/>
              </w:rPr>
            </w:pPr>
            <w:r>
              <w:rPr>
                <w:rFonts w:hint="eastAsia" w:asciiTheme="minorEastAsia" w:hAnsiTheme="minorEastAsia" w:eastAsiaTheme="minorEastAsia" w:cstheme="minorEastAsia"/>
                <w:spacing w:val="2"/>
                <w:sz w:val="20"/>
                <w:szCs w:val="20"/>
                <w:highlight w:val="none"/>
                <w:lang w:val="en-US" w:eastAsia="zh-CN"/>
              </w:rPr>
              <w:t>★4、投标人的所投各类型产品投标单价均不得超过最高单价限价,如果所投标段所有投标人投标单价报价均超出最高投标限价，招标人将重新招标。以上设备按成套设备报价，报价包含安装范围内全部设备的运输和保险、设备材料检验检测、安装、设备调试及试运行、维保费用。</w:t>
            </w:r>
            <w:r>
              <w:rPr>
                <w:rFonts w:hint="eastAsia"/>
                <w:b/>
                <w:bCs/>
                <w:sz w:val="20"/>
                <w:szCs w:val="20"/>
                <w:highlight w:val="none"/>
                <w:lang w:val="en-US" w:eastAsia="zh-CN"/>
              </w:rPr>
              <w:t>投标单价报价格式详见附件1分项报价表。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sz w:val="20"/>
                <w:szCs w:val="20"/>
                <w:highlight w:val="none"/>
                <w:lang w:val="en-US" w:eastAsia="zh-CN"/>
              </w:rPr>
            </w:pPr>
            <w:r>
              <w:rPr>
                <w:rFonts w:hint="eastAsia"/>
                <w:sz w:val="20"/>
                <w:szCs w:val="20"/>
                <w:highlight w:val="none"/>
                <w:lang w:val="en-US" w:eastAsia="zh-CN"/>
              </w:rPr>
              <w:t>★5、报价其他要求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sz w:val="20"/>
                <w:szCs w:val="20"/>
                <w:highlight w:val="none"/>
                <w:lang w:val="en-US" w:eastAsia="zh-CN"/>
              </w:rPr>
            </w:pPr>
            <w:r>
              <w:rPr>
                <w:rFonts w:hint="eastAsia"/>
                <w:sz w:val="20"/>
                <w:szCs w:val="20"/>
                <w:highlight w:val="none"/>
                <w:lang w:val="en-US" w:eastAsia="zh-CN"/>
              </w:rPr>
              <w:t>（1）投标人的投标报价应包括本项目建设内容范围内所有费用。包括货物、安装、配合招标人完成相关审批手续以及现场实施配合等全过程中相关服务费、相关工作人员的人工成本、保险、差旅费、资料费、各阶段专家评审费以及管理费、税金、利润等一切可预见和不可预见费用。招标人不再另行支付任何费用，投标人也不得与本项目的任何承包商、材料供应商等发生任何经济关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sz w:val="20"/>
                <w:szCs w:val="20"/>
                <w:highlight w:val="none"/>
                <w:lang w:val="en-US" w:eastAsia="zh-CN"/>
              </w:rPr>
            </w:pPr>
            <w:r>
              <w:rPr>
                <w:rFonts w:hint="eastAsia"/>
                <w:sz w:val="20"/>
                <w:szCs w:val="20"/>
                <w:highlight w:val="none"/>
                <w:lang w:val="en-US" w:eastAsia="zh-CN"/>
              </w:rPr>
              <w:t>（2）投标人应先到项目所在地踏勘，以充分了解项目位置、地质地貌、气候与水文条件、交通状况、电力、给水、排水、热力及任何其他足以影响其费用的情况。任何因中标人忽视或误解项目基本情况，而使招标人在项目实施过程中蒙受的损失，招标人有权要求中标人赔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sz w:val="20"/>
                <w:szCs w:val="20"/>
                <w:highlight w:val="none"/>
                <w:lang w:val="en-US" w:eastAsia="zh-CN"/>
              </w:rPr>
            </w:pPr>
            <w:r>
              <w:rPr>
                <w:rFonts w:hint="eastAsia"/>
                <w:sz w:val="20"/>
                <w:szCs w:val="20"/>
                <w:highlight w:val="none"/>
                <w:lang w:val="en-US" w:eastAsia="zh-CN"/>
              </w:rPr>
              <w:t>（3）投标人应保证质量与效果达到招标人要求。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sz w:val="20"/>
                <w:szCs w:val="20"/>
                <w:highlight w:val="none"/>
                <w:lang w:val="en-US" w:eastAsia="zh-CN"/>
              </w:rPr>
            </w:pPr>
            <w:r>
              <w:rPr>
                <w:rFonts w:hint="eastAsia"/>
                <w:sz w:val="20"/>
                <w:szCs w:val="20"/>
                <w:highlight w:val="none"/>
                <w:lang w:val="en-US" w:eastAsia="zh-CN"/>
              </w:rPr>
              <w:t>（4）每套采暖系统最高投标限价及投标报价为全费用报价，包括但不限采购、安装、质保及投标人的利润、应缴纳的税金等一切费用，招标人不再另行支付任何费用。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z w:val="20"/>
                <w:szCs w:val="20"/>
                <w:highlight w:val="none"/>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3" w:hRule="atLeast"/>
        </w:trPr>
        <w:tc>
          <w:tcPr>
            <w:tcW w:w="1061" w:type="dxa"/>
            <w:tcBorders>
              <w:top w:val="single" w:color="B4C3D8" w:sz="2" w:space="0"/>
              <w:bottom w:val="single" w:color="B4C3D8" w:sz="2" w:space="0"/>
            </w:tcBorders>
            <w:vAlign w:val="top"/>
          </w:tcPr>
          <w:p>
            <w:pPr>
              <w:spacing w:before="81" w:line="221" w:lineRule="auto"/>
              <w:ind w:left="3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pacing w:val="-5"/>
                <w:sz w:val="20"/>
                <w:szCs w:val="20"/>
                <w:highlight w:val="none"/>
              </w:rPr>
              <w:t>说</w:t>
            </w:r>
            <w:r>
              <w:rPr>
                <w:rFonts w:hint="eastAsia" w:asciiTheme="minorEastAsia" w:hAnsiTheme="minorEastAsia" w:eastAsiaTheme="minorEastAsia" w:cstheme="minorEastAsia"/>
                <w:color w:val="666666"/>
                <w:spacing w:val="-3"/>
                <w:sz w:val="20"/>
                <w:szCs w:val="20"/>
                <w:highlight w:val="none"/>
              </w:rPr>
              <w:t>明</w:t>
            </w:r>
          </w:p>
        </w:tc>
        <w:tc>
          <w:tcPr>
            <w:tcW w:w="9491" w:type="dxa"/>
            <w:gridSpan w:val="2"/>
            <w:tcBorders>
              <w:top w:val="single" w:color="B4C3D8" w:sz="2" w:space="0"/>
              <w:bottom w:val="single" w:color="B4C3D8" w:sz="2" w:space="0"/>
            </w:tcBorders>
            <w:vAlign w:val="top"/>
          </w:tcPr>
          <w:p>
            <w:pPr>
              <w:spacing w:before="22" w:line="350" w:lineRule="exact"/>
              <w:ind w:left="6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666666"/>
                <w:spacing w:val="-6"/>
                <w:position w:val="4"/>
                <w:sz w:val="20"/>
                <w:szCs w:val="20"/>
                <w:highlight w:val="none"/>
              </w:rPr>
              <w:t>打“★”号条</w:t>
            </w:r>
            <w:r>
              <w:rPr>
                <w:rFonts w:hint="eastAsia" w:asciiTheme="minorEastAsia" w:hAnsiTheme="minorEastAsia" w:eastAsiaTheme="minorEastAsia" w:cstheme="minorEastAsia"/>
                <w:color w:val="666666"/>
                <w:spacing w:val="-4"/>
                <w:position w:val="4"/>
                <w:sz w:val="20"/>
                <w:szCs w:val="20"/>
                <w:highlight w:val="none"/>
              </w:rPr>
              <w:t>款</w:t>
            </w:r>
            <w:r>
              <w:rPr>
                <w:rFonts w:hint="eastAsia" w:asciiTheme="minorEastAsia" w:hAnsiTheme="minorEastAsia" w:eastAsiaTheme="minorEastAsia" w:cstheme="minorEastAsia"/>
                <w:color w:val="666666"/>
                <w:spacing w:val="-3"/>
                <w:position w:val="4"/>
                <w:sz w:val="20"/>
                <w:szCs w:val="20"/>
                <w:highlight w:val="none"/>
              </w:rPr>
              <w:t>为实质性条款，若有任何一条负偏离或不满足则导致投标无效。</w:t>
            </w:r>
          </w:p>
        </w:tc>
      </w:tr>
    </w:tbl>
    <w:p>
      <w:pPr>
        <w:spacing w:before="1" w:line="209" w:lineRule="auto"/>
        <w:ind w:left="494"/>
        <w:rPr>
          <w:rFonts w:hint="eastAsia" w:asciiTheme="minorEastAsia" w:hAnsiTheme="minorEastAsia" w:eastAsiaTheme="minorEastAsia" w:cstheme="minorEastAsia"/>
          <w:sz w:val="19"/>
          <w:szCs w:val="19"/>
          <w:highlight w:val="none"/>
        </w:rPr>
      </w:pPr>
    </w:p>
    <w:sectPr>
      <w:footerReference r:id="rId5" w:type="default"/>
      <w:pgSz w:w="11900" w:h="16840"/>
      <w:pgMar w:top="546" w:right="671" w:bottom="276" w:left="66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yZmUzMzA0Y2IzNmZmZmVkNjczZTY0ZTA4MTJkNDYifQ=="/>
  </w:docVars>
  <w:rsids>
    <w:rsidRoot w:val="00000000"/>
    <w:rsid w:val="01352C90"/>
    <w:rsid w:val="0381685A"/>
    <w:rsid w:val="047539FE"/>
    <w:rsid w:val="09271C52"/>
    <w:rsid w:val="0974736B"/>
    <w:rsid w:val="0CF04B7B"/>
    <w:rsid w:val="0F6E2BD5"/>
    <w:rsid w:val="132F1E2E"/>
    <w:rsid w:val="13685629"/>
    <w:rsid w:val="13CB1724"/>
    <w:rsid w:val="14946D4E"/>
    <w:rsid w:val="18A543BA"/>
    <w:rsid w:val="1A3B555D"/>
    <w:rsid w:val="1A564ACB"/>
    <w:rsid w:val="1B5C39DD"/>
    <w:rsid w:val="1BD9502D"/>
    <w:rsid w:val="1C2B7F9B"/>
    <w:rsid w:val="1C9C0D20"/>
    <w:rsid w:val="1E61437D"/>
    <w:rsid w:val="1E964AC9"/>
    <w:rsid w:val="21E03389"/>
    <w:rsid w:val="24D40A88"/>
    <w:rsid w:val="25077D7C"/>
    <w:rsid w:val="26EC5899"/>
    <w:rsid w:val="275B723E"/>
    <w:rsid w:val="28B4555D"/>
    <w:rsid w:val="2B7579FD"/>
    <w:rsid w:val="2C216DDA"/>
    <w:rsid w:val="2C25135A"/>
    <w:rsid w:val="309612E7"/>
    <w:rsid w:val="31154D28"/>
    <w:rsid w:val="32CE087A"/>
    <w:rsid w:val="33120FA5"/>
    <w:rsid w:val="3430245C"/>
    <w:rsid w:val="343A5B93"/>
    <w:rsid w:val="345E036E"/>
    <w:rsid w:val="354219AB"/>
    <w:rsid w:val="36617CA1"/>
    <w:rsid w:val="39921DDC"/>
    <w:rsid w:val="3A3653D9"/>
    <w:rsid w:val="3ACE615F"/>
    <w:rsid w:val="3AFA61C6"/>
    <w:rsid w:val="3C6E7AE4"/>
    <w:rsid w:val="3CC51A8A"/>
    <w:rsid w:val="3D753C85"/>
    <w:rsid w:val="3E510E9B"/>
    <w:rsid w:val="3E764A26"/>
    <w:rsid w:val="401915F8"/>
    <w:rsid w:val="420E6F2F"/>
    <w:rsid w:val="42C80155"/>
    <w:rsid w:val="46720A70"/>
    <w:rsid w:val="46DB7E53"/>
    <w:rsid w:val="49A903AA"/>
    <w:rsid w:val="4B7E5126"/>
    <w:rsid w:val="4CF20A26"/>
    <w:rsid w:val="4DE84AD8"/>
    <w:rsid w:val="4ED572F2"/>
    <w:rsid w:val="4FCE5F50"/>
    <w:rsid w:val="567D6364"/>
    <w:rsid w:val="56A359C1"/>
    <w:rsid w:val="57817DF8"/>
    <w:rsid w:val="587953E9"/>
    <w:rsid w:val="58CE0D6F"/>
    <w:rsid w:val="59F82547"/>
    <w:rsid w:val="5C9B193B"/>
    <w:rsid w:val="5E4E6790"/>
    <w:rsid w:val="5E702CD8"/>
    <w:rsid w:val="65896749"/>
    <w:rsid w:val="66535FDE"/>
    <w:rsid w:val="66EC1E2F"/>
    <w:rsid w:val="67AE334C"/>
    <w:rsid w:val="69C64E4E"/>
    <w:rsid w:val="6ACE760B"/>
    <w:rsid w:val="6C6475C8"/>
    <w:rsid w:val="6E5C7E2A"/>
    <w:rsid w:val="71F118FE"/>
    <w:rsid w:val="720B218C"/>
    <w:rsid w:val="73221F8B"/>
    <w:rsid w:val="741C4C2C"/>
    <w:rsid w:val="745A5E80"/>
    <w:rsid w:val="76607052"/>
    <w:rsid w:val="77776ABE"/>
    <w:rsid w:val="777A4144"/>
    <w:rsid w:val="792666EB"/>
    <w:rsid w:val="79987407"/>
    <w:rsid w:val="7A392094"/>
    <w:rsid w:val="7E232EB5"/>
    <w:rsid w:val="7F444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宋体"/>
      <w:kern w:val="2"/>
      <w:sz w:val="21"/>
      <w:szCs w:val="24"/>
      <w:lang w:val="en-US" w:eastAsia="zh-CN" w:bidi="ar-SA"/>
    </w:rPr>
  </w:style>
  <w:style w:type="paragraph" w:styleId="3">
    <w:name w:val="toa heading"/>
    <w:basedOn w:val="1"/>
    <w:next w:val="1"/>
    <w:semiHidden/>
    <w:qFormat/>
    <w:uiPriority w:val="0"/>
    <w:pPr>
      <w:spacing w:before="120"/>
    </w:pPr>
    <w:rPr>
      <w:rFonts w:ascii="Arial" w:hAnsi="Arial" w:cs="Arial"/>
      <w:sz w:val="24"/>
    </w:rPr>
  </w:style>
  <w:style w:type="paragraph" w:styleId="4">
    <w:name w:val="Body Text Indent"/>
    <w:basedOn w:val="1"/>
    <w:qFormat/>
    <w:uiPriority w:val="0"/>
    <w:pPr>
      <w:spacing w:after="120" w:afterLines="0"/>
      <w:ind w:left="420" w:leftChars="20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qFormat/>
    <w:uiPriority w:val="0"/>
    <w:pPr>
      <w:widowControl w:val="0"/>
      <w:spacing w:after="0" w:line="300" w:lineRule="auto"/>
      <w:ind w:left="200" w:leftChars="0" w:firstLine="200" w:firstLineChars="200"/>
      <w:jc w:val="both"/>
    </w:pPr>
    <w:rPr>
      <w:rFonts w:ascii="Calibri" w:hAnsi="Calibri" w:cs="Times New Roman"/>
      <w:color w:val="auto"/>
      <w:kern w:val="0"/>
      <w:szCs w:val="20"/>
      <w:lang w:val="en-US"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table" w:customStyle="1" w:styleId="11">
    <w:name w:val="网格型1"/>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2"/>
    <w:basedOn w:val="7"/>
    <w:qFormat/>
    <w:uiPriority w:val="39"/>
    <w:pPr>
      <w:spacing w:line="360" w:lineRule="auto"/>
      <w:jc w:val="center"/>
    </w:pPr>
    <w:rPr>
      <w:rFonts w:ascii="Calibri" w:hAnsi="Calibri" w:eastAsia="宋体" w:cs="Times New Roman"/>
      <w:kern w:val="0"/>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b/>
        <w:bCs/>
      </w:rPr>
      <w:tcPr>
        <w:shd w:val="clear" w:color="auto" w:fill="EEECE1" w:themeFill="background2"/>
        <w:vAlign w:val="center"/>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6874</Words>
  <Characters>7542</Characters>
  <TotalTime>1</TotalTime>
  <ScaleCrop>false</ScaleCrop>
  <LinksUpToDate>false</LinksUpToDate>
  <CharactersWithSpaces>7581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2022-09-30T16:36:00Z</dcterms:created>
  <dc:creator>admin</dc:creator>
  <cp:lastModifiedBy>内蒙古禾正</cp:lastModifiedBy>
  <dcterms:modified xsi:type="dcterms:W3CDTF">2023-05-10T08:40:05Z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2023-03-25T17:53:01Z</vt:filetime>
  </property>
  <property fmtid="{D5CDD505-2E9C-101B-9397-08002B2CF9AE}" pid="4" name="KSOProductBuildVer">
    <vt:lpwstr>2052-11.1.0.14309</vt:lpwstr>
  </property>
  <property fmtid="{D5CDD505-2E9C-101B-9397-08002B2CF9AE}" pid="5" name="ICV">
    <vt:lpwstr>F08D2A7505494355A767126BBEE3C17C_13</vt:lpwstr>
  </property>
</Properties>
</file>