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pPr w:leftFromText="180" w:rightFromText="180" w:vertAnchor="text" w:horzAnchor="page" w:tblpX="2037" w:tblpY="235"/>
        <w:tblOverlap w:val="never"/>
        <w:tblW w:w="842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5"/>
        <w:gridCol w:w="2902"/>
        <w:gridCol w:w="3456"/>
        <w:gridCol w:w="696"/>
        <w:gridCol w:w="6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8429"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派出所综合指挥室项目预算清单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中文名称</w:t>
            </w:r>
          </w:p>
        </w:tc>
        <w:tc>
          <w:tcPr>
            <w:tcW w:w="3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95"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视频图像综合管理平台</w:t>
            </w:r>
          </w:p>
        </w:tc>
        <w:tc>
          <w:tcPr>
            <w:tcW w:w="3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需支持提供平台功能统一门户，用户可定制客户端功能选项。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 系统需支持10000个前端设备接入，每个设备保活时间间隔30s，需支持在线外域数128个, 每个外域按照30s间隔保活。</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 可视域反向控制：可以通过地图上可视域方位反向控制云台摄像机转动并定位到目标监控区域。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4. 需支持按防区实现的视频实时预览，录像回放及下载，视频巡逻等业务。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 可以在地图上根据不同的图层显示不同的设备，图层可按摄像机、门禁、对讲、报警设备等分类，可显示、隐藏各图层。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 需支持AR实景地图，支持视频画面直接调用其他摄像头视频、支持画面内建筑物名称标注；支持添加摄像机标签，也支持增加自定义标签，可以查看标签绑定的摄像机实况; 支持实景界面调阅地图，可以展开/关闭二维地图，在地图上显示当前高点相机位置，并可以切换高点相机。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 需支持1080P/720P/D1/4CIF/2CIF/CIF等解码上墙，支持TCP/UDP解码上墙，支持onvif/GB28181解码上墙，支持H.265/H.264格式解码。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 支持实况、录像视频叠加水印，水印包含用户名、IP、时间等信息。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 支持切换解码器分屏 ；支持回放控制 ；支持上下摄像机切换。</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 为了实现快速定位录像关键节点，可以将录像文件进行切分成多片，通过切片点的图像差异，迅速启动回放关键录像时段。</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11.满足与现有社会资源平台及分局大平台对接。</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视频综合统一接入网关</w:t>
            </w:r>
          </w:p>
        </w:tc>
        <w:tc>
          <w:tcPr>
            <w:tcW w:w="3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2"/>
              </w:numPr>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为实现监控设备跨互联网注册、通信，产品应支持通过客户端拨号实现双私网间的NAT穿越。</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 支持GT/T28181、onvif协议接入监控设备。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 支持实况、告警图片、过车图片、合成图片、URL传输。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4. </w:t>
            </w:r>
            <w:r>
              <w:rPr>
                <w:rFonts w:hint="eastAsia" w:ascii="宋体" w:hAnsi="宋体" w:eastAsia="宋体" w:cs="宋体"/>
                <w:color w:val="000000"/>
                <w:kern w:val="0"/>
                <w:sz w:val="24"/>
                <w:lang w:bidi="ar"/>
              </w:rPr>
              <w:t>★</w:t>
            </w:r>
            <w:r>
              <w:rPr>
                <w:rFonts w:hint="eastAsia" w:ascii="宋体" w:hAnsi="宋体" w:eastAsia="宋体" w:cs="宋体"/>
                <w:i w:val="0"/>
                <w:iCs w:val="0"/>
                <w:color w:val="000000"/>
                <w:kern w:val="0"/>
                <w:sz w:val="24"/>
                <w:szCs w:val="24"/>
                <w:u w:val="none"/>
                <w:lang w:val="en-US" w:eastAsia="zh-CN" w:bidi="ar"/>
              </w:rPr>
              <w:t>支持不低于1000路的客户端拨号数</w:t>
            </w:r>
            <w:r>
              <w:rPr>
                <w:rFonts w:hint="eastAsia" w:ascii="宋体" w:hAnsi="宋体" w:eastAsia="宋体" w:cs="宋体"/>
                <w:color w:val="000000"/>
                <w:kern w:val="0"/>
                <w:sz w:val="24"/>
                <w:lang w:bidi="ar"/>
              </w:rPr>
              <w:t>（需提供检测报告证明）</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5. </w:t>
            </w:r>
            <w:r>
              <w:rPr>
                <w:rFonts w:hint="eastAsia" w:ascii="宋体" w:hAnsi="宋体" w:eastAsia="宋体" w:cs="宋体"/>
                <w:color w:val="000000"/>
                <w:kern w:val="0"/>
                <w:sz w:val="24"/>
                <w:lang w:bidi="ar"/>
              </w:rPr>
              <w:t>★</w:t>
            </w:r>
            <w:r>
              <w:rPr>
                <w:rFonts w:hint="eastAsia" w:ascii="宋体" w:hAnsi="宋体" w:eastAsia="宋体" w:cs="宋体"/>
                <w:i w:val="0"/>
                <w:iCs w:val="0"/>
                <w:color w:val="000000"/>
                <w:kern w:val="0"/>
                <w:sz w:val="24"/>
                <w:szCs w:val="24"/>
                <w:u w:val="none"/>
                <w:lang w:val="en-US" w:eastAsia="zh-CN" w:bidi="ar"/>
              </w:rPr>
              <w:t>支持不低于600M的隧道流量转发</w:t>
            </w:r>
            <w:r>
              <w:rPr>
                <w:rFonts w:hint="eastAsia" w:ascii="宋体" w:hAnsi="宋体" w:eastAsia="宋体" w:cs="宋体"/>
                <w:color w:val="000000"/>
                <w:kern w:val="0"/>
                <w:sz w:val="24"/>
                <w:lang w:bidi="ar"/>
              </w:rPr>
              <w:t>（需提供检测报告证明）</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 支持多种隧道协议，l2tp协议和softvpn协议的客户端均支持拨入服务端。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7. </w:t>
            </w:r>
            <w:r>
              <w:rPr>
                <w:rFonts w:hint="eastAsia" w:ascii="宋体" w:hAnsi="宋体" w:eastAsia="宋体" w:cs="宋体"/>
                <w:color w:val="000000"/>
                <w:kern w:val="0"/>
                <w:sz w:val="24"/>
                <w:lang w:bidi="ar"/>
              </w:rPr>
              <w:t>★</w:t>
            </w:r>
            <w:r>
              <w:rPr>
                <w:rFonts w:hint="eastAsia" w:ascii="宋体" w:hAnsi="宋体" w:eastAsia="宋体" w:cs="宋体"/>
                <w:i w:val="0"/>
                <w:iCs w:val="0"/>
                <w:color w:val="000000"/>
                <w:kern w:val="0"/>
                <w:sz w:val="24"/>
                <w:szCs w:val="24"/>
                <w:u w:val="none"/>
                <w:lang w:val="en-US" w:eastAsia="zh-CN" w:bidi="ar"/>
              </w:rPr>
              <w:t>通过web配置界面开启DHCP功能，能根据地址池范围为客户端分配IP地址</w:t>
            </w:r>
            <w:r>
              <w:rPr>
                <w:rFonts w:hint="eastAsia" w:ascii="宋体" w:hAnsi="宋体" w:eastAsia="宋体" w:cs="宋体"/>
                <w:color w:val="000000"/>
                <w:kern w:val="0"/>
                <w:sz w:val="24"/>
                <w:lang w:bidi="ar"/>
              </w:rPr>
              <w:t>（需提供检测报告证明）</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8. </w:t>
            </w:r>
            <w:r>
              <w:rPr>
                <w:rFonts w:hint="eastAsia" w:ascii="宋体" w:hAnsi="宋体" w:eastAsia="宋体" w:cs="宋体"/>
                <w:color w:val="000000"/>
                <w:kern w:val="0"/>
                <w:sz w:val="24"/>
                <w:lang w:bidi="ar"/>
              </w:rPr>
              <w:t>★</w:t>
            </w:r>
            <w:r>
              <w:rPr>
                <w:rFonts w:hint="eastAsia" w:ascii="宋体" w:hAnsi="宋体" w:eastAsia="宋体" w:cs="宋体"/>
                <w:i w:val="0"/>
                <w:iCs w:val="0"/>
                <w:color w:val="000000"/>
                <w:kern w:val="0"/>
                <w:sz w:val="24"/>
                <w:szCs w:val="24"/>
                <w:u w:val="none"/>
                <w:lang w:val="en-US" w:eastAsia="zh-CN" w:bidi="ar"/>
              </w:rPr>
              <w:t>为了兼容并接入系统中不支持VPN拨号的设备，产品支持单台代理接入4台非拨号客户端</w:t>
            </w:r>
            <w:r>
              <w:rPr>
                <w:rFonts w:hint="eastAsia" w:ascii="宋体" w:hAnsi="宋体" w:eastAsia="宋体" w:cs="宋体"/>
                <w:color w:val="000000"/>
                <w:kern w:val="0"/>
                <w:sz w:val="24"/>
                <w:lang w:bidi="ar"/>
              </w:rPr>
              <w:t>（需提供检测报告证明）</w:t>
            </w:r>
            <w:r>
              <w:rPr>
                <w:rFonts w:hint="eastAsia" w:ascii="宋体" w:hAnsi="宋体" w:eastAsia="宋体" w:cs="宋体"/>
                <w:i w:val="0"/>
                <w:iCs w:val="0"/>
                <w:color w:val="000000"/>
                <w:kern w:val="0"/>
                <w:sz w:val="24"/>
                <w:szCs w:val="24"/>
                <w:u w:val="none"/>
                <w:lang w:val="en-US" w:eastAsia="zh-CN" w:bidi="ar"/>
              </w:rPr>
              <w:t>。</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color w:val="000000"/>
                <w:kern w:val="0"/>
                <w:sz w:val="24"/>
                <w:lang w:bidi="ar"/>
              </w:rPr>
              <w:t>★</w:t>
            </w:r>
            <w:r>
              <w:rPr>
                <w:rFonts w:hint="eastAsia" w:ascii="宋体" w:hAnsi="宋体" w:eastAsia="宋体" w:cs="宋体"/>
                <w:i w:val="0"/>
                <w:iCs w:val="0"/>
                <w:color w:val="000000"/>
                <w:kern w:val="0"/>
                <w:sz w:val="24"/>
                <w:szCs w:val="24"/>
                <w:u w:val="none"/>
                <w:lang w:val="en-US" w:eastAsia="zh-CN" w:bidi="ar"/>
              </w:rPr>
              <w:t>支持多服务器共享同一地址池，实现N×1000的客户端扩容接入同一平台，客户端可以实现互联互通</w:t>
            </w:r>
            <w:r>
              <w:rPr>
                <w:rFonts w:hint="eastAsia" w:ascii="宋体" w:hAnsi="宋体" w:eastAsia="宋体" w:cs="宋体"/>
                <w:color w:val="000000"/>
                <w:kern w:val="0"/>
                <w:sz w:val="24"/>
                <w:lang w:bidi="ar"/>
              </w:rPr>
              <w:t>（需提供检测报告证明）</w:t>
            </w:r>
            <w:r>
              <w:rPr>
                <w:rFonts w:hint="eastAsia" w:ascii="宋体" w:hAnsi="宋体" w:eastAsia="宋体" w:cs="宋体"/>
                <w:i w:val="0"/>
                <w:iCs w:val="0"/>
                <w:color w:val="000000"/>
                <w:kern w:val="0"/>
                <w:sz w:val="24"/>
                <w:szCs w:val="24"/>
                <w:u w:val="none"/>
                <w:lang w:val="en-US" w:eastAsia="zh-CN" w:bidi="ar"/>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10.满足与现有社会资源平台及分局大平台对接。</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7"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500路接入授权</w:t>
            </w:r>
          </w:p>
        </w:tc>
        <w:tc>
          <w:tcPr>
            <w:tcW w:w="3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500路视频接入授权</w:t>
            </w:r>
          </w:p>
        </w:tc>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媒体服务器</w:t>
            </w:r>
          </w:p>
        </w:tc>
        <w:tc>
          <w:tcPr>
            <w:tcW w:w="3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4"/>
              </w:numPr>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单台媒体服务器支持1Gbps输入，单台媒体服务器支持2Gbps输出。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 支持音视频单播流的复制分发。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 支持音视频组播流转单播复制分发。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 支持对跨域媒体流进行复制分发。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 支持负载均衡和动态互备。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 单/组播抗丢包功能：UDP网络下单播和组播支持抗5%的丢包。</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 支持VPN的部署方式。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8.满足与现有社会资源平台及分局大平台对接。</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5"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300W服务器交流电源模块</w:t>
            </w:r>
          </w:p>
        </w:tc>
        <w:tc>
          <w:tcPr>
            <w:tcW w:w="34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2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综合显示控制设备</w:t>
            </w:r>
          </w:p>
        </w:tc>
        <w:tc>
          <w:tcPr>
            <w:tcW w:w="3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5"/>
              </w:numPr>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具有2个RJ45网络接口、</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4个HDMI输入接口，6个HDMI输出接口、2个音频输入接口、2个音频输出接口、2个USB3.0接口、1个RS485接口、1个RS232接口、4个报警输入接口、4个报警输出接口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 单路端口可解码输出4路分辨率为4000×3000，帧率为20fps或4路分辨率为3840×2160，帧率为30fps或16路分辨率1920×1080，帧率为30fps或36路分辨率为1280×720，帧率为30fps或64路分辨率为720×576，帧率为30fps的图像。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 支持虚拟LED字幕条屏功能，虚拟LED字幕可跨拼接屏显示，并可设置滚动效果，可设置虚拟LED的对齐方式，滚动速度，滚动方向，数量不小于64条。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 支持走廊模式，可对画面90度旋转和宽高比调整。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 支持部分窗口轮巡，可在电视墙上选择指定多个窗口进行轮巡，其他窗口可正常播放实况。</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6. </w:t>
            </w:r>
            <w:r>
              <w:rPr>
                <w:rFonts w:hint="eastAsia" w:ascii="宋体" w:hAnsi="宋体" w:eastAsia="宋体" w:cs="宋体"/>
                <w:color w:val="000000"/>
                <w:sz w:val="24"/>
              </w:rPr>
              <w:t>★</w:t>
            </w:r>
            <w:r>
              <w:rPr>
                <w:rFonts w:hint="eastAsia" w:ascii="宋体" w:hAnsi="宋体" w:eastAsia="宋体" w:cs="宋体"/>
                <w:i w:val="0"/>
                <w:iCs w:val="0"/>
                <w:color w:val="000000"/>
                <w:kern w:val="0"/>
                <w:sz w:val="24"/>
                <w:szCs w:val="24"/>
                <w:u w:val="none"/>
                <w:lang w:val="en-US" w:eastAsia="zh-CN" w:bidi="ar"/>
              </w:rPr>
              <w:t>解码器可接入具有视频内容保护的摄像机并解码输出显示</w:t>
            </w:r>
            <w:r>
              <w:rPr>
                <w:rFonts w:hint="eastAsia" w:ascii="宋体" w:hAnsi="宋体" w:eastAsia="宋体" w:cs="宋体"/>
                <w:color w:val="000000"/>
                <w:sz w:val="24"/>
              </w:rPr>
              <w:t>（需提供检测报告证明）</w:t>
            </w:r>
            <w:r>
              <w:rPr>
                <w:rFonts w:hint="eastAsia" w:ascii="宋体" w:hAnsi="宋体" w:eastAsia="宋体" w:cs="宋体"/>
                <w:i w:val="0"/>
                <w:iCs w:val="0"/>
                <w:color w:val="000000"/>
                <w:kern w:val="0"/>
                <w:sz w:val="24"/>
                <w:szCs w:val="24"/>
                <w:u w:val="none"/>
                <w:lang w:val="en-US" w:eastAsia="zh-CN" w:bidi="ar"/>
              </w:rPr>
              <w:t>。</w:t>
            </w:r>
          </w:p>
          <w:p>
            <w:pPr>
              <w:keepNext w:val="0"/>
              <w:keepLines w:val="0"/>
              <w:pageBreakBefore w:val="0"/>
              <w:widowControl/>
              <w:numPr>
                <w:ilvl w:val="0"/>
                <w:numId w:val="6"/>
              </w:numPr>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具备网口备份功能，当前网口无法正常通信时，可启用另一网口。</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 单物理输出口可支持36*6个窗口。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9. </w:t>
            </w:r>
            <w:r>
              <w:rPr>
                <w:rFonts w:hint="eastAsia" w:ascii="宋体" w:hAnsi="宋体" w:eastAsia="宋体" w:cs="宋体"/>
                <w:color w:val="000000"/>
                <w:sz w:val="24"/>
              </w:rPr>
              <w:t>★</w:t>
            </w:r>
            <w:r>
              <w:rPr>
                <w:rFonts w:hint="eastAsia" w:ascii="宋体" w:hAnsi="宋体" w:eastAsia="宋体" w:cs="宋体"/>
                <w:i w:val="0"/>
                <w:iCs w:val="0"/>
                <w:color w:val="000000"/>
                <w:kern w:val="0"/>
                <w:sz w:val="24"/>
                <w:szCs w:val="24"/>
                <w:u w:val="none"/>
                <w:lang w:val="en-US" w:eastAsia="zh-CN" w:bidi="ar"/>
              </w:rPr>
              <w:t>电视墙布局不会发生改变的情况下，从50路视频场景切换到另外50路视频场景的切换时间≤0.3S，切换过程中无明显黑屏现象</w:t>
            </w:r>
            <w:r>
              <w:rPr>
                <w:rFonts w:hint="eastAsia" w:ascii="宋体" w:hAnsi="宋体" w:eastAsia="宋体" w:cs="宋体"/>
                <w:color w:val="000000"/>
                <w:sz w:val="24"/>
              </w:rPr>
              <w:t>（需提供检测报告证明）</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10. </w:t>
            </w:r>
            <w:r>
              <w:rPr>
                <w:rFonts w:hint="eastAsia" w:ascii="宋体" w:hAnsi="宋体" w:eastAsia="宋体" w:cs="宋体"/>
                <w:color w:val="000000"/>
                <w:sz w:val="24"/>
              </w:rPr>
              <w:t>★</w:t>
            </w:r>
            <w:r>
              <w:rPr>
                <w:rFonts w:hint="eastAsia" w:ascii="宋体" w:hAnsi="宋体" w:eastAsia="宋体" w:cs="宋体"/>
                <w:i w:val="0"/>
                <w:iCs w:val="0"/>
                <w:color w:val="000000"/>
                <w:kern w:val="0"/>
                <w:sz w:val="24"/>
                <w:szCs w:val="24"/>
                <w:u w:val="none"/>
                <w:lang w:val="en-US" w:eastAsia="zh-CN" w:bidi="ar"/>
              </w:rPr>
              <w:t>当电视墙场景布局发生改变时，从50路视频场景切换到另外50路视频场景的切换时间≤0.5S，切换过程中无明显黑屏现象</w:t>
            </w:r>
            <w:r>
              <w:rPr>
                <w:rFonts w:hint="eastAsia" w:ascii="宋体" w:hAnsi="宋体" w:eastAsia="宋体" w:cs="宋体"/>
                <w:color w:val="000000"/>
                <w:sz w:val="24"/>
              </w:rPr>
              <w:t>（需提供检测报告证明）</w:t>
            </w:r>
            <w:r>
              <w:rPr>
                <w:rFonts w:hint="eastAsia" w:ascii="宋体" w:hAnsi="宋体" w:eastAsia="宋体" w:cs="宋体"/>
                <w:i w:val="0"/>
                <w:iCs w:val="0"/>
                <w:color w:val="000000"/>
                <w:kern w:val="0"/>
                <w:sz w:val="24"/>
                <w:szCs w:val="24"/>
                <w:u w:val="none"/>
                <w:lang w:val="en-US" w:eastAsia="zh-CN" w:bidi="ar"/>
              </w:rPr>
              <w:t>。</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36"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2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视频接入网关</w:t>
            </w:r>
          </w:p>
        </w:tc>
        <w:tc>
          <w:tcPr>
            <w:tcW w:w="3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7"/>
              </w:numPr>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color w:val="000000"/>
                <w:sz w:val="24"/>
              </w:rPr>
              <w:t>★</w:t>
            </w:r>
            <w:r>
              <w:rPr>
                <w:rFonts w:hint="eastAsia" w:ascii="宋体" w:hAnsi="宋体" w:eastAsia="宋体" w:cs="宋体"/>
                <w:i w:val="0"/>
                <w:iCs w:val="0"/>
                <w:color w:val="000000"/>
                <w:kern w:val="0"/>
                <w:sz w:val="24"/>
                <w:szCs w:val="24"/>
                <w:u w:val="none"/>
                <w:lang w:val="en-US" w:eastAsia="zh-CN" w:bidi="ar"/>
              </w:rPr>
              <w:t>不低于4个千兆电口，最大支持接入管理4个NVR设备，最大支持 64个IPC</w:t>
            </w:r>
            <w:r>
              <w:rPr>
                <w:rFonts w:hint="eastAsia" w:ascii="宋体" w:hAnsi="宋体" w:eastAsia="宋体" w:cs="宋体"/>
                <w:color w:val="000000"/>
                <w:sz w:val="24"/>
              </w:rPr>
              <w:t>（需提供检测报告证明）</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 支持100Mbps流量转发</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460" w:lineRule="exact"/>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r>
              <w:rPr>
                <w:rFonts w:hint="eastAsia" w:ascii="宋体" w:hAnsi="宋体" w:eastAsia="宋体" w:cs="宋体"/>
                <w:color w:val="000000"/>
                <w:sz w:val="24"/>
              </w:rPr>
              <w:t>★</w:t>
            </w:r>
            <w:r>
              <w:rPr>
                <w:rFonts w:hint="eastAsia" w:ascii="宋体" w:hAnsi="宋体" w:eastAsia="宋体" w:cs="宋体"/>
                <w:i w:val="0"/>
                <w:iCs w:val="0"/>
                <w:color w:val="000000"/>
                <w:kern w:val="0"/>
                <w:sz w:val="24"/>
                <w:szCs w:val="24"/>
                <w:u w:val="none"/>
                <w:lang w:val="en-US" w:eastAsia="zh-CN" w:bidi="ar"/>
              </w:rPr>
              <w:t>支持在互联网、专网上建立虚拟专用通道</w:t>
            </w:r>
            <w:r>
              <w:rPr>
                <w:rFonts w:hint="eastAsia" w:ascii="宋体" w:hAnsi="宋体" w:eastAsia="宋体" w:cs="宋体"/>
                <w:color w:val="000000"/>
                <w:sz w:val="24"/>
              </w:rPr>
              <w:t>（需提供检测报告证明）</w:t>
            </w:r>
            <w:r>
              <w:rPr>
                <w:rFonts w:hint="eastAsia" w:ascii="宋体" w:hAnsi="宋体" w:eastAsia="宋体" w:cs="宋体"/>
                <w:i w:val="0"/>
                <w:iCs w:val="0"/>
                <w:color w:val="000000"/>
                <w:kern w:val="0"/>
                <w:sz w:val="24"/>
                <w:szCs w:val="24"/>
                <w:u w:val="none"/>
                <w:lang w:val="en-US" w:eastAsia="zh-CN" w:bidi="ar"/>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460" w:lineRule="exact"/>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 可支持服务端地址统一分配，可允许不同 NVR\DVR\IPC的私网IP相同。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 可支持大多数主流的NVR\DVR\IPC产品通过本产品接入，能够实现实况、录像回放、录像下载、云台等视频业务功能</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68"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2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55寸1.7mm拼接单元屏</w:t>
            </w:r>
          </w:p>
        </w:tc>
        <w:tc>
          <w:tcPr>
            <w:tcW w:w="3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Autospacing="0" w:line="4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尺寸： 55”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物理拼缝：1.7mm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背光类型： LED</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分辨率： 1920×1080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显示尺寸（mm）：</w:t>
            </w:r>
          </w:p>
          <w:p>
            <w:pPr>
              <w:keepNext w:val="0"/>
              <w:keepLines w:val="0"/>
              <w:pageBreakBefore w:val="0"/>
              <w:widowControl/>
              <w:suppressLineNumbers w:val="0"/>
              <w:kinsoku/>
              <w:wordWrap/>
              <w:overflowPunct/>
              <w:topLinePunct w:val="0"/>
              <w:autoSpaceDE/>
              <w:autoSpaceDN/>
              <w:bidi w:val="0"/>
              <w:adjustRightInd/>
              <w:snapToGrid/>
              <w:spacing w:afterAutospacing="0" w:line="4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 1074.24 (H)×604.24(V)</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像素点距（mm）：</w:t>
            </w:r>
          </w:p>
          <w:p>
            <w:pPr>
              <w:keepNext w:val="0"/>
              <w:keepLines w:val="0"/>
              <w:pageBreakBefore w:val="0"/>
              <w:widowControl/>
              <w:suppressLineNumbers w:val="0"/>
              <w:kinsoku/>
              <w:wordWrap/>
              <w:overflowPunct/>
              <w:topLinePunct w:val="0"/>
              <w:autoSpaceDE/>
              <w:autoSpaceDN/>
              <w:bidi w:val="0"/>
              <w:adjustRightInd/>
              <w:snapToGrid/>
              <w:spacing w:after="240" w:afterAutospacing="0"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0.63(H) x 0.63(V)</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响应时间： 8ms (typ.)</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最大亮度 ：500nit</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对比度： 1350:1</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可视角度 178°（垂直，水平）</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色彩： 1.07B/10Bit</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色饱和度(x% NTSC) ：72%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显示比例： 16:9</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刷新频率： 60Hz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HDMI输入接口 *1</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DVI -D输入接口 *1</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VGA 输入接口 *1</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AV输入接口 *1</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RS232 (RJ45) RS232-IN x1; RS232-OUT x1</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净重： 17KG</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整机外形尺寸（W x H x D） 1079.1*609.1*67.4</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外壳材料 钣金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电源输入电压 176 V ~ 240 V/AC，50/60 Hz</w:t>
            </w:r>
            <w:r>
              <w:rPr>
                <w:rFonts w:hint="eastAsia" w:ascii="宋体" w:hAnsi="宋体" w:eastAsia="宋体" w:cs="宋体"/>
                <w:i w:val="0"/>
                <w:iCs w:val="0"/>
                <w:color w:val="000000"/>
                <w:kern w:val="0"/>
                <w:sz w:val="24"/>
                <w:szCs w:val="24"/>
                <w:u w:val="none"/>
                <w:lang w:val="en-US" w:eastAsia="zh-CN" w:bidi="ar"/>
              </w:rPr>
              <w:br w:type="textWrapping"/>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2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图像拼接处理器</w:t>
            </w:r>
          </w:p>
        </w:tc>
        <w:tc>
          <w:tcPr>
            <w:tcW w:w="3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可扩展运动补偿技术：依据输入信号的帧频，通过一定的数字核心算法，利用插帧技术，在两个相邻的视频帧中再插入一帧或多帧，有效消除图像解码处理后出现停帧、锯齿及拖尾现象，从而使整个画面更加平滑、流畅。</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2、图像处理芯片技术：数字引擎芯片，具备独特知识产权的数字图像处理软件技术,并提供相关配套专利技术。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3、3D高画质图像数字处理技术：3D数字梳状滤波和3D数字图像降噪技术，消除图像细节的杂波干扰、边缘锯齿现象。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宽动态技术：视频高清宽动态同步自使用双码流技术，能快速使用处理不同频率状态下的高清视频图像信号，彻底解决不同频率下产生的图像闪烁导致视觉疲劳现象。尤其是与前端特殊工控机系统之间的匹配，经过专业测试，彻底解决了主控机二次重复播放时的失真、衰弱等现象，消除了数据进行1/2信号取样后的缺失空间，完全能自动使用不同场频状态下的高速图像信号，实现图像的稳定、清晰、实时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智能自适应数字处理技术：DLC（动态场景控制）、WLE（白电平延伸）、BLE（黑电平延伸）自适应控制电路，特别适合在夜间监控时彩色转黑白的摄像头信号，能自动对图像的灰度等级、色温进行调整，保证图像的真实还原性，有效提升图像的景深层次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6、图像快速抓拍技术：在对所抓拍到的人的脸部细节上，能准确地分辨出脸部的皱纹、疤痕、黑痣等，无明显拖尾、重影等，肤色还原更加真实、逼真。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7、特殊勾边锐度图像提升处理技术：采用特殊图像勾边电路，消除图像边缘的串色、锯齿等，尤其是在处理夜间较弱的信号时，能有效提升图像的锐度，使得图像轮廓更分明，层次感更强。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智能自动消残影技术：智能消残影会自动识别输入图像在当前屏幕所显示画面的动与静的时间长短，自动发出指令使静态图像在水平方向上产生相应的相位位移，从而解决在静态画面时液晶分子容易被损伤的情况，有效延长液晶屏的使用寿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19、支持多媒体播放：用USB2.0接口接入移动存储设备的方式通过智能遥控器对移动存储设备里的文件进行读取并播放，OSD动感炫动屏幕菜单提示，实现客户的个性化要求。支持热插拨、支持音视频、图片、音乐。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10、智能温控散热功能：智能温控即利用嵌入在拼接模块内的智能自动感应温控器件，当环境温度未达到一定限制时，其散热风扇不会启动工作。</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壁挂架</w:t>
            </w:r>
          </w:p>
        </w:tc>
        <w:tc>
          <w:tcPr>
            <w:tcW w:w="3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前维护液压支架冷轧板</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2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HDMI高清线缆</w:t>
            </w:r>
          </w:p>
        </w:tc>
        <w:tc>
          <w:tcPr>
            <w:tcW w:w="3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4K/60Hz、2K/144Hz、1080P/240Hz，静态HDR（HDR静态数据），支持多音频流，自动音视频同步</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套</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2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多屏控制软件</w:t>
            </w:r>
          </w:p>
        </w:tc>
        <w:tc>
          <w:tcPr>
            <w:tcW w:w="3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专用大屏控制软件，中控拼接屏软件（中文界面，兼容WIN/XP系统）</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套</w:t>
            </w:r>
          </w:p>
        </w:tc>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2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千兆交换机</w:t>
            </w:r>
          </w:p>
        </w:tc>
        <w:tc>
          <w:tcPr>
            <w:tcW w:w="3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16个千兆电口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千兆无阻塞线速转发，保证网络应用的通畅</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机架式设计，可直接安装于机架上，方便管理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平行/交叉线自动识别，简化网络的架设、维护工作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全双工流控和半双工背压控制，可以减少在高阻塞的环境下的丢帧率</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2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专用机柜</w:t>
            </w:r>
          </w:p>
        </w:tc>
        <w:tc>
          <w:tcPr>
            <w:tcW w:w="34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1200*600*1000mm</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2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系统集成费</w:t>
            </w:r>
          </w:p>
        </w:tc>
        <w:tc>
          <w:tcPr>
            <w:tcW w:w="34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5"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2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操作台</w:t>
            </w:r>
          </w:p>
        </w:tc>
        <w:tc>
          <w:tcPr>
            <w:tcW w:w="34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1000*750*900mm</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2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操作台</w:t>
            </w:r>
          </w:p>
        </w:tc>
        <w:tc>
          <w:tcPr>
            <w:tcW w:w="34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1</w:t>
            </w:r>
            <w:r>
              <w:rPr>
                <w:rFonts w:hint="eastAsia" w:ascii="宋体" w:hAnsi="宋体" w:eastAsia="宋体" w:cs="宋体"/>
                <w:i w:val="0"/>
                <w:iCs w:val="0"/>
                <w:color w:val="000000"/>
                <w:sz w:val="24"/>
                <w:szCs w:val="24"/>
                <w:u w:val="none"/>
                <w:lang w:val="en-US" w:eastAsia="zh-CN"/>
              </w:rPr>
              <w:t>2</w:t>
            </w:r>
            <w:r>
              <w:rPr>
                <w:rFonts w:hint="eastAsia" w:ascii="宋体" w:hAnsi="宋体" w:eastAsia="宋体" w:cs="宋体"/>
                <w:i w:val="0"/>
                <w:iCs w:val="0"/>
                <w:color w:val="000000"/>
                <w:sz w:val="24"/>
                <w:szCs w:val="24"/>
                <w:u w:val="none"/>
              </w:rPr>
              <w:t>00*750*900mm</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2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椅子</w:t>
            </w:r>
          </w:p>
        </w:tc>
        <w:tc>
          <w:tcPr>
            <w:tcW w:w="34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五轮网面</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2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3440" w:type="dxa"/>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4"/>
                <w:szCs w:val="24"/>
                <w:u w:val="none"/>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928D17"/>
    <w:multiLevelType w:val="singleLevel"/>
    <w:tmpl w:val="94928D17"/>
    <w:lvl w:ilvl="0" w:tentative="0">
      <w:start w:val="1"/>
      <w:numFmt w:val="decimal"/>
      <w:suff w:val="space"/>
      <w:lvlText w:val="%1."/>
      <w:lvlJc w:val="left"/>
    </w:lvl>
  </w:abstractNum>
  <w:abstractNum w:abstractNumId="1">
    <w:nsid w:val="D54DE857"/>
    <w:multiLevelType w:val="singleLevel"/>
    <w:tmpl w:val="D54DE857"/>
    <w:lvl w:ilvl="0" w:tentative="0">
      <w:start w:val="1"/>
      <w:numFmt w:val="decimal"/>
      <w:suff w:val="space"/>
      <w:lvlText w:val="%1."/>
      <w:lvlJc w:val="left"/>
    </w:lvl>
  </w:abstractNum>
  <w:abstractNum w:abstractNumId="2">
    <w:nsid w:val="D7EDCAE8"/>
    <w:multiLevelType w:val="singleLevel"/>
    <w:tmpl w:val="D7EDCAE8"/>
    <w:lvl w:ilvl="0" w:tentative="0">
      <w:start w:val="1"/>
      <w:numFmt w:val="decimal"/>
      <w:suff w:val="space"/>
      <w:lvlText w:val="%1."/>
      <w:lvlJc w:val="left"/>
    </w:lvl>
  </w:abstractNum>
  <w:abstractNum w:abstractNumId="3">
    <w:nsid w:val="E4372F1D"/>
    <w:multiLevelType w:val="singleLevel"/>
    <w:tmpl w:val="E4372F1D"/>
    <w:lvl w:ilvl="0" w:tentative="0">
      <w:start w:val="9"/>
      <w:numFmt w:val="decimal"/>
      <w:suff w:val="space"/>
      <w:lvlText w:val="%1."/>
      <w:lvlJc w:val="left"/>
    </w:lvl>
  </w:abstractNum>
  <w:abstractNum w:abstractNumId="4">
    <w:nsid w:val="12DF0381"/>
    <w:multiLevelType w:val="singleLevel"/>
    <w:tmpl w:val="12DF0381"/>
    <w:lvl w:ilvl="0" w:tentative="0">
      <w:start w:val="1"/>
      <w:numFmt w:val="decimal"/>
      <w:suff w:val="space"/>
      <w:lvlText w:val="%1."/>
      <w:lvlJc w:val="left"/>
    </w:lvl>
  </w:abstractNum>
  <w:abstractNum w:abstractNumId="5">
    <w:nsid w:val="15E70B43"/>
    <w:multiLevelType w:val="singleLevel"/>
    <w:tmpl w:val="15E70B43"/>
    <w:lvl w:ilvl="0" w:tentative="0">
      <w:start w:val="7"/>
      <w:numFmt w:val="decimal"/>
      <w:suff w:val="space"/>
      <w:lvlText w:val="%1."/>
      <w:lvlJc w:val="left"/>
    </w:lvl>
  </w:abstractNum>
  <w:abstractNum w:abstractNumId="6">
    <w:nsid w:val="1FB15ACD"/>
    <w:multiLevelType w:val="singleLevel"/>
    <w:tmpl w:val="1FB15ACD"/>
    <w:lvl w:ilvl="0" w:tentative="0">
      <w:start w:val="1"/>
      <w:numFmt w:val="decimal"/>
      <w:suff w:val="space"/>
      <w:lvlText w:val="%1."/>
      <w:lvlJc w:val="left"/>
    </w:lvl>
  </w:abstractNum>
  <w:num w:numId="1">
    <w:abstractNumId w:val="2"/>
  </w:num>
  <w:num w:numId="2">
    <w:abstractNumId w:val="6"/>
  </w:num>
  <w:num w:numId="3">
    <w:abstractNumId w:val="3"/>
  </w:num>
  <w:num w:numId="4">
    <w:abstractNumId w:val="0"/>
  </w:num>
  <w:num w:numId="5">
    <w:abstractNumId w:val="4"/>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yZmJhYWFlNDk5MDZlZTZkZTg4Yzg5ODU5NjM0YzEifQ=="/>
  </w:docVars>
  <w:rsids>
    <w:rsidRoot w:val="5C3A5C61"/>
    <w:rsid w:val="43217D7E"/>
    <w:rsid w:val="5C3A5C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3119</Words>
  <Characters>3687</Characters>
  <Lines>0</Lines>
  <Paragraphs>0</Paragraphs>
  <TotalTime>3</TotalTime>
  <ScaleCrop>false</ScaleCrop>
  <LinksUpToDate>false</LinksUpToDate>
  <CharactersWithSpaces>3776</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2023-11-20T01:18:00Z</dcterms:created>
  <dc:creator>Administrator</dc:creator>
  <cp:lastModifiedBy>我有孤独和烈酒</cp:lastModifiedBy>
  <dcterms:modified xsi:type="dcterms:W3CDTF">2023-11-29T10:08:47Z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C920933327C34A4D8D7391DAEBB7E3FE_13</vt:lpwstr>
  </property>
</Properties>
</file>