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adjustRightInd/>
        <w:snapToGrid/>
        <w:spacing w:before="100" w:beforeAutospacing="1" w:after="100" w:afterAutospacing="1" w:line="312" w:lineRule="auto"/>
        <w:ind w:firstLine="643" w:firstLineChars="200"/>
        <w:jc w:val="center"/>
        <w:outlineLvl w:val="2"/>
        <w:rPr>
          <w:rFonts w:ascii="宋体" w:hAnsi="宋体" w:eastAsia="宋体" w:cs="宋体"/>
          <w:b/>
          <w:bCs/>
          <w:kern w:val="2"/>
          <w:sz w:val="32"/>
          <w:szCs w:val="32"/>
        </w:rPr>
      </w:pPr>
      <w:bookmarkStart w:id="0" w:name="_Toc8222541"/>
      <w:bookmarkStart w:id="1" w:name="_Toc23923"/>
      <w:bookmarkStart w:id="2" w:name="_Toc143847249"/>
      <w:bookmarkStart w:id="3" w:name="_Toc18467"/>
      <w:bookmarkStart w:id="4" w:name="_Toc1572543444"/>
      <w:bookmarkStart w:id="5" w:name="_Toc4746155"/>
      <w:bookmarkStart w:id="6" w:name="_Toc15923"/>
      <w:bookmarkStart w:id="7" w:name="_Toc120682377"/>
      <w:r>
        <w:rPr>
          <w:rFonts w:hint="eastAsia" w:ascii="宋体" w:hAnsi="宋体" w:eastAsia="宋体" w:cs="宋体"/>
          <w:b/>
          <w:bCs/>
          <w:kern w:val="2"/>
          <w:sz w:val="32"/>
          <w:szCs w:val="32"/>
        </w:rPr>
        <w:t>软件技术参数及清单</w:t>
      </w:r>
    </w:p>
    <w:p>
      <w:pPr>
        <w:keepNext/>
        <w:keepLines/>
        <w:widowControl w:val="0"/>
        <w:numPr>
          <w:ilvl w:val="0"/>
          <w:numId w:val="1"/>
        </w:numPr>
        <w:adjustRightInd/>
        <w:snapToGrid/>
        <w:spacing w:before="100" w:beforeAutospacing="1" w:after="100" w:afterAutospacing="1" w:line="312" w:lineRule="auto"/>
        <w:ind w:firstLine="562" w:firstLineChars="200"/>
        <w:jc w:val="both"/>
        <w:outlineLvl w:val="2"/>
        <w:rPr>
          <w:rFonts w:ascii="宋体" w:hAnsi="宋体" w:eastAsia="宋体" w:cs="宋体"/>
          <w:b/>
          <w:bCs/>
          <w:kern w:val="2"/>
          <w:sz w:val="28"/>
          <w:szCs w:val="28"/>
        </w:rPr>
      </w:pPr>
      <w:r>
        <w:rPr>
          <w:rFonts w:hint="eastAsia" w:ascii="宋体" w:hAnsi="宋体" w:eastAsia="宋体" w:cs="宋体"/>
          <w:b/>
          <w:bCs/>
          <w:kern w:val="2"/>
          <w:sz w:val="28"/>
          <w:szCs w:val="28"/>
        </w:rPr>
        <w:t>总则</w:t>
      </w:r>
      <w:bookmarkEnd w:id="0"/>
      <w:bookmarkEnd w:id="1"/>
      <w:bookmarkEnd w:id="2"/>
      <w:bookmarkEnd w:id="3"/>
      <w:bookmarkEnd w:id="4"/>
      <w:bookmarkEnd w:id="5"/>
      <w:bookmarkEnd w:id="6"/>
      <w:bookmarkEnd w:id="7"/>
    </w:p>
    <w:p>
      <w:pPr>
        <w:keepNext/>
        <w:keepLines/>
        <w:widowControl w:val="0"/>
        <w:numPr>
          <w:ilvl w:val="1"/>
          <w:numId w:val="1"/>
        </w:numPr>
        <w:adjustRightInd/>
        <w:snapToGrid/>
        <w:spacing w:before="100" w:beforeAutospacing="1" w:after="100" w:afterAutospacing="1" w:line="312" w:lineRule="auto"/>
        <w:ind w:firstLine="562" w:firstLineChars="200"/>
        <w:jc w:val="both"/>
        <w:outlineLvl w:val="3"/>
        <w:rPr>
          <w:rFonts w:ascii="Arial" w:hAnsi="Arial" w:eastAsia="黑体" w:cs="Times New Roman"/>
          <w:b/>
          <w:kern w:val="2"/>
          <w:sz w:val="28"/>
          <w:szCs w:val="28"/>
        </w:rPr>
      </w:pPr>
      <w:bookmarkStart w:id="8" w:name="_Toc26454"/>
      <w:r>
        <w:rPr>
          <w:rFonts w:hint="eastAsia" w:ascii="Arial" w:hAnsi="Arial" w:eastAsia="黑体" w:cs="Times New Roman"/>
          <w:b/>
          <w:kern w:val="2"/>
          <w:sz w:val="28"/>
          <w:szCs w:val="28"/>
        </w:rPr>
        <w:t>概述</w:t>
      </w:r>
      <w:bookmarkEnd w:id="8"/>
    </w:p>
    <w:p>
      <w:pPr>
        <w:widowControl w:val="0"/>
        <w:numPr>
          <w:ilvl w:val="2"/>
          <w:numId w:val="2"/>
        </w:numPr>
        <w:adjustRightInd/>
        <w:snapToGrid/>
        <w:spacing w:before="100" w:beforeAutospacing="1" w:after="100" w:afterAutospacing="1" w:line="312" w:lineRule="auto"/>
        <w:ind w:left="0"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本技术规范书适用于乌兰察布区集宁区供热监管平台建设及主要设备采购、包装、运输、安装、调试、性能试验、培训等方面的技术要求。</w:t>
      </w:r>
    </w:p>
    <w:p>
      <w:pPr>
        <w:widowControl w:val="0"/>
        <w:numPr>
          <w:ilvl w:val="2"/>
          <w:numId w:val="2"/>
        </w:numPr>
        <w:adjustRightInd/>
        <w:snapToGrid/>
        <w:spacing w:before="100" w:beforeAutospacing="1" w:after="100" w:afterAutospacing="1" w:line="312" w:lineRule="auto"/>
        <w:ind w:left="0"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本技术规范书提出的是最低限度的技术要求，并未对一切技术细节作出规定，也未充分引述有关标准和规范的条文，投标人应保证提供符合本技术规范书和现行最新版本标准的优质产品及服务。</w:t>
      </w:r>
    </w:p>
    <w:p>
      <w:pPr>
        <w:widowControl w:val="0"/>
        <w:numPr>
          <w:ilvl w:val="2"/>
          <w:numId w:val="2"/>
        </w:numPr>
        <w:adjustRightInd/>
        <w:snapToGrid/>
        <w:spacing w:before="100" w:beforeAutospacing="1" w:after="100" w:afterAutospacing="1" w:line="312" w:lineRule="auto"/>
        <w:ind w:left="0"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如果投标人没有以书面对本技术规范书的条文提出异议，那么招标人可以认为投标人提出的产品应完全符合本技术规范书的要求。在签订合同之后，按本技术规范书的要求，投标人须提出此项目设备的品牌、配置、设计、制造、检验/试验、调试、试运、验收试验、运行和维护等标准清单给招标人，由招标人确认后方可进行采购。</w:t>
      </w:r>
    </w:p>
    <w:p>
      <w:pPr>
        <w:widowControl w:val="0"/>
        <w:numPr>
          <w:ilvl w:val="2"/>
          <w:numId w:val="2"/>
        </w:numPr>
        <w:adjustRightInd/>
        <w:snapToGrid/>
        <w:spacing w:before="100" w:beforeAutospacing="1" w:after="100" w:afterAutospacing="1" w:line="312" w:lineRule="auto"/>
        <w:ind w:left="0"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投标人应提供高质量的设备材料。这些设备材料应是成熟可靠、技术先进的产品。　　　　　　　　　　</w:t>
      </w:r>
    </w:p>
    <w:p>
      <w:pPr>
        <w:widowControl w:val="0"/>
        <w:numPr>
          <w:ilvl w:val="2"/>
          <w:numId w:val="2"/>
        </w:numPr>
        <w:adjustRightInd/>
        <w:snapToGrid/>
        <w:spacing w:before="100" w:beforeAutospacing="1" w:after="100" w:afterAutospacing="1" w:line="312" w:lineRule="auto"/>
        <w:ind w:left="0"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本技术规范书将为订货合同的附件，与合同正文具有同等效力，投标人须执行本技术规范书所列标准。如发生矛盾时，按较高标准执行。</w:t>
      </w:r>
    </w:p>
    <w:p>
      <w:pPr>
        <w:widowControl w:val="0"/>
        <w:numPr>
          <w:ilvl w:val="2"/>
          <w:numId w:val="2"/>
        </w:numPr>
        <w:adjustRightInd/>
        <w:snapToGrid/>
        <w:spacing w:before="100" w:beforeAutospacing="1" w:after="100" w:afterAutospacing="1" w:line="312" w:lineRule="auto"/>
        <w:ind w:left="0"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投标人对所投产品（含辅助系统与设备）负有全部技术及质量责任。</w:t>
      </w:r>
    </w:p>
    <w:p>
      <w:pPr>
        <w:widowControl w:val="0"/>
        <w:numPr>
          <w:ilvl w:val="2"/>
          <w:numId w:val="2"/>
        </w:numPr>
        <w:adjustRightInd/>
        <w:snapToGrid/>
        <w:spacing w:before="100" w:beforeAutospacing="1" w:after="100" w:afterAutospacing="1" w:line="312" w:lineRule="auto"/>
        <w:ind w:left="0"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招标文件、投标文件等，包括图纸、说明、使用手册、清单等，均应使用国际单位制（SI）。</w:t>
      </w:r>
    </w:p>
    <w:p>
      <w:pPr>
        <w:keepNext/>
        <w:keepLines/>
        <w:widowControl w:val="0"/>
        <w:numPr>
          <w:ilvl w:val="1"/>
          <w:numId w:val="1"/>
        </w:numPr>
        <w:adjustRightInd/>
        <w:snapToGrid/>
        <w:spacing w:before="100" w:beforeAutospacing="1" w:after="100" w:afterAutospacing="1" w:line="312" w:lineRule="auto"/>
        <w:ind w:firstLine="562" w:firstLineChars="200"/>
        <w:jc w:val="both"/>
        <w:outlineLvl w:val="3"/>
        <w:rPr>
          <w:rFonts w:ascii="Arial" w:hAnsi="Arial" w:eastAsia="黑体" w:cs="Times New Roman"/>
          <w:b/>
          <w:kern w:val="2"/>
          <w:sz w:val="28"/>
          <w:szCs w:val="28"/>
        </w:rPr>
      </w:pPr>
      <w:bookmarkStart w:id="9" w:name="_Toc25641"/>
      <w:r>
        <w:rPr>
          <w:rFonts w:hint="eastAsia" w:ascii="Arial" w:hAnsi="Arial" w:eastAsia="黑体" w:cs="Times New Roman"/>
          <w:b/>
          <w:kern w:val="2"/>
          <w:sz w:val="28"/>
          <w:szCs w:val="28"/>
        </w:rPr>
        <w:t>投标人工作范围</w:t>
      </w:r>
      <w:bookmarkEnd w:id="9"/>
    </w:p>
    <w:p>
      <w:pPr>
        <w:widowControl w:val="0"/>
        <w:numPr>
          <w:ilvl w:val="2"/>
          <w:numId w:val="2"/>
        </w:numPr>
        <w:adjustRightInd/>
        <w:snapToGrid/>
        <w:spacing w:before="100" w:beforeAutospacing="1" w:after="100" w:afterAutospacing="1" w:line="312" w:lineRule="auto"/>
        <w:ind w:left="0"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投标人须按本技术规范书的要求及现场实际需求完成提供此项目的采购、包装、运输、安装、调试、性能试验、培训等方面的技术要求等工作。</w:t>
      </w:r>
    </w:p>
    <w:p>
      <w:pPr>
        <w:widowControl w:val="0"/>
        <w:numPr>
          <w:ilvl w:val="2"/>
          <w:numId w:val="2"/>
        </w:numPr>
        <w:adjustRightInd/>
        <w:snapToGrid/>
        <w:spacing w:before="100" w:beforeAutospacing="1" w:after="100" w:afterAutospacing="1" w:line="312" w:lineRule="auto"/>
        <w:ind w:left="0"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招标人有权根据实际情况调整设备材料规格型号及供货数量，并按调整后的规格型号及数量结算。</w:t>
      </w:r>
    </w:p>
    <w:p>
      <w:pPr>
        <w:widowControl w:val="0"/>
        <w:numPr>
          <w:ilvl w:val="2"/>
          <w:numId w:val="2"/>
        </w:numPr>
        <w:adjustRightInd/>
        <w:snapToGrid/>
        <w:spacing w:before="100" w:beforeAutospacing="1" w:after="100" w:afterAutospacing="1" w:line="312" w:lineRule="auto"/>
        <w:ind w:left="0"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投标人必须提供包括但不限于技术规范书要求及现场实际需求的系统建设全套硬件设备，以及相对应的规划、迁移、安装和调试等全部服务。</w:t>
      </w:r>
    </w:p>
    <w:p>
      <w:pPr>
        <w:widowControl w:val="0"/>
        <w:numPr>
          <w:ilvl w:val="2"/>
          <w:numId w:val="2"/>
        </w:numPr>
        <w:adjustRightInd/>
        <w:snapToGrid/>
        <w:spacing w:before="100" w:beforeAutospacing="1" w:after="100" w:afterAutospacing="1" w:line="312" w:lineRule="auto"/>
        <w:ind w:left="0"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投标人必须按工作顺序提交有关资料，所有资料必须符合本技术规范的要求。</w:t>
      </w:r>
    </w:p>
    <w:p>
      <w:pPr>
        <w:keepNext/>
        <w:keepLines/>
        <w:widowControl w:val="0"/>
        <w:numPr>
          <w:ilvl w:val="0"/>
          <w:numId w:val="1"/>
        </w:numPr>
        <w:adjustRightInd/>
        <w:snapToGrid/>
        <w:spacing w:before="100" w:beforeAutospacing="1" w:after="100" w:afterAutospacing="1" w:line="312" w:lineRule="auto"/>
        <w:ind w:firstLine="562" w:firstLineChars="200"/>
        <w:jc w:val="both"/>
        <w:outlineLvl w:val="2"/>
        <w:rPr>
          <w:rFonts w:ascii="宋体" w:hAnsi="宋体" w:eastAsia="宋体" w:cs="宋体"/>
          <w:b/>
          <w:bCs/>
          <w:kern w:val="2"/>
          <w:sz w:val="28"/>
          <w:szCs w:val="28"/>
        </w:rPr>
      </w:pPr>
      <w:bookmarkStart w:id="10" w:name="_Toc656419679"/>
      <w:bookmarkStart w:id="11" w:name="_Toc24088"/>
      <w:bookmarkStart w:id="12" w:name="_Toc12151"/>
      <w:r>
        <w:rPr>
          <w:rFonts w:hint="eastAsia" w:ascii="宋体" w:hAnsi="宋体" w:eastAsia="宋体" w:cs="宋体"/>
          <w:b/>
          <w:bCs/>
          <w:kern w:val="2"/>
          <w:sz w:val="28"/>
          <w:szCs w:val="28"/>
        </w:rPr>
        <w:t>供热监管平台项目技术要求</w:t>
      </w:r>
      <w:bookmarkEnd w:id="10"/>
    </w:p>
    <w:p>
      <w:pPr>
        <w:keepNext/>
        <w:keepLines/>
        <w:widowControl w:val="0"/>
        <w:numPr>
          <w:ilvl w:val="1"/>
          <w:numId w:val="1"/>
        </w:numPr>
        <w:adjustRightInd/>
        <w:snapToGrid/>
        <w:spacing w:before="100" w:beforeAutospacing="1" w:after="100" w:afterAutospacing="1" w:line="312" w:lineRule="auto"/>
        <w:ind w:firstLine="562" w:firstLineChars="200"/>
        <w:jc w:val="both"/>
        <w:outlineLvl w:val="3"/>
        <w:rPr>
          <w:rFonts w:ascii="Arial" w:hAnsi="Arial" w:eastAsia="黑体" w:cs="Times New Roman"/>
          <w:b/>
          <w:kern w:val="2"/>
          <w:sz w:val="28"/>
          <w:szCs w:val="28"/>
        </w:rPr>
      </w:pPr>
      <w:r>
        <w:rPr>
          <w:rFonts w:hint="eastAsia" w:ascii="Arial" w:hAnsi="Arial" w:eastAsia="黑体" w:cs="Times New Roman"/>
          <w:b/>
          <w:kern w:val="2"/>
          <w:sz w:val="28"/>
          <w:szCs w:val="28"/>
        </w:rPr>
        <w:t>项目目标</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宋体"/>
          <w:kern w:val="2"/>
          <w:sz w:val="28"/>
          <w:szCs w:val="28"/>
        </w:rPr>
        <w:t>以互联网、云计算、人工智能等“互联网+”技术融合为动力，深度链接物理空间的实体系统和虚拟空间的数字信息系统，构建省、市和企业分级联动的智慧供热管理平台，深度挖掘“源网站户”数据价值，推动全省供热实物资产向着数字资产转变，支撑供热“双碳”智慧研判及自主优化，助力政府科学决策、企业精益管理以及民众暖心用热。</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宋体"/>
          <w:kern w:val="2"/>
          <w:sz w:val="28"/>
          <w:szCs w:val="28"/>
        </w:rPr>
        <w:t>覆盖京能热电、京热（乌兰察布）、察哈尔热力、富磊热力等热力企业供热数据，汇聚乌兰察布市智慧供热信息监管平台。采用“一级监管，二级联网”的建设模式，即政府监管；市和供热企业二级联网。</w:t>
      </w:r>
      <w:r>
        <w:rPr>
          <w:rFonts w:ascii="Calibri" w:hAnsi="Calibri" w:eastAsia="宋体" w:cs="Times New Roman"/>
          <w:kern w:val="2"/>
          <w:sz w:val="28"/>
          <w:szCs w:val="28"/>
        </w:rPr>
        <w:drawing>
          <wp:inline distT="0" distB="0" distL="114300" distR="114300">
            <wp:extent cx="5686425" cy="1695450"/>
            <wp:effectExtent l="0" t="0" r="3175"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cstate="print"/>
                    <a:stretch>
                      <a:fillRect/>
                    </a:stretch>
                  </pic:blipFill>
                  <pic:spPr>
                    <a:xfrm>
                      <a:off x="0" y="0"/>
                      <a:ext cx="5686425" cy="1695450"/>
                    </a:xfrm>
                    <a:prstGeom prst="rect">
                      <a:avLst/>
                    </a:prstGeom>
                    <a:noFill/>
                    <a:ln w="9525">
                      <a:noFill/>
                    </a:ln>
                  </pic:spPr>
                </pic:pic>
              </a:graphicData>
            </a:graphic>
          </wp:inline>
        </w:drawing>
      </w:r>
    </w:p>
    <w:p>
      <w:pPr>
        <w:keepNext/>
        <w:keepLines/>
        <w:widowControl w:val="0"/>
        <w:numPr>
          <w:ilvl w:val="1"/>
          <w:numId w:val="1"/>
        </w:numPr>
        <w:adjustRightInd/>
        <w:snapToGrid/>
        <w:spacing w:before="100" w:beforeAutospacing="1" w:after="100" w:afterAutospacing="1" w:line="312" w:lineRule="auto"/>
        <w:ind w:firstLine="562" w:firstLineChars="200"/>
        <w:jc w:val="both"/>
        <w:outlineLvl w:val="3"/>
        <w:rPr>
          <w:rFonts w:ascii="Arial" w:hAnsi="Arial" w:eastAsia="黑体" w:cs="Times New Roman"/>
          <w:b/>
          <w:kern w:val="2"/>
          <w:sz w:val="28"/>
          <w:szCs w:val="28"/>
        </w:rPr>
      </w:pPr>
      <w:r>
        <w:rPr>
          <w:rFonts w:hint="eastAsia" w:ascii="Arial" w:hAnsi="Arial" w:eastAsia="黑体" w:cs="Times New Roman"/>
          <w:b/>
          <w:kern w:val="2"/>
          <w:sz w:val="28"/>
          <w:szCs w:val="28"/>
        </w:rPr>
        <w:t>平台建设内容</w:t>
      </w:r>
    </w:p>
    <w:p>
      <w:pPr>
        <w:widowControl w:val="0"/>
        <w:adjustRightInd/>
        <w:snapToGrid/>
        <w:spacing w:before="100" w:beforeAutospacing="1" w:after="100" w:afterAutospacing="1" w:line="312" w:lineRule="auto"/>
        <w:ind w:firstLine="560" w:firstLineChars="200"/>
        <w:rPr>
          <w:rFonts w:hint="eastAsia" w:ascii="宋体" w:hAnsi="宋体" w:eastAsia="宋体" w:cs="宋体"/>
          <w:kern w:val="2"/>
          <w:sz w:val="28"/>
          <w:szCs w:val="28"/>
          <w:lang w:eastAsia="zh-CN"/>
        </w:rPr>
      </w:pPr>
      <w:r>
        <w:rPr>
          <w:rFonts w:hint="eastAsia" w:ascii="宋体" w:hAnsi="宋体" w:eastAsia="宋体" w:cs="宋体"/>
          <w:kern w:val="2"/>
          <w:sz w:val="28"/>
          <w:szCs w:val="28"/>
        </w:rPr>
        <w:t>平台打造城市供热数据中心，纵向汇总城区各热力公司数据，横向与智慧城市政务数据、碳交易中心等平台进行数据对接，实现数据化决策，并对全区供热碳排放进行实时收集，完善城市供热数据监管，帮助政府管理公共供热事业。</w:t>
      </w:r>
    </w:p>
    <w:p>
      <w:pPr>
        <w:widowControl w:val="0"/>
        <w:numPr>
          <w:ilvl w:val="0"/>
          <w:numId w:val="3"/>
        </w:numPr>
        <w:adjustRightInd/>
        <w:snapToGrid/>
        <w:spacing w:before="100" w:beforeAutospacing="1" w:after="100" w:afterAutospacing="1" w:line="312" w:lineRule="auto"/>
        <w:ind w:firstLine="560" w:firstLineChars="200"/>
        <w:rPr>
          <w:rFonts w:ascii="宋体" w:hAnsi="宋体" w:eastAsia="宋体" w:cs="宋体"/>
          <w:kern w:val="2"/>
          <w:sz w:val="28"/>
          <w:szCs w:val="28"/>
        </w:rPr>
      </w:pPr>
      <w:r>
        <w:rPr>
          <w:rFonts w:hint="eastAsia" w:ascii="宋体" w:hAnsi="宋体" w:eastAsia="宋体" w:cs="宋体"/>
          <w:kern w:val="2"/>
          <w:sz w:val="28"/>
          <w:szCs w:val="28"/>
        </w:rPr>
        <w:t>乌兰察布市集宁区监管平台的建设；依托供热京能热电热源/热网信息化系统，收集辖区3个热力公司：京热（乌兰察布），察哈尔热力、富磊热力等企业级监控中心平台供热数据，链接企业监控中心数据库，抽取供热运行数据，以及对接获取市长热线（12345热线）政府服务数据，建立以集宁区供热管理部门为中心点的城市数字孪生供热全景、全区供热生产安全监测、供热能耗评价分析、供热台账资产管理、智能辅助决策工具的智慧供热信息监管平台。</w:t>
      </w:r>
    </w:p>
    <w:p>
      <w:pPr>
        <w:widowControl w:val="0"/>
        <w:numPr>
          <w:ilvl w:val="0"/>
          <w:numId w:val="3"/>
        </w:numPr>
        <w:adjustRightInd/>
        <w:snapToGrid/>
        <w:spacing w:before="100" w:beforeAutospacing="1" w:after="100" w:afterAutospacing="1" w:line="312" w:lineRule="auto"/>
        <w:ind w:firstLine="560" w:firstLineChars="200"/>
        <w:rPr>
          <w:rFonts w:ascii="宋体" w:hAnsi="宋体" w:eastAsia="宋体" w:cs="宋体"/>
          <w:kern w:val="2"/>
          <w:sz w:val="28"/>
          <w:szCs w:val="28"/>
        </w:rPr>
      </w:pPr>
      <w:r>
        <w:rPr>
          <w:rFonts w:ascii="宋体" w:hAnsi="宋体" w:eastAsia="宋体" w:cs="宋体"/>
          <w:kern w:val="2"/>
          <w:sz w:val="28"/>
          <w:szCs w:val="28"/>
        </w:rPr>
        <w:t>对各热力企业进行充分的数据对接</w:t>
      </w:r>
      <w:r>
        <w:rPr>
          <w:rFonts w:hint="eastAsia" w:ascii="宋体" w:hAnsi="宋体" w:eastAsia="宋体" w:cs="宋体"/>
          <w:kern w:val="2"/>
          <w:sz w:val="28"/>
          <w:szCs w:val="28"/>
        </w:rPr>
        <w:t>：</w:t>
      </w:r>
      <w:r>
        <w:rPr>
          <w:rFonts w:ascii="宋体" w:hAnsi="宋体" w:eastAsia="宋体" w:cs="宋体"/>
          <w:kern w:val="2"/>
          <w:sz w:val="28"/>
          <w:szCs w:val="28"/>
        </w:rPr>
        <w:t>根据不同的</w:t>
      </w:r>
      <w:r>
        <w:rPr>
          <w:rFonts w:hint="eastAsia" w:ascii="宋体" w:hAnsi="宋体" w:eastAsia="宋体" w:cs="宋体"/>
          <w:kern w:val="2"/>
          <w:sz w:val="28"/>
          <w:szCs w:val="28"/>
        </w:rPr>
        <w:t>软件平台状况，采用不同方案进行数据对接和对接所需的硬件调试、安装；</w:t>
      </w:r>
    </w:p>
    <w:p>
      <w:pPr>
        <w:widowControl w:val="0"/>
        <w:numPr>
          <w:ilvl w:val="0"/>
          <w:numId w:val="3"/>
        </w:numPr>
        <w:adjustRightInd/>
        <w:snapToGrid/>
        <w:spacing w:before="100" w:beforeAutospacing="1" w:after="100" w:afterAutospacing="1" w:line="312" w:lineRule="auto"/>
        <w:ind w:firstLine="560" w:firstLineChars="200"/>
        <w:rPr>
          <w:rFonts w:ascii="Calibri" w:hAnsi="Calibri" w:eastAsia="宋体" w:cs="Times New Roman"/>
          <w:kern w:val="2"/>
          <w:sz w:val="28"/>
          <w:szCs w:val="28"/>
        </w:rPr>
      </w:pPr>
      <w:r>
        <w:rPr>
          <w:rFonts w:hint="eastAsia" w:ascii="宋体" w:hAnsi="宋体" w:eastAsia="宋体" w:cs="宋体"/>
          <w:kern w:val="2"/>
          <w:sz w:val="28"/>
          <w:szCs w:val="28"/>
        </w:rPr>
        <w:t>政府供热监管调度中心的建设：包含机房建设（网络框架设计、网络安全建设）、调度大屏建设所涉及的软硬件服务（安装、调试等）；</w:t>
      </w:r>
    </w:p>
    <w:p>
      <w:pPr>
        <w:widowControl w:val="0"/>
        <w:numPr>
          <w:ilvl w:val="0"/>
          <w:numId w:val="3"/>
        </w:numPr>
        <w:adjustRightInd/>
        <w:snapToGrid/>
        <w:spacing w:before="100" w:beforeAutospacing="1" w:after="100" w:afterAutospacing="1" w:line="312" w:lineRule="auto"/>
        <w:ind w:firstLine="560" w:firstLineChars="200"/>
        <w:rPr>
          <w:rFonts w:ascii="Calibri" w:hAnsi="Calibri" w:eastAsia="宋体" w:cs="Times New Roman"/>
          <w:kern w:val="2"/>
          <w:sz w:val="28"/>
          <w:szCs w:val="28"/>
        </w:rPr>
      </w:pPr>
      <w:r>
        <w:rPr>
          <w:rFonts w:hint="eastAsia" w:ascii="宋体" w:hAnsi="宋体" w:eastAsia="宋体" w:cs="宋体"/>
          <w:kern w:val="2"/>
          <w:sz w:val="28"/>
          <w:szCs w:val="28"/>
        </w:rPr>
        <w:t>智慧供热体系建设：针对乌兰察布市集宁区供热基础设施现状，结合国家、省、市相关政策，按照“创新引领、系统谋划、实事求是”的原则，制定全区供热智慧化建设发展方案，科学制定时间表、路线图。结合平台功能建设情况，制定平台应用和维护相关工作导则。</w:t>
      </w:r>
    </w:p>
    <w:p>
      <w:pPr>
        <w:keepNext/>
        <w:keepLines/>
        <w:widowControl w:val="0"/>
        <w:numPr>
          <w:ilvl w:val="1"/>
          <w:numId w:val="1"/>
        </w:numPr>
        <w:adjustRightInd/>
        <w:snapToGrid/>
        <w:spacing w:before="100" w:beforeAutospacing="1" w:after="100" w:afterAutospacing="1" w:line="312" w:lineRule="auto"/>
        <w:ind w:firstLine="562" w:firstLineChars="200"/>
        <w:jc w:val="both"/>
        <w:outlineLvl w:val="3"/>
        <w:rPr>
          <w:rFonts w:ascii="Arial" w:hAnsi="Arial" w:eastAsia="黑体" w:cs="Times New Roman"/>
          <w:b/>
          <w:kern w:val="2"/>
          <w:sz w:val="28"/>
          <w:szCs w:val="28"/>
        </w:rPr>
      </w:pPr>
      <w:r>
        <w:rPr>
          <w:rFonts w:hint="eastAsia" w:ascii="Arial" w:hAnsi="Arial" w:eastAsia="黑体" w:cs="Times New Roman"/>
          <w:b/>
          <w:kern w:val="2"/>
          <w:sz w:val="28"/>
          <w:szCs w:val="28"/>
        </w:rPr>
        <w:t>架构和设计原则要求</w:t>
      </w:r>
    </w:p>
    <w:p>
      <w:pPr>
        <w:widowControl w:val="0"/>
        <w:adjustRightInd/>
        <w:snapToGrid/>
        <w:spacing w:before="100" w:beforeAutospacing="1" w:after="100" w:afterAutospacing="1" w:line="312" w:lineRule="auto"/>
        <w:ind w:firstLine="560" w:firstLineChars="200"/>
        <w:rPr>
          <w:rFonts w:ascii="宋体" w:hAnsi="宋体" w:eastAsia="宋体" w:cs="宋体"/>
          <w:kern w:val="2"/>
          <w:sz w:val="28"/>
          <w:szCs w:val="28"/>
        </w:rPr>
      </w:pPr>
      <w:r>
        <w:rPr>
          <w:rFonts w:hint="eastAsia" w:ascii="宋体" w:hAnsi="宋体" w:eastAsia="宋体" w:cs="宋体"/>
          <w:kern w:val="2"/>
          <w:sz w:val="28"/>
          <w:szCs w:val="28"/>
        </w:rPr>
        <w:t>集宁区级平台需要对城市内各热力企业和未来分布式清洁能源供热服务商进行全量数据汇聚。以数据为核心生产要素，通过平台支撑和业务应用，实现城市供热碳生命周期全过程监测与管理，打通城市政务数据、热力企业数据和居民用热数据的全链接，全面帮助城市供热碳达峰和碳中和。</w:t>
      </w:r>
    </w:p>
    <w:p>
      <w:pPr>
        <w:widowControl w:val="0"/>
        <w:adjustRightInd/>
        <w:snapToGrid/>
        <w:spacing w:before="100" w:beforeAutospacing="1" w:after="100" w:afterAutospacing="1" w:line="312" w:lineRule="auto"/>
        <w:ind w:firstLine="560" w:firstLineChars="200"/>
        <w:rPr>
          <w:rFonts w:ascii="宋体" w:hAnsi="宋体" w:eastAsia="宋体" w:cs="宋体"/>
          <w:kern w:val="2"/>
          <w:sz w:val="28"/>
          <w:szCs w:val="28"/>
        </w:rPr>
      </w:pPr>
      <w:r>
        <w:rPr>
          <w:rFonts w:hint="eastAsia" w:ascii="宋体" w:hAnsi="宋体" w:eastAsia="宋体" w:cs="宋体"/>
          <w:kern w:val="2"/>
          <w:sz w:val="28"/>
          <w:szCs w:val="28"/>
        </w:rPr>
        <w:t>详细技术架构如下：</w:t>
      </w:r>
    </w:p>
    <w:p>
      <w:pPr>
        <w:widowControl w:val="0"/>
        <w:adjustRightInd/>
        <w:snapToGrid/>
        <w:spacing w:before="100" w:beforeAutospacing="1" w:after="100" w:afterAutospacing="1"/>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drawing>
          <wp:inline distT="0" distB="0" distL="114300" distR="114300">
            <wp:extent cx="5565775" cy="3276600"/>
            <wp:effectExtent l="19050" t="0" r="0" b="0"/>
            <wp:docPr id="1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3"/>
                    <pic:cNvPicPr>
                      <a:picLocks noChangeAspect="1"/>
                    </pic:cNvPicPr>
                  </pic:nvPicPr>
                  <pic:blipFill>
                    <a:blip r:embed="rId6" cstate="print"/>
                    <a:stretch>
                      <a:fillRect/>
                    </a:stretch>
                  </pic:blipFill>
                  <pic:spPr>
                    <a:xfrm>
                      <a:off x="0" y="0"/>
                      <a:ext cx="5569663" cy="3279140"/>
                    </a:xfrm>
                    <a:prstGeom prst="rect">
                      <a:avLst/>
                    </a:prstGeom>
                  </pic:spPr>
                </pic:pic>
              </a:graphicData>
            </a:graphic>
          </wp:inline>
        </w:drawing>
      </w:r>
    </w:p>
    <w:p>
      <w:pPr>
        <w:widowControl w:val="0"/>
        <w:adjustRightInd/>
        <w:snapToGrid/>
        <w:spacing w:before="100" w:beforeAutospacing="1" w:after="100" w:afterAutospacing="1" w:line="312" w:lineRule="auto"/>
        <w:ind w:firstLine="560" w:firstLineChars="200"/>
        <w:rPr>
          <w:rFonts w:ascii="宋体" w:hAnsi="宋体" w:eastAsia="宋体" w:cs="宋体"/>
          <w:kern w:val="2"/>
          <w:sz w:val="28"/>
          <w:szCs w:val="28"/>
        </w:rPr>
      </w:pPr>
      <w:r>
        <w:rPr>
          <w:rFonts w:hint="eastAsia" w:ascii="宋体" w:hAnsi="宋体" w:eastAsia="宋体" w:cs="宋体"/>
          <w:kern w:val="2"/>
          <w:sz w:val="28"/>
          <w:szCs w:val="28"/>
        </w:rPr>
        <w:t>平台应支撑是构建城市级智慧供热管理平台核心，依托云计算、大数据、区块链、人工智能、GIS和视频云等技术，平台应支撑通过数据汇聚、数据开发和数据运营，将城市供热相关的企业数据进行统一接入、汇聚和分析。同时依托各地市智慧城市建设，通过相关接口，共享城市政务数据、能源供应商、碳管理服务商和碳交易中心等数据，以数据驱动城市供热能源精细化管理和碳达峰路径科学推进。</w:t>
      </w:r>
    </w:p>
    <w:p>
      <w:pPr>
        <w:widowControl w:val="0"/>
        <w:adjustRightInd/>
        <w:snapToGrid/>
        <w:spacing w:before="100" w:beforeAutospacing="1" w:after="100" w:afterAutospacing="1" w:line="312" w:lineRule="auto"/>
        <w:ind w:firstLine="560" w:firstLineChars="200"/>
        <w:rPr>
          <w:rFonts w:ascii="宋体" w:hAnsi="宋体" w:eastAsia="宋体" w:cs="宋体"/>
          <w:kern w:val="2"/>
          <w:sz w:val="28"/>
          <w:szCs w:val="28"/>
        </w:rPr>
      </w:pPr>
      <w:r>
        <w:rPr>
          <w:rFonts w:hint="eastAsia" w:ascii="宋体" w:hAnsi="宋体" w:eastAsia="宋体" w:cs="宋体"/>
          <w:kern w:val="2"/>
          <w:sz w:val="28"/>
          <w:szCs w:val="28"/>
        </w:rPr>
        <w:t>本着先进性、可靠性、经济性、可扩充性、可维护及管理性等建设原则，建设一套采用先进成熟的技术、遵循布局设计优良、设备应用合理、界面友好简便、功能有序实用、升级扩展性好的监管平台。</w:t>
      </w:r>
    </w:p>
    <w:p>
      <w:pPr>
        <w:widowControl w:val="0"/>
        <w:adjustRightInd/>
        <w:snapToGrid/>
        <w:spacing w:before="100" w:beforeAutospacing="1" w:after="100" w:afterAutospacing="1" w:line="312" w:lineRule="auto"/>
        <w:ind w:firstLine="560" w:firstLineChars="200"/>
        <w:rPr>
          <w:rFonts w:ascii="宋体" w:hAnsi="宋体" w:eastAsia="宋体" w:cs="宋体"/>
          <w:kern w:val="2"/>
          <w:sz w:val="28"/>
          <w:szCs w:val="28"/>
        </w:rPr>
      </w:pPr>
      <w:bookmarkStart w:id="13" w:name="_Toc403131828"/>
      <w:bookmarkStart w:id="14" w:name="_Toc329278957"/>
      <w:bookmarkStart w:id="15" w:name="_Toc359866871"/>
      <w:bookmarkStart w:id="16" w:name="_Toc131235931"/>
      <w:r>
        <w:rPr>
          <w:rFonts w:hint="eastAsia" w:ascii="宋体" w:hAnsi="宋体" w:eastAsia="宋体" w:cs="宋体"/>
          <w:kern w:val="2"/>
          <w:sz w:val="28"/>
          <w:szCs w:val="28"/>
        </w:rPr>
        <w:t>1、先进性原则</w:t>
      </w:r>
      <w:bookmarkEnd w:id="13"/>
      <w:bookmarkEnd w:id="14"/>
      <w:bookmarkEnd w:id="15"/>
      <w:bookmarkEnd w:id="16"/>
    </w:p>
    <w:p>
      <w:pPr>
        <w:widowControl w:val="0"/>
        <w:adjustRightInd/>
        <w:snapToGrid/>
        <w:spacing w:before="100" w:beforeAutospacing="1" w:after="100" w:afterAutospacing="1" w:line="312" w:lineRule="auto"/>
        <w:ind w:firstLine="560" w:firstLineChars="200"/>
        <w:rPr>
          <w:rFonts w:ascii="宋体" w:hAnsi="宋体" w:eastAsia="宋体" w:cs="宋体"/>
          <w:kern w:val="2"/>
          <w:sz w:val="28"/>
          <w:szCs w:val="28"/>
        </w:rPr>
      </w:pPr>
      <w:r>
        <w:rPr>
          <w:rFonts w:hint="eastAsia" w:ascii="宋体" w:hAnsi="宋体" w:eastAsia="宋体" w:cs="宋体"/>
          <w:kern w:val="2"/>
          <w:sz w:val="28"/>
          <w:szCs w:val="28"/>
        </w:rPr>
        <w:t>充分体现当今显示技术的发展水平，保证该系统具有较高的先进性。以人为本、便民服务。以直观、便捷、图文并茂的形式呈现供热行业信息，做到信息及时公开和便民互动。</w:t>
      </w:r>
    </w:p>
    <w:p>
      <w:pPr>
        <w:widowControl w:val="0"/>
        <w:adjustRightInd/>
        <w:snapToGrid/>
        <w:spacing w:before="100" w:beforeAutospacing="1" w:after="100" w:afterAutospacing="1" w:line="312" w:lineRule="auto"/>
        <w:ind w:firstLine="560" w:firstLineChars="200"/>
        <w:rPr>
          <w:rFonts w:ascii="宋体" w:hAnsi="宋体" w:eastAsia="宋体" w:cs="宋体"/>
          <w:kern w:val="2"/>
          <w:sz w:val="28"/>
          <w:szCs w:val="28"/>
        </w:rPr>
      </w:pPr>
      <w:bookmarkStart w:id="17" w:name="_Toc403131829"/>
      <w:bookmarkStart w:id="18" w:name="_Toc359866872"/>
      <w:bookmarkStart w:id="19" w:name="_Toc329278958"/>
      <w:bookmarkStart w:id="20" w:name="_Toc131235932"/>
      <w:r>
        <w:rPr>
          <w:rFonts w:hint="eastAsia" w:ascii="宋体" w:hAnsi="宋体" w:eastAsia="宋体" w:cs="宋体"/>
          <w:kern w:val="2"/>
          <w:sz w:val="28"/>
          <w:szCs w:val="28"/>
        </w:rPr>
        <w:t>2、可靠性原则</w:t>
      </w:r>
      <w:bookmarkEnd w:id="17"/>
      <w:bookmarkEnd w:id="18"/>
      <w:bookmarkEnd w:id="19"/>
      <w:bookmarkEnd w:id="20"/>
    </w:p>
    <w:p>
      <w:pPr>
        <w:widowControl w:val="0"/>
        <w:adjustRightInd/>
        <w:snapToGrid/>
        <w:spacing w:before="100" w:beforeAutospacing="1" w:after="100" w:afterAutospacing="1" w:line="312" w:lineRule="auto"/>
        <w:ind w:firstLine="560" w:firstLineChars="200"/>
        <w:rPr>
          <w:rFonts w:ascii="宋体" w:hAnsi="宋体" w:eastAsia="宋体" w:cs="宋体"/>
          <w:kern w:val="2"/>
          <w:sz w:val="28"/>
          <w:szCs w:val="28"/>
        </w:rPr>
      </w:pPr>
      <w:r>
        <w:rPr>
          <w:rFonts w:hint="eastAsia" w:ascii="宋体" w:hAnsi="宋体" w:eastAsia="宋体" w:cs="宋体"/>
          <w:kern w:val="2"/>
          <w:sz w:val="28"/>
          <w:szCs w:val="28"/>
        </w:rPr>
        <w:t>在系统设计时，采用最先进的高新技术来保障。整个系统可以实现7×24小时、一年365天连续无故障工作，具有高可靠性、高稳定性等特点。市建设城市供热数据中心，集宁区级同步建立全区供热数据中心，与集宁区中心数据联动，互为主备，确保数据集中，又能安全可靠。</w:t>
      </w:r>
    </w:p>
    <w:p>
      <w:pPr>
        <w:widowControl w:val="0"/>
        <w:adjustRightInd/>
        <w:snapToGrid/>
        <w:spacing w:before="100" w:beforeAutospacing="1" w:after="100" w:afterAutospacing="1" w:line="312" w:lineRule="auto"/>
        <w:ind w:firstLine="560" w:firstLineChars="200"/>
        <w:rPr>
          <w:rFonts w:ascii="宋体" w:hAnsi="宋体" w:eastAsia="宋体" w:cs="宋体"/>
          <w:kern w:val="2"/>
          <w:sz w:val="28"/>
          <w:szCs w:val="28"/>
        </w:rPr>
      </w:pPr>
      <w:bookmarkStart w:id="21" w:name="_Toc403131830"/>
      <w:bookmarkStart w:id="22" w:name="_Toc359866873"/>
      <w:bookmarkStart w:id="23" w:name="_Toc329278959"/>
      <w:bookmarkStart w:id="24" w:name="_Toc131235933"/>
      <w:r>
        <w:rPr>
          <w:rFonts w:hint="eastAsia" w:ascii="宋体" w:hAnsi="宋体" w:eastAsia="宋体" w:cs="宋体"/>
          <w:kern w:val="2"/>
          <w:sz w:val="28"/>
          <w:szCs w:val="28"/>
        </w:rPr>
        <w:t>3、经济性原则</w:t>
      </w:r>
      <w:bookmarkEnd w:id="21"/>
      <w:bookmarkEnd w:id="22"/>
      <w:bookmarkEnd w:id="23"/>
      <w:bookmarkEnd w:id="24"/>
    </w:p>
    <w:p>
      <w:pPr>
        <w:widowControl w:val="0"/>
        <w:adjustRightInd/>
        <w:snapToGrid/>
        <w:spacing w:before="100" w:beforeAutospacing="1" w:after="100" w:afterAutospacing="1" w:line="312" w:lineRule="auto"/>
        <w:ind w:firstLine="560" w:firstLineChars="200"/>
        <w:rPr>
          <w:rFonts w:ascii="宋体" w:hAnsi="宋体" w:eastAsia="宋体" w:cs="宋体"/>
          <w:kern w:val="2"/>
          <w:sz w:val="28"/>
          <w:szCs w:val="28"/>
        </w:rPr>
      </w:pPr>
      <w:r>
        <w:rPr>
          <w:rFonts w:hint="eastAsia" w:ascii="宋体" w:hAnsi="宋体" w:eastAsia="宋体" w:cs="宋体"/>
          <w:kern w:val="2"/>
          <w:sz w:val="28"/>
          <w:szCs w:val="28"/>
        </w:rPr>
        <w:t>合理的性价比是系统设计中应当考虑的重要内容。因此，所选用的设备在兼顾良好性能的基础上也要考虑经济性，除考虑系统总体造价外，还应当考虑系统长期运行维护成本。</w:t>
      </w:r>
      <w:bookmarkStart w:id="25" w:name="_Toc403131831"/>
      <w:bookmarkStart w:id="26" w:name="_Toc131235934"/>
      <w:bookmarkStart w:id="27" w:name="_Toc329278960"/>
      <w:bookmarkStart w:id="28" w:name="_Toc359866874"/>
    </w:p>
    <w:p>
      <w:pPr>
        <w:widowControl w:val="0"/>
        <w:adjustRightInd/>
        <w:snapToGrid/>
        <w:spacing w:before="100" w:beforeAutospacing="1" w:after="100" w:afterAutospacing="1" w:line="312" w:lineRule="auto"/>
        <w:ind w:firstLine="560" w:firstLineChars="200"/>
        <w:rPr>
          <w:rFonts w:ascii="宋体" w:hAnsi="宋体" w:eastAsia="宋体" w:cs="宋体"/>
          <w:kern w:val="2"/>
          <w:sz w:val="28"/>
          <w:szCs w:val="28"/>
        </w:rPr>
      </w:pPr>
      <w:r>
        <w:rPr>
          <w:rFonts w:hint="eastAsia" w:ascii="宋体" w:hAnsi="宋体" w:eastAsia="宋体" w:cs="宋体"/>
          <w:kern w:val="2"/>
          <w:sz w:val="28"/>
          <w:szCs w:val="28"/>
        </w:rPr>
        <w:t>4、可扩充性原则</w:t>
      </w:r>
      <w:bookmarkEnd w:id="25"/>
      <w:bookmarkEnd w:id="26"/>
      <w:bookmarkEnd w:id="27"/>
      <w:bookmarkEnd w:id="28"/>
    </w:p>
    <w:p>
      <w:pPr>
        <w:widowControl w:val="0"/>
        <w:adjustRightInd/>
        <w:snapToGrid/>
        <w:spacing w:before="100" w:beforeAutospacing="1" w:after="100" w:afterAutospacing="1" w:line="312" w:lineRule="auto"/>
        <w:ind w:firstLine="560" w:firstLineChars="200"/>
        <w:rPr>
          <w:rFonts w:ascii="宋体" w:hAnsi="宋体" w:eastAsia="宋体" w:cs="宋体"/>
          <w:b/>
          <w:bCs/>
          <w:kern w:val="2"/>
          <w:sz w:val="28"/>
          <w:szCs w:val="28"/>
        </w:rPr>
      </w:pPr>
      <w:r>
        <w:rPr>
          <w:rFonts w:hint="eastAsia" w:ascii="宋体" w:hAnsi="宋体" w:eastAsia="宋体" w:cs="宋体"/>
          <w:kern w:val="2"/>
          <w:sz w:val="28"/>
          <w:szCs w:val="28"/>
        </w:rPr>
        <w:t>随着技术的发展和需求的扩大，系统的扩充是必然的，因而在系统设计时充分考虑未来系统扩充的可行性。应制定统一标准、资源共享。强化数据标准建设，建立和完善数据交换和共享机制，促进跨层级、跨部门、跨业务的数据互联互通</w:t>
      </w:r>
    </w:p>
    <w:p>
      <w:pPr>
        <w:widowControl w:val="0"/>
        <w:adjustRightInd/>
        <w:snapToGrid/>
        <w:spacing w:before="100" w:beforeAutospacing="1" w:after="100" w:afterAutospacing="1" w:line="312" w:lineRule="auto"/>
        <w:ind w:firstLine="560" w:firstLineChars="200"/>
        <w:rPr>
          <w:rFonts w:ascii="宋体" w:hAnsi="宋体" w:eastAsia="宋体" w:cs="宋体"/>
          <w:kern w:val="2"/>
          <w:sz w:val="28"/>
          <w:szCs w:val="28"/>
        </w:rPr>
      </w:pPr>
      <w:bookmarkStart w:id="29" w:name="_Toc131235935"/>
      <w:bookmarkStart w:id="30" w:name="_Toc359866875"/>
      <w:bookmarkStart w:id="31" w:name="_Toc523555945"/>
      <w:bookmarkStart w:id="32" w:name="_Toc329278961"/>
      <w:bookmarkStart w:id="33" w:name="_Toc403131832"/>
      <w:r>
        <w:rPr>
          <w:rFonts w:hint="eastAsia" w:ascii="宋体" w:hAnsi="宋体" w:eastAsia="宋体" w:cs="宋体"/>
          <w:kern w:val="2"/>
          <w:sz w:val="28"/>
          <w:szCs w:val="28"/>
        </w:rPr>
        <w:t>5、可维护、管理性原则</w:t>
      </w:r>
      <w:bookmarkEnd w:id="29"/>
      <w:bookmarkEnd w:id="30"/>
      <w:bookmarkEnd w:id="31"/>
      <w:bookmarkEnd w:id="32"/>
      <w:bookmarkEnd w:id="33"/>
    </w:p>
    <w:p>
      <w:pPr>
        <w:widowControl w:val="0"/>
        <w:adjustRightInd/>
        <w:snapToGrid/>
        <w:spacing w:before="100" w:beforeAutospacing="1" w:after="100" w:afterAutospacing="1" w:line="312" w:lineRule="auto"/>
        <w:ind w:firstLine="560" w:firstLineChars="200"/>
        <w:rPr>
          <w:rFonts w:ascii="宋体" w:hAnsi="宋体" w:eastAsia="宋体" w:cs="宋体"/>
          <w:kern w:val="2"/>
          <w:sz w:val="28"/>
          <w:szCs w:val="28"/>
        </w:rPr>
      </w:pPr>
      <w:r>
        <w:rPr>
          <w:rFonts w:hint="eastAsia" w:ascii="宋体" w:hAnsi="宋体" w:eastAsia="宋体" w:cs="宋体"/>
          <w:kern w:val="2"/>
          <w:sz w:val="28"/>
          <w:szCs w:val="28"/>
        </w:rPr>
        <w:t>从招标人使用角度出发，充分考虑到系统设备的安装、配置、操作方便等需求，提供了强大的系统管理手段，合理配置和调整系统负载、监视系统状态、控制系统稳定运行。同时，应统筹规划、分级建设。遵循集宁区电子政务建设有关政策，集宁区统一标准规范，平台采用集中建设与独立建设相结合，自上而下统筹使用，防止各自为政，避免重复建设。</w:t>
      </w:r>
    </w:p>
    <w:p>
      <w:pPr>
        <w:keepNext/>
        <w:keepLines/>
        <w:widowControl w:val="0"/>
        <w:numPr>
          <w:ilvl w:val="1"/>
          <w:numId w:val="1"/>
        </w:numPr>
        <w:adjustRightInd/>
        <w:snapToGrid/>
        <w:spacing w:before="100" w:beforeAutospacing="1" w:after="100" w:afterAutospacing="1" w:line="312" w:lineRule="auto"/>
        <w:ind w:firstLine="562" w:firstLineChars="200"/>
        <w:jc w:val="both"/>
        <w:outlineLvl w:val="3"/>
        <w:rPr>
          <w:rFonts w:ascii="Arial" w:hAnsi="Arial" w:eastAsia="黑体" w:cs="Times New Roman"/>
          <w:b/>
          <w:kern w:val="2"/>
          <w:sz w:val="28"/>
          <w:szCs w:val="28"/>
        </w:rPr>
      </w:pPr>
      <w:r>
        <w:rPr>
          <w:rFonts w:hint="eastAsia" w:ascii="Arial" w:hAnsi="Arial" w:eastAsia="黑体" w:cs="Times New Roman"/>
          <w:b/>
          <w:kern w:val="2"/>
          <w:sz w:val="28"/>
          <w:szCs w:val="28"/>
        </w:rPr>
        <w:t>平台技术要求</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城市数字孪生供热全景</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宋体"/>
          <w:kern w:val="2"/>
          <w:sz w:val="28"/>
          <w:szCs w:val="28"/>
        </w:rPr>
        <w:t>系统支持利用地理信息系统覆盖的管理区域，提供包括三维管网（一级管网与二级管网）的建模、热源厂的三维全景模型、热力站的三维全景模型以及重点供热单位的三维全景模型，建成包含“源-网-站-户”在内的“全域全程”城市供热数字孪生系统。通过城市级的数字孪生技术，政府能够全面审视和监控全市的供热系统全景。</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供热生产安全监测</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热源监测</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系统全面整合了区域内所有热源的实时运行数据，并通过数字仿真方式呈现，以便招标人能够一目了然地了解整个区域的热源运行状况和供热半径。同时，系统还对关键性能指标进行实时监测，包括温度、压力、流量和热量等，用于监管热力系统的正常运行。通过对主要输出点的实时监管，系统可以及时发现潜在的问题，并采取相应的措施进行调整，从而保证热力供应的稳定性。</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热网监测</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通过汇总各供热企业的热源、换热站、用热建筑、热用户等运行数据到平台数据库，可以及时、准确的了解供热企业各个供热环节的运行状况。从而分析城区的供热保证能力、供热安全。</w:t>
      </w:r>
    </w:p>
    <w:p>
      <w:pPr>
        <w:widowControl w:val="0"/>
        <w:numPr>
          <w:ilvl w:val="0"/>
          <w:numId w:val="4"/>
        </w:numPr>
        <w:adjustRightInd/>
        <w:snapToGrid/>
        <w:spacing w:before="100" w:beforeAutospacing="1" w:after="100" w:afterAutospacing="1" w:line="312" w:lineRule="auto"/>
        <w:ind w:left="0" w:firstLine="560" w:firstLineChars="200"/>
        <w:rPr>
          <w:rFonts w:ascii="宋体" w:hAnsi="宋体" w:eastAsia="宋体" w:cs="Times New Roman"/>
          <w:kern w:val="2"/>
          <w:sz w:val="28"/>
          <w:szCs w:val="28"/>
        </w:rPr>
      </w:pPr>
      <w:r>
        <w:rPr>
          <w:rFonts w:hint="eastAsia" w:ascii="宋体" w:hAnsi="宋体" w:eastAsia="宋体" w:cs="宋体"/>
          <w:kern w:val="2"/>
          <w:sz w:val="28"/>
          <w:szCs w:val="28"/>
        </w:rPr>
        <w:t>通过实时监测源-网-站-户生产调度过程监测分析，实现城市供热安全预防、预测、报警等，并能基于安全维度统一制定安全生产标准制度。</w:t>
      </w:r>
    </w:p>
    <w:p>
      <w:pPr>
        <w:widowControl w:val="0"/>
        <w:numPr>
          <w:ilvl w:val="0"/>
          <w:numId w:val="4"/>
        </w:numPr>
        <w:adjustRightInd/>
        <w:snapToGrid/>
        <w:spacing w:before="100" w:beforeAutospacing="1" w:after="100" w:afterAutospacing="1" w:line="312" w:lineRule="auto"/>
        <w:ind w:left="0" w:firstLine="560" w:firstLineChars="200"/>
        <w:rPr>
          <w:rFonts w:ascii="宋体" w:hAnsi="宋体" w:eastAsia="宋体" w:cs="Times New Roman"/>
          <w:kern w:val="2"/>
          <w:sz w:val="28"/>
          <w:szCs w:val="28"/>
        </w:rPr>
      </w:pPr>
      <w:r>
        <w:rPr>
          <w:rFonts w:hint="eastAsia" w:ascii="宋体" w:hAnsi="宋体" w:eastAsia="宋体" w:cs="宋体"/>
          <w:kern w:val="2"/>
          <w:sz w:val="28"/>
          <w:szCs w:val="28"/>
        </w:rPr>
        <w:t>系统展示热源基础信息并形成供热实时数据台账，监管人员全面了解供热产热端数据，保障城区供热稳定运行。</w:t>
      </w:r>
    </w:p>
    <w:p>
      <w:pPr>
        <w:widowControl w:val="0"/>
        <w:numPr>
          <w:ilvl w:val="0"/>
          <w:numId w:val="4"/>
        </w:numPr>
        <w:adjustRightInd/>
        <w:snapToGrid/>
        <w:spacing w:before="100" w:beforeAutospacing="1" w:after="100" w:afterAutospacing="1" w:line="312" w:lineRule="auto"/>
        <w:ind w:left="0" w:firstLine="560" w:firstLineChars="200"/>
        <w:rPr>
          <w:rFonts w:ascii="宋体" w:hAnsi="宋体" w:eastAsia="宋体" w:cs="Times New Roman"/>
          <w:kern w:val="2"/>
          <w:sz w:val="28"/>
          <w:szCs w:val="28"/>
        </w:rPr>
      </w:pPr>
      <w:r>
        <w:rPr>
          <w:rFonts w:hint="eastAsia" w:ascii="宋体" w:hAnsi="宋体" w:eastAsia="宋体" w:cs="宋体"/>
          <w:kern w:val="2"/>
          <w:sz w:val="28"/>
          <w:szCs w:val="28"/>
        </w:rPr>
        <w:t>系统展示热力站、楼宇、热用户的基础信息和实时供热运行参数，包含各个供热节点主要的运行参数，帮助监管人员快速掌握供热系统整体情况，并及时发现异常点。</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供热能耗分析</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实现从热源能源使用量到热能输出、配送、消费的各环节的数据采集；热源及输配效率，一、二次管网水力平衡及热平衡监测分析与评价；结合基础信息资料和气象信息，实现对各企业平均能耗的动态分析与评价、能耗预测、建筑物能耗和节能潜力分析、燃料消耗量趋势预测及保障能力智能评价，经济效益评价及财政补贴监控等。按监管需要，将能耗、室温、用户投诉等个性指标生成各种报表、图表、饼图、曲线等，上报给领导和相关人员，为决策和政策制定提供依据。</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能耗GIS</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系统以地理信息数据为核心，建立在平面地理信息系统（GIS）平台之上，能够对城市中各个热力站房的能耗数据进行统计、分析，并以多样化的视角进行展示。这一设计旨在帮助使用者全面而直观地监控各热力站房的供热状况，同时，对于任何能耗异常的站点，系统将重点标注，以便招标人及时进行检查和排查，迅速识别并解决问题。通过这样的智能监测，系统显著提升了热力站房管理的效率和响应速度，确保了城市供热系统的稳定运行。</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能耗分析</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系统的能耗进行全方位统计分析，找出供热系统能耗异常点。系统进一步分析供热系统的能源消耗情况，形成各个维度的供热能耗数据图形报表，为降低运营成本，提高能源效率，降低社会能耗，制定最佳方案和调度计划提供依据,从而达到安全生产和节能减排的目的。</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同期对比</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系统进行机构能耗对比和机构能耗分析，针对部门划分行政区域内管辖的热力站数据进行统计汇总，分析部门下能耗数据，对不同数据间进行比较，并支持不同层级部门进行能耗排序和对比展示。</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能耗报表</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系统提供多用的能耗统计报表，统计展示热源分支、热力站、机组的水电热单耗和消耗量，系统将站房能耗数据统计，并配以报表形式展示，支持导出和时间查询。</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负荷预测</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根据每个热源运行数据，考察历史供回水温度、流量值、热量值、室外温度、供热面积、住户室内温度等因素，并通过计算模型的数据分析处理后，按地区未来气候预测未来时间的热负荷需求。同时，系统根据每个热源的供热能力和经济效益分配供热负荷，系统至少能提供未来三日负荷数据，一定程度上保障换热站的供热所需，主要用来指导该地区的区域负荷，并对调度人员进行调度提供数据支持。</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供热台账资产管理</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系统通过全面监管构建一套全面的城市供热信息资料库。这个资料库将涵盖各种关键信息，包括行政区划的详细数据、各热力企业的基本信息，以及与供热网络相关的综合信息。通过这个资料库能够实现对城市供热系统的基础管理，确保供热服务的高效和可持续性。</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热源信息</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系统展示热源台账信息，包含热源名称、所属热力公司、所属城市、所在行政区、供热面积、额定负荷、能源类型、热用户数量、联系人、联系电话等基础数据字段，并提供增删改查能维护功能，统一管理供热数据。</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热源分支信息</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系统展示热源台账信息，包括热源分支名称、热源类型、产热类型、建筑面积、供热面积等基础数据字段，并提供增删改查能维护功能，统一管理供热数据。</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热力站信息</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系统展示热力站的台账信息，包含热力站名称、所属热源、所属供热公司、所属城市、所在行政区、供热面积、额定负荷、热用户数量等基础数据字段，并提供增删改查能维护功能，统一管理供热数据。</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小区信息</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系统展示小区的台账信息，包含小区名称、小区类型、采暖面积、住户数、安装室温监测装置的户数、热计量监测的热用户数量、所属城市、所属区域等基础数据字段，并提供增删改查能维护功能，统一管理供热数据。</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楼栋信息</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系统展示楼栋的台账信息，包含楼栋名称、楼栋类型、所属小区、热力公司、热力站、机组、所属城市、所在行政区、采暖面积等基础数据字段，并提供增删改查能维护功能，统一管理供热数据。</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热用户信息</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系统展展示热用户的台账信息，包含户主、单元、楼层、采暖面积、所属楼栋、所属小区、采暖面积等基础数据字段，并提供增删改查能维护功能，统一管理供热数据。</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管线信息</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系统展示管网的台账信息，包含各供热企业一级网的信息，包括建设时间、长度、管径、位置、敷设方式、最不利长度、总体运行情况等基础数据字段，并提供增删改查能维护功能，统一管理供热数据。</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智能辅助决策</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系统</w:t>
      </w:r>
      <w:r>
        <w:rPr>
          <w:rFonts w:ascii="宋体" w:hAnsi="宋体" w:eastAsia="宋体" w:cs="Times New Roman"/>
          <w:kern w:val="2"/>
          <w:sz w:val="28"/>
          <w:szCs w:val="28"/>
        </w:rPr>
        <w:t>基于大数据分析能力，对供热系统整体碳排放、能耗、经济成本等多维度对城市供热做“智慧体检”，为政府领导提供全方位、多层次的决策支撑和数据服务。</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基础数据分析</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系统以图表和数据的形式展示该区域的供热台账统计分析，包含供热企业数量、供热企业类型、供热面积、供热类型、热源数量、热源类型，为优化城市供热格局，保障城市供热安全，提高城市供热资源综合利用助力。</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零碳排放概览</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ascii="宋体" w:hAnsi="宋体" w:eastAsia="宋体" w:cs="Times New Roman"/>
          <w:kern w:val="2"/>
          <w:sz w:val="28"/>
          <w:szCs w:val="28"/>
        </w:rPr>
        <w:t>通过对接各热源、换热站能耗数据，统一汇总成供热碳排放数据。通过碳排放数据的监测、汇总、分析和报告，帮助政府掌握城区内碳排放数据和碳排放结构，为区域供热实现低碳发展战略提供量化决策依据及管理措施。</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经济成本</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ascii="宋体" w:hAnsi="宋体" w:eastAsia="宋体" w:cs="Times New Roman"/>
          <w:kern w:val="2"/>
          <w:sz w:val="28"/>
          <w:szCs w:val="28"/>
        </w:rPr>
        <w:t>通过整合各供热公司的供热成本数据，并对公司运营状况进行综合分析，从多个关键维度深入理解供热力行业现状。通过数据汇总与分析，可以为政府部门提供有力的数据支持，指导其优化区域供热经营策略。</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供热服务监督</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系统建立与各热力企业客服投诉系统的链路，汇总各热力客服系统的投诉、监督工单流转、处理回馈信息；生成各热力供热投诉情况、办结率、满意率统计分析，能根据需求自动对各供热企业的供热质量、投诉率等指标进行统计分析，对市供热行办的调度指挥、供热保障情况处理提供辅助决策。</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供热室温监督</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ascii="宋体" w:hAnsi="宋体" w:eastAsia="宋体" w:cs="Times New Roman"/>
          <w:kern w:val="2"/>
          <w:sz w:val="28"/>
          <w:szCs w:val="28"/>
        </w:rPr>
        <w:t>系统通过汇总各供热公司的热用户室温信息，并整合客服投诉数据，对各供热公司的供热质量进行了全面评估。利用远程实时监测技术，系统能够及时了解不同区域的供热情况，为热网的负荷优化调整提供了准确的数据支持。</w:t>
      </w:r>
    </w:p>
    <w:p>
      <w:pPr>
        <w:keepNext/>
        <w:keepLines/>
        <w:widowControl w:val="0"/>
        <w:numPr>
          <w:ilvl w:val="1"/>
          <w:numId w:val="1"/>
        </w:numPr>
        <w:adjustRightInd/>
        <w:snapToGrid/>
        <w:spacing w:before="100" w:beforeAutospacing="1" w:after="100" w:afterAutospacing="1" w:line="312" w:lineRule="auto"/>
        <w:ind w:firstLine="562" w:firstLineChars="200"/>
        <w:jc w:val="both"/>
        <w:outlineLvl w:val="3"/>
        <w:rPr>
          <w:rFonts w:ascii="Arial" w:hAnsi="Arial" w:eastAsia="黑体" w:cs="Times New Roman"/>
          <w:b/>
          <w:kern w:val="2"/>
          <w:sz w:val="28"/>
          <w:szCs w:val="28"/>
        </w:rPr>
      </w:pPr>
      <w:r>
        <w:rPr>
          <w:rFonts w:hint="eastAsia" w:ascii="Arial" w:hAnsi="Arial" w:eastAsia="黑体" w:cs="Times New Roman"/>
          <w:b/>
          <w:kern w:val="2"/>
          <w:sz w:val="28"/>
          <w:szCs w:val="28"/>
        </w:rPr>
        <w:t>各热企对接需求</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2.4.1区监管平台的建立，需要对各热力企业进行充分的数据对接，根据不同的软件平台状况，可以按照以下不同方案进行数据对接。</w:t>
      </w:r>
    </w:p>
    <w:p>
      <w:pPr>
        <w:widowControl w:val="0"/>
        <w:adjustRightInd/>
        <w:snapToGrid/>
        <w:spacing w:before="100" w:beforeAutospacing="1" w:after="100" w:afterAutospacing="1" w:line="312" w:lineRule="auto"/>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2.4.2应根据集宁区实行热力企业</w:t>
      </w:r>
      <w:r>
        <w:rPr>
          <w:rFonts w:ascii="宋体" w:hAnsi="宋体" w:eastAsia="宋体" w:cs="Times New Roman"/>
          <w:kern w:val="2"/>
          <w:sz w:val="28"/>
          <w:szCs w:val="28"/>
        </w:rPr>
        <w:t>“</w:t>
      </w:r>
      <w:r>
        <w:rPr>
          <w:rFonts w:hint="eastAsia" w:ascii="宋体" w:hAnsi="宋体" w:eastAsia="宋体" w:cs="Times New Roman"/>
          <w:kern w:val="2"/>
          <w:sz w:val="28"/>
          <w:szCs w:val="28"/>
        </w:rPr>
        <w:t>一企一策</w:t>
      </w:r>
      <w:r>
        <w:rPr>
          <w:rFonts w:ascii="宋体" w:hAnsi="宋体" w:eastAsia="宋体" w:cs="Times New Roman"/>
          <w:kern w:val="2"/>
          <w:sz w:val="28"/>
          <w:szCs w:val="28"/>
        </w:rPr>
        <w:t>”</w:t>
      </w:r>
      <w:r>
        <w:rPr>
          <w:rFonts w:hint="eastAsia" w:ascii="宋体" w:hAnsi="宋体" w:eastAsia="宋体" w:cs="Times New Roman"/>
          <w:kern w:val="2"/>
          <w:sz w:val="28"/>
          <w:szCs w:val="28"/>
        </w:rPr>
        <w:t>数据接入方案，根据对3家热力企业及热源实际情况开展调研，充分利旧现有软硬件资源，计划对3家热力企业及热源开展</w:t>
      </w:r>
      <w:r>
        <w:rPr>
          <w:rFonts w:ascii="宋体" w:hAnsi="宋体" w:eastAsia="宋体" w:cs="Times New Roman"/>
          <w:kern w:val="2"/>
          <w:sz w:val="28"/>
          <w:szCs w:val="28"/>
        </w:rPr>
        <w:t>“</w:t>
      </w:r>
      <w:r>
        <w:rPr>
          <w:rFonts w:hint="eastAsia" w:ascii="宋体" w:hAnsi="宋体" w:eastAsia="宋体" w:cs="Times New Roman"/>
          <w:kern w:val="2"/>
          <w:sz w:val="28"/>
          <w:szCs w:val="28"/>
        </w:rPr>
        <w:t>一企一策</w:t>
      </w:r>
      <w:r>
        <w:rPr>
          <w:rFonts w:ascii="宋体" w:hAnsi="宋体" w:eastAsia="宋体" w:cs="Times New Roman"/>
          <w:kern w:val="2"/>
          <w:sz w:val="28"/>
          <w:szCs w:val="28"/>
        </w:rPr>
        <w:t>”</w:t>
      </w:r>
      <w:r>
        <w:rPr>
          <w:rFonts w:hint="eastAsia" w:ascii="宋体" w:hAnsi="宋体" w:eastAsia="宋体" w:cs="Times New Roman"/>
          <w:kern w:val="2"/>
          <w:sz w:val="28"/>
          <w:szCs w:val="28"/>
        </w:rPr>
        <w:t>数据接入工作。</w:t>
      </w:r>
    </w:p>
    <w:p>
      <w:pPr>
        <w:keepNext/>
        <w:keepLines/>
        <w:widowControl w:val="0"/>
        <w:numPr>
          <w:ilvl w:val="1"/>
          <w:numId w:val="1"/>
        </w:numPr>
        <w:adjustRightInd/>
        <w:snapToGrid/>
        <w:spacing w:before="100" w:beforeAutospacing="1" w:after="100" w:afterAutospacing="1" w:line="312" w:lineRule="auto"/>
        <w:ind w:firstLine="562" w:firstLineChars="200"/>
        <w:jc w:val="both"/>
        <w:outlineLvl w:val="3"/>
        <w:rPr>
          <w:rFonts w:ascii="Arial" w:hAnsi="Arial" w:eastAsia="黑体" w:cs="Times New Roman"/>
          <w:b/>
          <w:kern w:val="2"/>
          <w:sz w:val="28"/>
          <w:szCs w:val="28"/>
        </w:rPr>
      </w:pPr>
      <w:r>
        <w:rPr>
          <w:rFonts w:hint="eastAsia" w:ascii="Arial" w:hAnsi="Arial" w:eastAsia="黑体" w:cs="Times New Roman"/>
          <w:b/>
          <w:kern w:val="2"/>
          <w:sz w:val="28"/>
          <w:szCs w:val="28"/>
        </w:rPr>
        <w:t>智慧供热体系建</w:t>
      </w:r>
    </w:p>
    <w:p>
      <w:pPr>
        <w:adjustRightInd/>
        <w:snapToGrid/>
        <w:spacing w:before="100" w:beforeAutospacing="1" w:after="100" w:afterAutospacing="1" w:line="312" w:lineRule="auto"/>
        <w:ind w:firstLine="560" w:firstLineChars="200"/>
        <w:jc w:val="both"/>
        <w:rPr>
          <w:rFonts w:hint="eastAsia" w:ascii="宋体" w:hAnsi="宋体" w:eastAsia="宋体" w:cs="宋体"/>
          <w:kern w:val="2"/>
          <w:sz w:val="28"/>
          <w:szCs w:val="28"/>
        </w:rPr>
        <w:sectPr>
          <w:pgSz w:w="11905" w:h="16837"/>
          <w:pgMar w:top="1440" w:right="1800" w:bottom="1440" w:left="1800" w:header="0" w:footer="0" w:gutter="0"/>
          <w:cols w:space="720" w:num="1"/>
        </w:sectPr>
      </w:pPr>
      <w:r>
        <w:rPr>
          <w:rFonts w:hint="eastAsia" w:ascii="宋体" w:hAnsi="宋体" w:eastAsia="宋体" w:cs="宋体"/>
          <w:kern w:val="2"/>
          <w:sz w:val="28"/>
          <w:szCs w:val="28"/>
        </w:rPr>
        <w:t>区级供热监管体系建设：针对乌兰察布区集宁区供热基础设施现状，结合国家、省、市相关政策，按照“创新引领、系统谋划、实事求是”的原则，制定全区供热智慧化建设发展方案，科学制定时间表、路线图。结合平台功能建设情况，制定平台应用和维护相关工作导则。</w:t>
      </w:r>
      <w:bookmarkEnd w:id="11"/>
      <w:bookmarkEnd w:id="12"/>
      <w:bookmarkStart w:id="34" w:name="_Toc822050314"/>
    </w:p>
    <w:p>
      <w:pPr>
        <w:keepNext/>
        <w:keepLines/>
        <w:widowControl w:val="0"/>
        <w:numPr>
          <w:ilvl w:val="0"/>
          <w:numId w:val="1"/>
        </w:numPr>
        <w:adjustRightInd/>
        <w:snapToGrid/>
        <w:spacing w:before="100" w:beforeAutospacing="1" w:after="100" w:afterAutospacing="1" w:line="312" w:lineRule="auto"/>
        <w:ind w:firstLine="562" w:firstLineChars="200"/>
        <w:jc w:val="both"/>
        <w:outlineLvl w:val="2"/>
        <w:rPr>
          <w:rFonts w:ascii="Arial" w:hAnsi="Arial" w:eastAsia="宋体" w:cs="Arial"/>
          <w:b/>
          <w:bCs/>
          <w:color w:val="000000"/>
          <w:sz w:val="28"/>
          <w:szCs w:val="28"/>
        </w:rPr>
      </w:pPr>
      <w:r>
        <w:rPr>
          <w:rFonts w:ascii="宋体" w:hAnsi="宋体" w:eastAsia="宋体" w:cs="宋体"/>
          <w:b/>
          <w:bCs/>
          <w:kern w:val="2"/>
          <w:sz w:val="28"/>
          <w:szCs w:val="28"/>
        </w:rPr>
        <w:t>建设内容清单</w:t>
      </w:r>
      <w:bookmarkEnd w:id="34"/>
    </w:p>
    <w:p>
      <w:pPr>
        <w:keepNext/>
        <w:keepLines/>
        <w:widowControl w:val="0"/>
        <w:numPr>
          <w:ilvl w:val="1"/>
          <w:numId w:val="1"/>
        </w:numPr>
        <w:adjustRightInd/>
        <w:snapToGrid/>
        <w:spacing w:before="100" w:beforeAutospacing="1" w:after="100" w:afterAutospacing="1" w:line="312" w:lineRule="auto"/>
        <w:ind w:firstLine="562" w:firstLineChars="200"/>
        <w:jc w:val="both"/>
        <w:outlineLvl w:val="3"/>
        <w:rPr>
          <w:rFonts w:ascii="Arial" w:hAnsi="Arial" w:eastAsia="黑体" w:cs="Times New Roman"/>
          <w:b/>
          <w:kern w:val="2"/>
          <w:sz w:val="28"/>
          <w:szCs w:val="28"/>
        </w:rPr>
      </w:pPr>
      <w:r>
        <w:rPr>
          <w:rFonts w:hint="eastAsia" w:ascii="Arial" w:hAnsi="Arial" w:eastAsia="黑体" w:cs="Times New Roman"/>
          <w:b/>
          <w:kern w:val="2"/>
          <w:sz w:val="28"/>
          <w:szCs w:val="28"/>
        </w:rPr>
        <w:t>平台功能</w:t>
      </w:r>
      <w:r>
        <w:rPr>
          <w:rFonts w:ascii="Arial" w:hAnsi="Arial" w:eastAsia="黑体" w:cs="Times New Roman"/>
          <w:b/>
          <w:kern w:val="2"/>
          <w:sz w:val="28"/>
          <w:szCs w:val="28"/>
        </w:rPr>
        <w:t>清单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12" w:lineRule="auto"/>
        <w:ind w:firstLine="0"/>
        <w:jc w:val="both"/>
        <w:textAlignment w:val="auto"/>
      </w:pPr>
      <w:r>
        <w:rPr>
          <w:rFonts w:hint="eastAsia" w:ascii="Calibri" w:hAnsi="Calibri" w:eastAsia="宋体" w:cs="Times New Roman"/>
          <w:kern w:val="2"/>
          <w:sz w:val="28"/>
          <w:szCs w:val="28"/>
        </w:rPr>
        <w:t>平台功能清单如下表：</w:t>
      </w:r>
    </w:p>
    <w:tbl>
      <w:tblPr>
        <w:tblStyle w:val="15"/>
        <w:tblW w:w="129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9"/>
        <w:gridCol w:w="1925"/>
        <w:gridCol w:w="5566"/>
        <w:gridCol w:w="644"/>
        <w:gridCol w:w="780"/>
        <w:gridCol w:w="1065"/>
        <w:gridCol w:w="1283"/>
        <w:gridCol w:w="1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4" w:hRule="atLeast"/>
          <w:jc w:val="center"/>
        </w:trPr>
        <w:tc>
          <w:tcPr>
            <w:tcW w:w="639" w:type="dxa"/>
            <w:vAlign w:val="center"/>
          </w:tcPr>
          <w:p>
            <w:pPr>
              <w:keepNext w:val="0"/>
              <w:keepLines w:val="0"/>
              <w:pageBreakBefore w:val="0"/>
              <w:kinsoku/>
              <w:wordWrap/>
              <w:overflowPunct/>
              <w:topLinePunct w:val="0"/>
              <w:autoSpaceDE/>
              <w:autoSpaceDN/>
              <w:bidi w:val="0"/>
              <w:spacing w:before="135" w:line="228" w:lineRule="auto"/>
              <w:ind w:left="149" w:firstLine="0"/>
              <w:jc w:val="center"/>
              <w:textAlignment w:val="auto"/>
              <w:rPr>
                <w:rFonts w:hint="eastAsia" w:ascii="宋体" w:hAnsi="宋体" w:eastAsia="宋体" w:cs="宋体"/>
                <w:b/>
                <w:bCs/>
                <w:sz w:val="24"/>
                <w:szCs w:val="24"/>
              </w:rPr>
            </w:pPr>
            <w:r>
              <w:rPr>
                <w:rFonts w:hint="eastAsia" w:ascii="宋体" w:hAnsi="宋体" w:eastAsia="宋体" w:cs="宋体"/>
                <w:b/>
                <w:bCs/>
                <w:spacing w:val="2"/>
                <w:sz w:val="24"/>
                <w:szCs w:val="24"/>
              </w:rPr>
              <w:t>序号</w:t>
            </w:r>
          </w:p>
        </w:tc>
        <w:tc>
          <w:tcPr>
            <w:tcW w:w="1925" w:type="dxa"/>
            <w:vAlign w:val="center"/>
          </w:tcPr>
          <w:p>
            <w:pPr>
              <w:keepNext w:val="0"/>
              <w:keepLines w:val="0"/>
              <w:pageBreakBefore w:val="0"/>
              <w:kinsoku/>
              <w:wordWrap/>
              <w:overflowPunct/>
              <w:topLinePunct w:val="0"/>
              <w:autoSpaceDE/>
              <w:autoSpaceDN/>
              <w:bidi w:val="0"/>
              <w:spacing w:before="135" w:line="227" w:lineRule="auto"/>
              <w:ind w:firstLine="0"/>
              <w:jc w:val="center"/>
              <w:textAlignment w:val="auto"/>
              <w:rPr>
                <w:rFonts w:hint="eastAsia" w:ascii="宋体" w:hAnsi="宋体" w:eastAsia="宋体" w:cs="宋体"/>
                <w:b/>
                <w:bCs/>
                <w:sz w:val="24"/>
                <w:szCs w:val="24"/>
              </w:rPr>
            </w:pPr>
            <w:r>
              <w:rPr>
                <w:rFonts w:hint="eastAsia" w:ascii="宋体" w:hAnsi="宋体" w:eastAsia="宋体" w:cs="宋体"/>
                <w:b/>
                <w:bCs/>
                <w:spacing w:val="2"/>
                <w:sz w:val="24"/>
                <w:szCs w:val="24"/>
              </w:rPr>
              <w:t>项目名称</w:t>
            </w:r>
          </w:p>
        </w:tc>
        <w:tc>
          <w:tcPr>
            <w:tcW w:w="5566" w:type="dxa"/>
            <w:vAlign w:val="center"/>
          </w:tcPr>
          <w:p>
            <w:pPr>
              <w:keepNext w:val="0"/>
              <w:keepLines w:val="0"/>
              <w:pageBreakBefore w:val="0"/>
              <w:kinsoku/>
              <w:wordWrap/>
              <w:overflowPunct/>
              <w:topLinePunct w:val="0"/>
              <w:autoSpaceDE/>
              <w:autoSpaceDN/>
              <w:bidi w:val="0"/>
              <w:spacing w:before="135" w:line="226" w:lineRule="auto"/>
              <w:ind w:firstLine="0"/>
              <w:jc w:val="center"/>
              <w:textAlignment w:val="auto"/>
              <w:rPr>
                <w:rFonts w:hint="eastAsia" w:ascii="宋体" w:hAnsi="宋体" w:eastAsia="宋体" w:cs="宋体"/>
                <w:b/>
                <w:bCs/>
                <w:sz w:val="24"/>
                <w:szCs w:val="24"/>
              </w:rPr>
            </w:pPr>
            <w:r>
              <w:rPr>
                <w:rFonts w:hint="eastAsia" w:ascii="宋体" w:hAnsi="宋体" w:eastAsia="宋体" w:cs="宋体"/>
                <w:b/>
                <w:bCs/>
                <w:spacing w:val="2"/>
                <w:sz w:val="24"/>
                <w:szCs w:val="24"/>
              </w:rPr>
              <w:t>功能说明</w:t>
            </w:r>
          </w:p>
        </w:tc>
        <w:tc>
          <w:tcPr>
            <w:tcW w:w="644" w:type="dxa"/>
            <w:vAlign w:val="center"/>
          </w:tcPr>
          <w:p>
            <w:pPr>
              <w:keepNext w:val="0"/>
              <w:keepLines w:val="0"/>
              <w:pageBreakBefore w:val="0"/>
              <w:kinsoku/>
              <w:wordWrap/>
              <w:overflowPunct/>
              <w:topLinePunct w:val="0"/>
              <w:autoSpaceDE/>
              <w:autoSpaceDN/>
              <w:bidi w:val="0"/>
              <w:spacing w:before="135" w:line="226" w:lineRule="auto"/>
              <w:ind w:firstLine="0"/>
              <w:jc w:val="center"/>
              <w:textAlignment w:val="auto"/>
              <w:rPr>
                <w:rFonts w:hint="eastAsia" w:ascii="宋体" w:hAnsi="宋体" w:eastAsia="宋体" w:cs="宋体"/>
                <w:b/>
                <w:bCs/>
                <w:sz w:val="24"/>
                <w:szCs w:val="24"/>
              </w:rPr>
            </w:pPr>
            <w:r>
              <w:rPr>
                <w:rFonts w:hint="eastAsia" w:ascii="宋体" w:hAnsi="宋体" w:eastAsia="宋体" w:cs="宋体"/>
                <w:b/>
                <w:bCs/>
                <w:spacing w:val="1"/>
                <w:sz w:val="24"/>
                <w:szCs w:val="24"/>
              </w:rPr>
              <w:t>数量</w:t>
            </w:r>
          </w:p>
        </w:tc>
        <w:tc>
          <w:tcPr>
            <w:tcW w:w="780" w:type="dxa"/>
            <w:vAlign w:val="center"/>
          </w:tcPr>
          <w:p>
            <w:pPr>
              <w:keepNext w:val="0"/>
              <w:keepLines w:val="0"/>
              <w:pageBreakBefore w:val="0"/>
              <w:kinsoku/>
              <w:wordWrap/>
              <w:overflowPunct/>
              <w:topLinePunct w:val="0"/>
              <w:autoSpaceDE/>
              <w:autoSpaceDN/>
              <w:bidi w:val="0"/>
              <w:spacing w:before="135" w:line="227" w:lineRule="auto"/>
              <w:ind w:firstLine="0"/>
              <w:jc w:val="center"/>
              <w:textAlignment w:val="auto"/>
              <w:rPr>
                <w:rFonts w:hint="eastAsia" w:ascii="宋体" w:hAnsi="宋体" w:eastAsia="宋体" w:cs="宋体"/>
                <w:b/>
                <w:bCs/>
                <w:sz w:val="24"/>
                <w:szCs w:val="24"/>
              </w:rPr>
            </w:pPr>
            <w:r>
              <w:rPr>
                <w:rFonts w:hint="eastAsia" w:ascii="宋体" w:hAnsi="宋体" w:eastAsia="宋体" w:cs="宋体"/>
                <w:b/>
                <w:bCs/>
                <w:spacing w:val="1"/>
                <w:sz w:val="24"/>
                <w:szCs w:val="24"/>
              </w:rPr>
              <w:t>单位</w:t>
            </w:r>
          </w:p>
        </w:tc>
        <w:tc>
          <w:tcPr>
            <w:tcW w:w="1065" w:type="dxa"/>
            <w:vAlign w:val="center"/>
          </w:tcPr>
          <w:p>
            <w:pPr>
              <w:keepNext w:val="0"/>
              <w:keepLines w:val="0"/>
              <w:pageBreakBefore w:val="0"/>
              <w:kinsoku/>
              <w:wordWrap/>
              <w:overflowPunct/>
              <w:topLinePunct w:val="0"/>
              <w:autoSpaceDE/>
              <w:autoSpaceDN/>
              <w:bidi w:val="0"/>
              <w:spacing w:before="135" w:line="225" w:lineRule="auto"/>
              <w:ind w:left="67" w:firstLine="0"/>
              <w:jc w:val="center"/>
              <w:textAlignment w:val="auto"/>
              <w:rPr>
                <w:rFonts w:hint="eastAsia" w:ascii="宋体" w:hAnsi="宋体" w:eastAsia="宋体" w:cs="宋体"/>
                <w:b/>
                <w:bCs/>
                <w:sz w:val="24"/>
                <w:szCs w:val="24"/>
              </w:rPr>
            </w:pPr>
            <w:r>
              <w:rPr>
                <w:rFonts w:hint="eastAsia" w:ascii="宋体" w:hAnsi="宋体" w:eastAsia="宋体" w:cs="宋体"/>
                <w:b/>
                <w:bCs/>
                <w:spacing w:val="2"/>
                <w:sz w:val="24"/>
                <w:szCs w:val="24"/>
              </w:rPr>
              <w:t>单价（元）</w:t>
            </w:r>
          </w:p>
        </w:tc>
        <w:tc>
          <w:tcPr>
            <w:tcW w:w="1283" w:type="dxa"/>
            <w:vAlign w:val="center"/>
          </w:tcPr>
          <w:p>
            <w:pPr>
              <w:keepNext w:val="0"/>
              <w:keepLines w:val="0"/>
              <w:pageBreakBefore w:val="0"/>
              <w:kinsoku/>
              <w:wordWrap/>
              <w:overflowPunct/>
              <w:topLinePunct w:val="0"/>
              <w:autoSpaceDE/>
              <w:autoSpaceDN/>
              <w:bidi w:val="0"/>
              <w:spacing w:before="135" w:line="225" w:lineRule="auto"/>
              <w:ind w:left="121" w:firstLine="0"/>
              <w:jc w:val="center"/>
              <w:textAlignment w:val="auto"/>
              <w:rPr>
                <w:rFonts w:hint="eastAsia" w:ascii="宋体" w:hAnsi="宋体" w:eastAsia="宋体" w:cs="宋体"/>
                <w:b/>
                <w:bCs/>
                <w:sz w:val="24"/>
                <w:szCs w:val="24"/>
              </w:rPr>
            </w:pPr>
            <w:r>
              <w:rPr>
                <w:rFonts w:hint="eastAsia" w:ascii="宋体" w:hAnsi="宋体" w:eastAsia="宋体" w:cs="宋体"/>
                <w:b/>
                <w:bCs/>
                <w:spacing w:val="2"/>
                <w:sz w:val="24"/>
                <w:szCs w:val="24"/>
              </w:rPr>
              <w:t>合价（元）</w:t>
            </w:r>
          </w:p>
        </w:tc>
        <w:tc>
          <w:tcPr>
            <w:tcW w:w="1055" w:type="dxa"/>
            <w:vAlign w:val="center"/>
          </w:tcPr>
          <w:p>
            <w:pPr>
              <w:keepNext w:val="0"/>
              <w:keepLines w:val="0"/>
              <w:pageBreakBefore w:val="0"/>
              <w:kinsoku/>
              <w:wordWrap/>
              <w:overflowPunct/>
              <w:topLinePunct w:val="0"/>
              <w:autoSpaceDE/>
              <w:autoSpaceDN/>
              <w:bidi w:val="0"/>
              <w:spacing w:before="135" w:line="228" w:lineRule="auto"/>
              <w:ind w:left="356" w:firstLine="0"/>
              <w:jc w:val="center"/>
              <w:textAlignment w:val="auto"/>
              <w:rPr>
                <w:rFonts w:hint="eastAsia" w:ascii="宋体" w:hAnsi="宋体" w:eastAsia="宋体" w:cs="宋体"/>
                <w:b/>
                <w:bCs/>
                <w:sz w:val="24"/>
                <w:szCs w:val="24"/>
              </w:rPr>
            </w:pPr>
            <w:r>
              <w:rPr>
                <w:rFonts w:hint="eastAsia" w:ascii="宋体" w:hAnsi="宋体" w:eastAsia="宋体" w:cs="宋体"/>
                <w:b/>
                <w:bCs/>
                <w:spacing w:val="1"/>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9" w:hRule="atLeast"/>
          <w:jc w:val="center"/>
        </w:trPr>
        <w:tc>
          <w:tcPr>
            <w:tcW w:w="639" w:type="dxa"/>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before="49" w:line="189" w:lineRule="auto"/>
              <w:ind w:left="278"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25" w:type="dxa"/>
            <w:vAlign w:val="center"/>
          </w:tcPr>
          <w:p>
            <w:pPr>
              <w:pStyle w:val="14"/>
              <w:keepNext w:val="0"/>
              <w:keepLines w:val="0"/>
              <w:pageBreakBefore w:val="0"/>
              <w:kinsoku/>
              <w:wordWrap/>
              <w:overflowPunct/>
              <w:topLinePunct w:val="0"/>
              <w:autoSpaceDE/>
              <w:autoSpaceDN/>
              <w:bidi w:val="0"/>
              <w:spacing w:line="351" w:lineRule="auto"/>
              <w:ind w:firstLine="0"/>
              <w:jc w:val="center"/>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before="49" w:line="226" w:lineRule="auto"/>
              <w:ind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数字孪生供热全景</w:t>
            </w:r>
          </w:p>
        </w:tc>
        <w:tc>
          <w:tcPr>
            <w:tcW w:w="5566" w:type="dxa"/>
            <w:vAlign w:val="center"/>
          </w:tcPr>
          <w:p>
            <w:pPr>
              <w:keepNext w:val="0"/>
              <w:keepLines w:val="0"/>
              <w:pageBreakBefore w:val="0"/>
              <w:kinsoku/>
              <w:wordWrap/>
              <w:overflowPunct/>
              <w:topLinePunct w:val="0"/>
              <w:autoSpaceDE/>
              <w:autoSpaceDN/>
              <w:bidi w:val="0"/>
              <w:spacing w:before="104" w:line="239" w:lineRule="auto"/>
              <w:ind w:right="3" w:firstLine="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支持利用地理信息系统覆盖的管理区域，提供包括三维</w:t>
            </w:r>
            <w:r>
              <w:rPr>
                <w:rFonts w:hint="eastAsia" w:ascii="宋体" w:hAnsi="宋体" w:eastAsia="宋体" w:cs="宋体"/>
                <w:spacing w:val="4"/>
                <w:sz w:val="24"/>
                <w:szCs w:val="24"/>
              </w:rPr>
              <w:t>管网（一级管</w:t>
            </w:r>
            <w:r>
              <w:rPr>
                <w:rFonts w:hint="eastAsia" w:ascii="宋体" w:hAnsi="宋体" w:eastAsia="宋体" w:cs="宋体"/>
                <w:spacing w:val="5"/>
                <w:sz w:val="24"/>
                <w:szCs w:val="24"/>
              </w:rPr>
              <w:t>网与二级管网）的建模、热源厂的三维全景模型、热力站的三</w:t>
            </w:r>
            <w:r>
              <w:rPr>
                <w:rFonts w:hint="eastAsia" w:ascii="宋体" w:hAnsi="宋体" w:eastAsia="宋体" w:cs="宋体"/>
                <w:spacing w:val="4"/>
                <w:sz w:val="24"/>
                <w:szCs w:val="24"/>
              </w:rPr>
              <w:t>维全景模型以及重点供热单位的三维全景模型，建成“源-网-站-户”在内的</w:t>
            </w:r>
            <w:r>
              <w:rPr>
                <w:rFonts w:hint="eastAsia" w:ascii="宋体" w:hAnsi="宋体" w:eastAsia="宋体" w:cs="宋体"/>
                <w:spacing w:val="3"/>
                <w:sz w:val="24"/>
                <w:szCs w:val="24"/>
              </w:rPr>
              <w:t>无缝“全域全程”城市供热数字孪生系统。</w:t>
            </w:r>
          </w:p>
        </w:tc>
        <w:tc>
          <w:tcPr>
            <w:tcW w:w="644" w:type="dxa"/>
            <w:vAlign w:val="center"/>
          </w:tcPr>
          <w:p>
            <w:pPr>
              <w:pStyle w:val="14"/>
              <w:keepNext w:val="0"/>
              <w:keepLines w:val="0"/>
              <w:pageBreakBefore w:val="0"/>
              <w:kinsoku/>
              <w:wordWrap/>
              <w:overflowPunct/>
              <w:topLinePunct w:val="0"/>
              <w:autoSpaceDE/>
              <w:autoSpaceDN/>
              <w:bidi w:val="0"/>
              <w:spacing w:line="374" w:lineRule="auto"/>
              <w:ind w:firstLine="0"/>
              <w:jc w:val="center"/>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before="45" w:line="184"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80" w:type="dxa"/>
            <w:vAlign w:val="center"/>
          </w:tcPr>
          <w:p>
            <w:pPr>
              <w:pStyle w:val="14"/>
              <w:keepNext w:val="0"/>
              <w:keepLines w:val="0"/>
              <w:pageBreakBefore w:val="0"/>
              <w:kinsoku/>
              <w:wordWrap/>
              <w:overflowPunct/>
              <w:topLinePunct w:val="0"/>
              <w:autoSpaceDE/>
              <w:autoSpaceDN/>
              <w:bidi w:val="0"/>
              <w:spacing w:line="352" w:lineRule="auto"/>
              <w:ind w:firstLine="0"/>
              <w:jc w:val="center"/>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before="49" w:line="227" w:lineRule="auto"/>
              <w:ind w:left="325" w:firstLine="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065" w:type="dxa"/>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before="49" w:line="189"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1320000</w:t>
            </w:r>
          </w:p>
        </w:tc>
        <w:tc>
          <w:tcPr>
            <w:tcW w:w="1283" w:type="dxa"/>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before="49" w:line="189"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1320000</w:t>
            </w:r>
          </w:p>
        </w:tc>
        <w:tc>
          <w:tcPr>
            <w:tcW w:w="1055" w:type="dxa"/>
            <w:vAlign w:val="center"/>
          </w:tcPr>
          <w:p>
            <w:pPr>
              <w:pStyle w:val="14"/>
              <w:keepNext w:val="0"/>
              <w:keepLines w:val="0"/>
              <w:pageBreakBefore w:val="0"/>
              <w:kinsoku/>
              <w:wordWrap/>
              <w:overflowPunct/>
              <w:topLinePunct w:val="0"/>
              <w:autoSpaceDE/>
              <w:autoSpaceDN/>
              <w:bidi w:val="0"/>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8" w:hRule="atLeast"/>
          <w:jc w:val="center"/>
        </w:trPr>
        <w:tc>
          <w:tcPr>
            <w:tcW w:w="639" w:type="dxa"/>
            <w:vMerge w:val="restart"/>
            <w:tcBorders>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25" w:type="dxa"/>
            <w:vMerge w:val="restart"/>
            <w:tcBorders>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供热生产安全监测</w:t>
            </w:r>
          </w:p>
        </w:tc>
        <w:tc>
          <w:tcPr>
            <w:tcW w:w="5566" w:type="dxa"/>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整合区域内所有热源的实时运行数据，并通过数字仿真方式呈现，对关键性能指标进行实时监测，包括温度、压力、流量和热量等，用于监管热力系统的正常运行。</w:t>
            </w:r>
          </w:p>
        </w:tc>
        <w:tc>
          <w:tcPr>
            <w:tcW w:w="644" w:type="dxa"/>
            <w:vMerge w:val="restart"/>
            <w:tcBorders>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80" w:type="dxa"/>
            <w:vMerge w:val="restart"/>
            <w:tcBorders>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065" w:type="dxa"/>
            <w:vMerge w:val="restart"/>
            <w:tcBorders>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510000</w:t>
            </w:r>
          </w:p>
        </w:tc>
        <w:tc>
          <w:tcPr>
            <w:tcW w:w="1283" w:type="dxa"/>
            <w:vMerge w:val="restart"/>
            <w:tcBorders>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510000</w:t>
            </w:r>
          </w:p>
        </w:tc>
        <w:tc>
          <w:tcPr>
            <w:tcW w:w="1055" w:type="dxa"/>
            <w:vMerge w:val="restart"/>
            <w:tcBorders>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5" w:hRule="atLeast"/>
          <w:jc w:val="center"/>
        </w:trPr>
        <w:tc>
          <w:tcPr>
            <w:tcW w:w="639"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925"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5566" w:type="dxa"/>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实时监测源-网-站-户生产调度过程，实现城市供热安全预防、预测、报警等。</w:t>
            </w:r>
          </w:p>
        </w:tc>
        <w:tc>
          <w:tcPr>
            <w:tcW w:w="644"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0"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065"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283"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055"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8" w:hRule="atLeast"/>
          <w:jc w:val="center"/>
        </w:trPr>
        <w:tc>
          <w:tcPr>
            <w:tcW w:w="639"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925"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5566" w:type="dxa"/>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展示热源基础信息并形成供热实时数据台账，监管人员全面了解供热产热端数据。</w:t>
            </w:r>
          </w:p>
        </w:tc>
        <w:tc>
          <w:tcPr>
            <w:tcW w:w="644"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0"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065"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283"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055"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3" w:hRule="atLeast"/>
          <w:jc w:val="center"/>
        </w:trPr>
        <w:tc>
          <w:tcPr>
            <w:tcW w:w="639" w:type="dxa"/>
            <w:vMerge w:val="continue"/>
            <w:tcBorders>
              <w:top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925" w:type="dxa"/>
            <w:vMerge w:val="continue"/>
            <w:tcBorders>
              <w:top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5566" w:type="dxa"/>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展示热力站、楼宇、热用户的基础信息和实时供热运行参数，包含各个供热节点主要的运行参数。</w:t>
            </w:r>
          </w:p>
        </w:tc>
        <w:tc>
          <w:tcPr>
            <w:tcW w:w="644" w:type="dxa"/>
            <w:vMerge w:val="continue"/>
            <w:tcBorders>
              <w:top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0" w:type="dxa"/>
            <w:vMerge w:val="continue"/>
            <w:tcBorders>
              <w:top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065" w:type="dxa"/>
            <w:vMerge w:val="continue"/>
            <w:tcBorders>
              <w:top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283" w:type="dxa"/>
            <w:vMerge w:val="continue"/>
            <w:tcBorders>
              <w:top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055" w:type="dxa"/>
            <w:vMerge w:val="continue"/>
            <w:tcBorders>
              <w:top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jc w:val="center"/>
        </w:trPr>
        <w:tc>
          <w:tcPr>
            <w:tcW w:w="639" w:type="dxa"/>
            <w:vMerge w:val="restart"/>
            <w:tcBorders>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925" w:type="dxa"/>
            <w:vMerge w:val="restart"/>
            <w:tcBorders>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供热能耗分析</w:t>
            </w:r>
          </w:p>
        </w:tc>
        <w:tc>
          <w:tcPr>
            <w:tcW w:w="5566" w:type="dxa"/>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1、能耗GIS：以地理信息数据为核心，对城市中各个热力站房的能耗数据进行统计、分析，并以多样化的视角进行展示。</w:t>
            </w:r>
          </w:p>
        </w:tc>
        <w:tc>
          <w:tcPr>
            <w:tcW w:w="644" w:type="dxa"/>
            <w:vMerge w:val="restart"/>
            <w:tcBorders>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80" w:type="dxa"/>
            <w:vMerge w:val="restart"/>
            <w:tcBorders>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065" w:type="dxa"/>
            <w:vMerge w:val="restart"/>
            <w:tcBorders>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450000</w:t>
            </w:r>
          </w:p>
        </w:tc>
        <w:tc>
          <w:tcPr>
            <w:tcW w:w="1283" w:type="dxa"/>
            <w:vMerge w:val="restart"/>
            <w:tcBorders>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450000</w:t>
            </w:r>
          </w:p>
        </w:tc>
        <w:tc>
          <w:tcPr>
            <w:tcW w:w="1055" w:type="dxa"/>
            <w:vMerge w:val="restart"/>
            <w:tcBorders>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0" w:hRule="atLeast"/>
          <w:jc w:val="center"/>
        </w:trPr>
        <w:tc>
          <w:tcPr>
            <w:tcW w:w="639"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925"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5566" w:type="dxa"/>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2、能耗分析：监测热源、热源支线、管网、热力站、楼栋、住户及环境等各项指标，对供热系统的能耗进行全方位统计分析，找出供热系统能耗异常点。</w:t>
            </w:r>
          </w:p>
        </w:tc>
        <w:tc>
          <w:tcPr>
            <w:tcW w:w="644"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0"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065"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283"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055"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3" w:hRule="atLeast"/>
          <w:jc w:val="center"/>
        </w:trPr>
        <w:tc>
          <w:tcPr>
            <w:tcW w:w="639"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925"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5566" w:type="dxa"/>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3、同期对比：对不同数据间进行比较，并支持不同层级部门进行能耗排序和对比展示；</w:t>
            </w:r>
          </w:p>
        </w:tc>
        <w:tc>
          <w:tcPr>
            <w:tcW w:w="644"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0"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065"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283"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055"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4" w:hRule="atLeast"/>
          <w:jc w:val="center"/>
        </w:trPr>
        <w:tc>
          <w:tcPr>
            <w:tcW w:w="639"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925"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5566" w:type="dxa"/>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4、能耗报表：提供多用的能耗统计报表，统计展示热源分支、热力站、机组的水电热单耗和消耗量，系统将站房能耗数据统计，并配以报表形式展示，支持导出和时间查询；</w:t>
            </w:r>
          </w:p>
        </w:tc>
        <w:tc>
          <w:tcPr>
            <w:tcW w:w="644"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0"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065"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283"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055" w:type="dxa"/>
            <w:vMerge w:val="continue"/>
            <w:tcBorders>
              <w:top w:val="nil"/>
              <w:bottom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1" w:hRule="atLeast"/>
          <w:jc w:val="center"/>
        </w:trPr>
        <w:tc>
          <w:tcPr>
            <w:tcW w:w="639" w:type="dxa"/>
            <w:vMerge w:val="continue"/>
            <w:tcBorders>
              <w:top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925" w:type="dxa"/>
            <w:vMerge w:val="continue"/>
            <w:tcBorders>
              <w:top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5566" w:type="dxa"/>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5、负荷预测：通过计算模型的数据分析处理后，按地区未来气候预测未来时间的热负荷需求。</w:t>
            </w:r>
          </w:p>
        </w:tc>
        <w:tc>
          <w:tcPr>
            <w:tcW w:w="644" w:type="dxa"/>
            <w:vMerge w:val="continue"/>
            <w:tcBorders>
              <w:top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0" w:type="dxa"/>
            <w:vMerge w:val="continue"/>
            <w:tcBorders>
              <w:top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065" w:type="dxa"/>
            <w:vMerge w:val="continue"/>
            <w:tcBorders>
              <w:top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283" w:type="dxa"/>
            <w:vMerge w:val="continue"/>
            <w:tcBorders>
              <w:top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055" w:type="dxa"/>
            <w:vMerge w:val="continue"/>
            <w:tcBorders>
              <w:top w:val="nil"/>
            </w:tcBorders>
            <w:vAlign w:val="center"/>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bl>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sectPr>
          <w:pgSz w:w="16837" w:h="11905" w:orient="landscape"/>
          <w:pgMar w:top="1440" w:right="1800" w:bottom="1440" w:left="1800" w:header="0" w:footer="0" w:gutter="0"/>
          <w:cols w:space="720" w:num="1"/>
        </w:sect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bl>
      <w:tblPr>
        <w:tblStyle w:val="15"/>
        <w:tblW w:w="122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5"/>
        <w:gridCol w:w="2392"/>
        <w:gridCol w:w="4691"/>
        <w:gridCol w:w="905"/>
        <w:gridCol w:w="784"/>
        <w:gridCol w:w="887"/>
        <w:gridCol w:w="990"/>
        <w:gridCol w:w="9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trPr>
        <w:tc>
          <w:tcPr>
            <w:tcW w:w="605"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392"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供热资产台账管理</w:t>
            </w: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1、热源信息：展示热源台账信息，提供增删改查能维护功能，统一管理供热数据。</w:t>
            </w:r>
          </w:p>
        </w:tc>
        <w:tc>
          <w:tcPr>
            <w:tcW w:w="905"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84"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87"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330000</w:t>
            </w:r>
          </w:p>
        </w:tc>
        <w:tc>
          <w:tcPr>
            <w:tcW w:w="990"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330000</w:t>
            </w:r>
          </w:p>
        </w:tc>
        <w:tc>
          <w:tcPr>
            <w:tcW w:w="999"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6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2392"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2、热源分支信息：展示热源分支台账信息，提供增删改查能维护功能，统一管理供热数据。</w:t>
            </w:r>
          </w:p>
        </w:tc>
        <w:tc>
          <w:tcPr>
            <w:tcW w:w="9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4"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887"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9"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6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2392"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3、热力站信息：展示热力站的台账信息，提供增删改查能维护功能，统一管理供热数据。</w:t>
            </w:r>
          </w:p>
        </w:tc>
        <w:tc>
          <w:tcPr>
            <w:tcW w:w="9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4"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887"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9"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6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2392"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4、小区信息：展示小区的台账信息，提供增删改查能维护功能，统一管理供热数据。</w:t>
            </w:r>
          </w:p>
        </w:tc>
        <w:tc>
          <w:tcPr>
            <w:tcW w:w="9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4"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887"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9"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6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2392"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5、楼栋信息：展示楼栋的台账信息，提供增删改查能维护功能，统一管理供热数据。</w:t>
            </w:r>
          </w:p>
        </w:tc>
        <w:tc>
          <w:tcPr>
            <w:tcW w:w="9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4"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887"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9"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6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2392"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6、热用户信息：展示热用户的台账信息，提供增删改查能维护功能，统一管理供热数据。</w:t>
            </w:r>
          </w:p>
        </w:tc>
        <w:tc>
          <w:tcPr>
            <w:tcW w:w="9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4"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887"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9"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605"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2392"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7、管线信息：展示管线的台账信息，提供增删改查能维护功能，统一管理供热数据。</w:t>
            </w:r>
          </w:p>
        </w:tc>
        <w:tc>
          <w:tcPr>
            <w:tcW w:w="905"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4"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887"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9"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605"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392"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智能辅助决策</w:t>
            </w: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1、基础数据分析：以图表和数据的形式展示该区域的供热台账统计分析；</w:t>
            </w:r>
          </w:p>
        </w:tc>
        <w:tc>
          <w:tcPr>
            <w:tcW w:w="905"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84" w:type="dxa"/>
            <w:vMerge w:val="restart"/>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87"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540000</w:t>
            </w:r>
          </w:p>
        </w:tc>
        <w:tc>
          <w:tcPr>
            <w:tcW w:w="990"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540000</w:t>
            </w:r>
          </w:p>
        </w:tc>
        <w:tc>
          <w:tcPr>
            <w:tcW w:w="999"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6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2392"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2、零碳排放概览：对接各热源、换热站能耗数据，统一汇总成供热碳排放数据。</w:t>
            </w:r>
          </w:p>
        </w:tc>
        <w:tc>
          <w:tcPr>
            <w:tcW w:w="9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4" w:type="dxa"/>
            <w:vMerge w:val="continue"/>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887"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9"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6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2392"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3、经济成本：整合各供热公司的供热成本数据，并对公司运营状况进行综合分析，从多个关键维度深入理解供热力行业现状。</w:t>
            </w:r>
          </w:p>
        </w:tc>
        <w:tc>
          <w:tcPr>
            <w:tcW w:w="9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4" w:type="dxa"/>
            <w:vMerge w:val="continue"/>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887"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9"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6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2392"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4、供热服务监督：建立与各热力企业客服投诉系统的链路，汇总各热力客服系统的投诉、监督工单流转、处理回馈信。</w:t>
            </w:r>
          </w:p>
        </w:tc>
        <w:tc>
          <w:tcPr>
            <w:tcW w:w="9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4" w:type="dxa"/>
            <w:vMerge w:val="continue"/>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887"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9"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605"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2392"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5、供热室温监督：汇总各供热公司的热用户室温信息，并整合客服投诉数据，对各供热公司的供热质量进行了全面评估。</w:t>
            </w:r>
          </w:p>
        </w:tc>
        <w:tc>
          <w:tcPr>
            <w:tcW w:w="905"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4" w:type="dxa"/>
            <w:vMerge w:val="continue"/>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887"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9"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trPr>
        <w:tc>
          <w:tcPr>
            <w:tcW w:w="605"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392"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运维服务</w:t>
            </w: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3年免费保修期后，提供运维服务时间2年。</w:t>
            </w:r>
          </w:p>
        </w:tc>
        <w:tc>
          <w:tcPr>
            <w:tcW w:w="905"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84" w:type="dxa"/>
            <w:vMerge w:val="restart"/>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项</w:t>
            </w:r>
          </w:p>
        </w:tc>
        <w:tc>
          <w:tcPr>
            <w:tcW w:w="887"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220000</w:t>
            </w:r>
          </w:p>
        </w:tc>
        <w:tc>
          <w:tcPr>
            <w:tcW w:w="990"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220000</w:t>
            </w:r>
          </w:p>
        </w:tc>
        <w:tc>
          <w:tcPr>
            <w:tcW w:w="999"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6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2392"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软件产品的升级服务：升级范围包括：系统软件BUG的修改、为了适应新的操作环境而对软件进行的优化、性能的改进等。</w:t>
            </w:r>
          </w:p>
        </w:tc>
        <w:tc>
          <w:tcPr>
            <w:tcW w:w="9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4" w:type="dxa"/>
            <w:vMerge w:val="continue"/>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887"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9"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6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2392"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服务器维护：操作系统更新和维护、安全补丁安装、硬件故障排除、网络故障排除、数据备份和恢复。</w:t>
            </w:r>
          </w:p>
        </w:tc>
        <w:tc>
          <w:tcPr>
            <w:tcW w:w="9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4" w:type="dxa"/>
            <w:vMerge w:val="continue"/>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887"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9"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6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2392"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网络设备维护：路由器、交换机配置、网络故障排除、网络性能优化、防火墙配置和维护。</w:t>
            </w:r>
          </w:p>
        </w:tc>
        <w:tc>
          <w:tcPr>
            <w:tcW w:w="9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4" w:type="dxa"/>
            <w:vMerge w:val="continue"/>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887"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9"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6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2392"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应用程序维护：应用程序更新和维护、数据库维护、应用性能优化、应用程序故障排除。</w:t>
            </w:r>
          </w:p>
        </w:tc>
        <w:tc>
          <w:tcPr>
            <w:tcW w:w="905"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4" w:type="dxa"/>
            <w:vMerge w:val="continue"/>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887"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9"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605"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2392"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运行支持：具体服务包含系统运行保障、第三方系统接口对接、新增数据采集点接入、平台相关数据收集、数据更新、系统问题收集和功能优化等工作。</w:t>
            </w:r>
          </w:p>
        </w:tc>
        <w:tc>
          <w:tcPr>
            <w:tcW w:w="905"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4" w:type="dxa"/>
            <w:vMerge w:val="continue"/>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887"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9"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bl>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sectPr>
          <w:pgSz w:w="16837" w:h="11905"/>
          <w:pgMar w:top="1440" w:right="1800" w:bottom="1440" w:left="1800" w:header="0" w:footer="0" w:gutter="0"/>
          <w:cols w:space="720" w:num="1"/>
        </w:sect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bl>
      <w:tblPr>
        <w:tblStyle w:val="15"/>
        <w:tblW w:w="122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5"/>
        <w:gridCol w:w="1206"/>
        <w:gridCol w:w="1186"/>
        <w:gridCol w:w="4691"/>
        <w:gridCol w:w="906"/>
        <w:gridCol w:w="784"/>
        <w:gridCol w:w="887"/>
        <w:gridCol w:w="990"/>
        <w:gridCol w:w="9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2" w:hRule="atLeast"/>
        </w:trPr>
        <w:tc>
          <w:tcPr>
            <w:tcW w:w="60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206" w:type="dxa"/>
            <w:vMerge w:val="restart"/>
            <w:tcBorders>
              <w:bottom w:val="nil"/>
            </w:tcBorders>
            <w:vAlign w:val="top"/>
          </w:tcPr>
          <w:p>
            <w:pPr>
              <w:pStyle w:val="14"/>
              <w:keepNext w:val="0"/>
              <w:keepLines w:val="0"/>
              <w:pageBreakBefore w:val="0"/>
              <w:kinsoku/>
              <w:wordWrap/>
              <w:overflowPunct/>
              <w:topLinePunct w:val="0"/>
              <w:autoSpaceDE/>
              <w:autoSpaceDN/>
              <w:bidi w:val="0"/>
              <w:spacing w:after="0" w:line="240"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私有云服务</w:t>
            </w:r>
          </w:p>
        </w:tc>
        <w:tc>
          <w:tcPr>
            <w:tcW w:w="118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超融合服务器</w:t>
            </w: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超融合硬件参数要求：</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规格≥2U；单核核心数≥16C，CPU主频≥2.90GHZ，内存≥12*32GBDDR43200，</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系统盘≥2*480GBSATASSD，缓存盘≥2*1.92TSATASSD，数据盘≥4*8T，</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支持接口≥4个千兆电口+6个万兆光口；电源：≥双电源；</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配置≥6个万兆多模光模块；</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84"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87"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485000</w:t>
            </w:r>
          </w:p>
        </w:tc>
        <w:tc>
          <w:tcPr>
            <w:tcW w:w="990"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485000</w:t>
            </w:r>
          </w:p>
        </w:tc>
        <w:tc>
          <w:tcPr>
            <w:tcW w:w="998" w:type="dxa"/>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0" w:hRule="atLeast"/>
        </w:trPr>
        <w:tc>
          <w:tcPr>
            <w:tcW w:w="60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206" w:type="dxa"/>
            <w:vMerge w:val="continue"/>
            <w:tcBorders>
              <w:top w:val="nil"/>
              <w:bottom w:val="nil"/>
            </w:tcBorders>
            <w:textDirection w:val="tbRlV"/>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8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计算虚</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拟化软</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件</w:t>
            </w: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服务器虚拟化，通过虚拟化技术将物理服务器虚拟化为一个逻辑计算资源池。开通后具备对虚拟机全生命周期管理的能力，可对虚拟机进行开关机、模板部署、克隆、导入导出等操作；具备HA、动态资源调度、蓝屏重启等机制保证业务高可靠；具备对虚拟机资源监控、告警等功能；</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784"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87"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8"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4" w:hRule="atLeast"/>
        </w:trPr>
        <w:tc>
          <w:tcPr>
            <w:tcW w:w="60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206" w:type="dxa"/>
            <w:vMerge w:val="continue"/>
            <w:tcBorders>
              <w:top w:val="nil"/>
              <w:bottom w:val="nil"/>
            </w:tcBorders>
            <w:textDirection w:val="tbRlV"/>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8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网络虚</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拟化软</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件</w:t>
            </w: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网络虚拟化，利用统一的管理平台对虚拟网络设备进行管理和配置。实现“所画即所得”的网络部署，具备全局流量可视化、网络连通性检测等功能。为每个虚拟机提供一个3-4层的分布式防火墙和监控中心以及无限制的虚拟路由器和虚拟交换</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机；</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784"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87"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8"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1" w:hRule="atLeast"/>
        </w:trPr>
        <w:tc>
          <w:tcPr>
            <w:tcW w:w="60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206" w:type="dxa"/>
            <w:vMerge w:val="continue"/>
            <w:tcBorders>
              <w:top w:val="nil"/>
              <w:bottom w:val="nil"/>
            </w:tcBorders>
            <w:textDirection w:val="tbRlV"/>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8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存储虚</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拟化软</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件</w:t>
            </w: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存储虚拟化，存储多副本，高性能读写缓存，存储弹性扩展，数据故障切换，磁盘故障告警，软件平台升级更新。含加密锁一个：授权销售key-金</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色；</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784"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87"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8" w:type="dxa"/>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60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206" w:type="dxa"/>
            <w:vMerge w:val="continue"/>
            <w:tcBorders>
              <w:top w:val="nil"/>
              <w:bottom w:val="nil"/>
            </w:tcBorders>
            <w:textDirection w:val="tbRlV"/>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8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云计算</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管理软</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件</w:t>
            </w: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统一管理平台，实现跨集群（超融合集群、VMware集群）、跨数据中心的统一管理，具备对虚拟机全生命周期管理、资源监控、可靠性中心等功能；</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784"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87"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8"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bl>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sectPr>
          <w:pgSz w:w="16837" w:h="11905"/>
          <w:pgMar w:top="1440" w:right="1800" w:bottom="1440" w:left="1800" w:header="0" w:footer="0" w:gutter="0"/>
          <w:cols w:space="720" w:num="1"/>
        </w:sect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bl>
      <w:tblPr>
        <w:tblStyle w:val="15"/>
        <w:tblW w:w="122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5"/>
        <w:gridCol w:w="1206"/>
        <w:gridCol w:w="1186"/>
        <w:gridCol w:w="4691"/>
        <w:gridCol w:w="906"/>
        <w:gridCol w:w="784"/>
        <w:gridCol w:w="887"/>
        <w:gridCol w:w="990"/>
        <w:gridCol w:w="9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5" w:hRule="atLeast"/>
        </w:trPr>
        <w:tc>
          <w:tcPr>
            <w:tcW w:w="60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206" w:type="dxa"/>
            <w:vMerge w:val="restart"/>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8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存储网交换机</w:t>
            </w: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性能要求：</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满足交换容量≥2.56Tbps/25.6Tbps；包转发率≥720Mpps；</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硬件要求：支持≥1/2.5/10GESFP+24个，≥40GEQSFP+2个，支持≥2个扩展插槽，实际配置≥12个万兆多模光模块</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支持全端口线速转发；支持aNAC统一管理、统一查看状态、VLAN、堆叠等配置管理；支持终端识别、终端准入、安全防护及安全画像可视；</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84"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87"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29000</w:t>
            </w:r>
          </w:p>
        </w:tc>
        <w:tc>
          <w:tcPr>
            <w:tcW w:w="990"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58000</w:t>
            </w:r>
          </w:p>
        </w:tc>
        <w:tc>
          <w:tcPr>
            <w:tcW w:w="998"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79" w:hRule="atLeast"/>
        </w:trPr>
        <w:tc>
          <w:tcPr>
            <w:tcW w:w="60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1206" w:type="dxa"/>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8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业务网交换机</w:t>
            </w: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性能要求：</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满足交换容量≥2.56Tbps/25.6Tbps；包转发率≥720Mpps；</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硬件要求：支持≥1/2.5/10GESFP+24个，≥40GEQSFP+2个，支持≥2个扩展插槽，实际配置≥12个万兆多模光模块</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支持全端口线速转发；支持aNAC统一管理、统一查看状态、VLAN、堆叠等配置管理；支持终端识别、终端准入、安全防护及安全画像可视；</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84"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87"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28800</w:t>
            </w:r>
          </w:p>
        </w:tc>
        <w:tc>
          <w:tcPr>
            <w:tcW w:w="990"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57600</w:t>
            </w:r>
          </w:p>
        </w:tc>
        <w:tc>
          <w:tcPr>
            <w:tcW w:w="998"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60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1206" w:type="dxa"/>
            <w:vMerge w:val="restart"/>
            <w:tcBorders>
              <w:bottom w:val="nil"/>
            </w:tcBorders>
            <w:textDirection w:val="tbRlV"/>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机房基础设施服务</w:t>
            </w:r>
          </w:p>
        </w:tc>
        <w:tc>
          <w:tcPr>
            <w:tcW w:w="118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机柜</w:t>
            </w: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标准网络服务器机柜42U，高密度网孔前后门。三个8口10A公牛PDU</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84"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87"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7245</w:t>
            </w:r>
          </w:p>
        </w:tc>
        <w:tc>
          <w:tcPr>
            <w:tcW w:w="990"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14490</w:t>
            </w:r>
          </w:p>
        </w:tc>
        <w:tc>
          <w:tcPr>
            <w:tcW w:w="998"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9" w:hRule="atLeast"/>
        </w:trPr>
        <w:tc>
          <w:tcPr>
            <w:tcW w:w="60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1206" w:type="dxa"/>
            <w:vMerge w:val="continue"/>
            <w:tcBorders>
              <w:top w:val="nil"/>
              <w:bottom w:val="nil"/>
            </w:tcBorders>
            <w:textDirection w:val="tbRlV"/>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8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核心交换机</w:t>
            </w: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性能要求：</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满足交换容量≥76.8Tbps/307.2Tbps包转发率≥8640Mpps/57600Mpps；</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硬件要求：支持≥6个扩展插槽；</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实际配置：48端口万兆以太网光接口模块;24端口千兆以太网电接口(RJ45)+8端口千兆以太网光接口模块；</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配置≥24个SFP+万兆多模光模块;8个千兆多模光模块;</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支持全端口线速转发。支持aNAC统一管理、统一查看状态、VLAN、堆叠等配置管理；支持终端识别、终端准入、安全防护及安全画像可视；</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84"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87"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148800</w:t>
            </w:r>
          </w:p>
        </w:tc>
        <w:tc>
          <w:tcPr>
            <w:tcW w:w="990"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148800</w:t>
            </w:r>
          </w:p>
        </w:tc>
        <w:tc>
          <w:tcPr>
            <w:tcW w:w="998"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bl>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sectPr>
          <w:pgSz w:w="16837" w:h="11905"/>
          <w:pgMar w:top="1440" w:right="1800" w:bottom="1440" w:left="1800" w:header="0" w:footer="0" w:gutter="0"/>
          <w:cols w:space="720" w:num="1"/>
        </w:sect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bl>
      <w:tblPr>
        <w:tblStyle w:val="15"/>
        <w:tblW w:w="12253"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5"/>
        <w:gridCol w:w="1206"/>
        <w:gridCol w:w="1186"/>
        <w:gridCol w:w="4691"/>
        <w:gridCol w:w="906"/>
        <w:gridCol w:w="784"/>
        <w:gridCol w:w="887"/>
        <w:gridCol w:w="990"/>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atLeast"/>
        </w:trPr>
        <w:tc>
          <w:tcPr>
            <w:tcW w:w="60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12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8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KVM</w:t>
            </w: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KVM切换器；8个VGA接口；支持分</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辨率1920*1080；切换方式OSD菜单，热键，面板按钮；配备标准网络服务器机柜滑轨；屏幕大小不小于15寸。</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84"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87"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8900</w:t>
            </w:r>
          </w:p>
        </w:tc>
        <w:tc>
          <w:tcPr>
            <w:tcW w:w="990"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8900</w:t>
            </w:r>
          </w:p>
        </w:tc>
        <w:tc>
          <w:tcPr>
            <w:tcW w:w="998"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60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12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8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不间断电源UPS</w:t>
            </w: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在线式功率10KVA及以上，保障机房设备断电续航2小时及以上。</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84"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87"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26800</w:t>
            </w:r>
          </w:p>
        </w:tc>
        <w:tc>
          <w:tcPr>
            <w:tcW w:w="990"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26800</w:t>
            </w:r>
          </w:p>
        </w:tc>
        <w:tc>
          <w:tcPr>
            <w:tcW w:w="998"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4" w:hRule="atLeast"/>
        </w:trPr>
        <w:tc>
          <w:tcPr>
            <w:tcW w:w="60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12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8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企业级防火墙</w:t>
            </w: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性能参数：</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网络层吞吐量:2G及以上，应用层吞吐量:600M及以上，防病毒吞吐量:250M及以上，IPS吞吐</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量:150M及以上，</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全威胁吞吐量:130M及以上，并发连接数:80万及以上，HTTP新建连接数:1.8万及以上，</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IPSec最大隧道数：1000，IPSecVPN吞吐量：60M。</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硬件参数：</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规格：1U;内存大小:2G，硬盘容量：64GminisataSSD，电源：单电源，接口：6千兆电口。</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含：防火墙软件基础级(*1套);防火墙软件增强级模块(*1套)IPS,AV;产品质保(*3年);软件升级(*3年);</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84"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87"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28113</w:t>
            </w:r>
          </w:p>
        </w:tc>
        <w:tc>
          <w:tcPr>
            <w:tcW w:w="990"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28113</w:t>
            </w:r>
          </w:p>
        </w:tc>
        <w:tc>
          <w:tcPr>
            <w:tcW w:w="998"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9" w:hRule="atLeast"/>
        </w:trPr>
        <w:tc>
          <w:tcPr>
            <w:tcW w:w="60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12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8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上网行为管理</w:t>
            </w:r>
          </w:p>
        </w:tc>
        <w:tc>
          <w:tcPr>
            <w:tcW w:w="4691"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网络层吞吐量(大包)：2Gb，应用层吞吐量：150Mb，</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带宽性能：100Mb;</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IPSECVPN加密性能(最高性能)：20Mb;</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支持用户数：500'包转发率：14.4Kpps，</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每秒新建连接数:1000;最大并发连接数：50000。</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规格：1U，内存大小：4G，</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硬盘容量：128GminisataSSD，电源：单电源，</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接口：4千兆电口。拥有用户认证与管理、应用控制、流量管控、行为审计等功能，提供行为日志大数据分析能力，有效识别行为风险。产品质保(*3年)；软件升级(*3年)；</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84"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87"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18658</w:t>
            </w:r>
          </w:p>
        </w:tc>
        <w:tc>
          <w:tcPr>
            <w:tcW w:w="990"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18658</w:t>
            </w:r>
          </w:p>
        </w:tc>
        <w:tc>
          <w:tcPr>
            <w:tcW w:w="998"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bl>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sectPr>
          <w:pgSz w:w="16837" w:h="11905"/>
          <w:pgMar w:top="1440" w:right="1800" w:bottom="1440" w:left="1800" w:header="0" w:footer="0" w:gutter="0"/>
          <w:cols w:space="720" w:num="1"/>
        </w:sectPr>
      </w:pPr>
    </w:p>
    <w:tbl>
      <w:tblPr>
        <w:tblStyle w:val="15"/>
        <w:tblW w:w="144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5"/>
        <w:gridCol w:w="418"/>
        <w:gridCol w:w="777"/>
        <w:gridCol w:w="418"/>
        <w:gridCol w:w="777"/>
        <w:gridCol w:w="418"/>
        <w:gridCol w:w="1195"/>
        <w:gridCol w:w="3077"/>
        <w:gridCol w:w="906"/>
        <w:gridCol w:w="707"/>
        <w:gridCol w:w="76"/>
        <w:gridCol w:w="830"/>
        <w:gridCol w:w="57"/>
        <w:gridCol w:w="726"/>
        <w:gridCol w:w="264"/>
        <w:gridCol w:w="623"/>
        <w:gridCol w:w="375"/>
        <w:gridCol w:w="615"/>
        <w:gridCol w:w="9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613" w:type="dxa"/>
          <w:trHeight w:val="2506" w:hRule="atLeast"/>
          <w:jc w:val="center"/>
        </w:trPr>
        <w:tc>
          <w:tcPr>
            <w:tcW w:w="1195"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195"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等保安全服务</w:t>
            </w:r>
          </w:p>
        </w:tc>
        <w:tc>
          <w:tcPr>
            <w:tcW w:w="119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下一代防火墙</w:t>
            </w:r>
          </w:p>
        </w:tc>
        <w:tc>
          <w:tcPr>
            <w:tcW w:w="4690" w:type="dxa"/>
            <w:gridSpan w:val="3"/>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网络层吞吐量:4G;应用层吞吐量:2G;</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防病毒吞吐量:800M;IPS吞吐量:500M，全威胁吞吐量:400M;并发连接数:180万;</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HTTP新建连接数:6万;IPSec最大隧道数:1000;IPSecVPN吞吐量:160M;</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规格:1U;内存大小:4G;</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硬盘容量：64GminisataSSD;电源:单电源;接口：6千兆电口+4千兆光口SFP。</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能够有效应对传统网络攻击和未知威胁攻击。产品质保(*3年)；软件升级(*3年)；</w:t>
            </w:r>
          </w:p>
        </w:tc>
        <w:tc>
          <w:tcPr>
            <w:tcW w:w="906"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83"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87"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58000</w:t>
            </w:r>
          </w:p>
        </w:tc>
        <w:tc>
          <w:tcPr>
            <w:tcW w:w="990"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58000</w:t>
            </w:r>
          </w:p>
        </w:tc>
        <w:tc>
          <w:tcPr>
            <w:tcW w:w="998"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613" w:type="dxa"/>
          <w:trHeight w:val="3001" w:hRule="atLeast"/>
          <w:jc w:val="center"/>
        </w:trPr>
        <w:tc>
          <w:tcPr>
            <w:tcW w:w="1195"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195"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9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漏洞扫描</w:t>
            </w:r>
          </w:p>
        </w:tc>
        <w:tc>
          <w:tcPr>
            <w:tcW w:w="4690" w:type="dxa"/>
            <w:gridSpan w:val="3"/>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授权：</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系统漏扫授权IP数：100；WEB漏扫授权URL数：20；</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性能指标：主机漏扫最大并发IP数：75；WEB漏扫最大并发URL数：5；</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规格：1U，内存：8G；</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硬盘容量：2TBSATA；电源：单电源；接口：6千兆电口+2千兆光口SFP。</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能够识别和发现网络中的各类资产、高效、全面、精准地检查网络中的各类脆弱性风险，根据扫描结果提供专业、有效的安全分析和修补建议，全面提升客户网络环境的整体安全性。</w:t>
            </w:r>
          </w:p>
        </w:tc>
        <w:tc>
          <w:tcPr>
            <w:tcW w:w="906"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83"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87"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53880</w:t>
            </w:r>
          </w:p>
        </w:tc>
        <w:tc>
          <w:tcPr>
            <w:tcW w:w="990"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53880</w:t>
            </w:r>
          </w:p>
        </w:tc>
        <w:tc>
          <w:tcPr>
            <w:tcW w:w="998"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613" w:type="dxa"/>
          <w:trHeight w:val="2254" w:hRule="atLeast"/>
          <w:jc w:val="center"/>
        </w:trPr>
        <w:tc>
          <w:tcPr>
            <w:tcW w:w="1195" w:type="dxa"/>
            <w:gridSpan w:val="2"/>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195" w:type="dxa"/>
            <w:gridSpan w:val="2"/>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95" w:type="dxa"/>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数据库审计</w:t>
            </w:r>
          </w:p>
        </w:tc>
        <w:tc>
          <w:tcPr>
            <w:tcW w:w="4690" w:type="dxa"/>
            <w:gridSpan w:val="3"/>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最大硬件吞吐量：2Gbps；</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最大数据库纯SQL流量：400Mb/；</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数据库实例个数：不少于30个，</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SQL处理性能：30000条SQL/s；</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日志检索性能：500000条/秒。</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规格：1U；内存大小：8G，硬盘容量：2TSATA；</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电源：单电源；接口：6千兆电口+2万兆光口SFP+。</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产品质保(*3年)；软件升级(*3年)；</w:t>
            </w:r>
          </w:p>
        </w:tc>
        <w:tc>
          <w:tcPr>
            <w:tcW w:w="906" w:type="dxa"/>
            <w:gridSpan w:val="2"/>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83" w:type="dxa"/>
            <w:gridSpan w:val="2"/>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87"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86800</w:t>
            </w:r>
          </w:p>
        </w:tc>
        <w:tc>
          <w:tcPr>
            <w:tcW w:w="990"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86800</w:t>
            </w:r>
          </w:p>
        </w:tc>
        <w:tc>
          <w:tcPr>
            <w:tcW w:w="998"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Before w:w="0" w:type="auto"/>
          <w:wAfter w:w="1613" w:type="dxa"/>
          <w:trHeight w:val="0" w:hRule="atLeast"/>
        </w:trPr>
        <w:tc>
          <w:tcPr>
            <w:tcW w:w="119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1195" w:type="dxa"/>
            <w:gridSpan w:val="2"/>
            <w:vMerge w:val="restart"/>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95"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运维堡垒机</w:t>
            </w:r>
          </w:p>
        </w:tc>
        <w:tc>
          <w:tcPr>
            <w:tcW w:w="4690" w:type="dxa"/>
            <w:gridSpan w:val="3"/>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默认包含运维授权数：50，最大可扩展资产数：150，</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图形运维最大并发数：100，字符运维最大并发</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数：200。规格：1U；内存大小：8G，硬盘容量：2TSATA，</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电源：单电源；接口：6千兆电口。</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将运维人员离散维护主机及网络设备的行为统一到该平台进行，加强对系统安全以及运维的控制力。一方面通过集中运维，减少因离散操作导致的失</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误，提高工作效率，如新的安全策略在主机上的统一应用等；另一方面通过对所有用户在主机上的操作行为进行监控与记录，实时了解用户的操作行</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为，发现风险及时中止用户的操作，并记录下用户所有的操作行为，便于进行事后的审查与取证。堡垒主机内控管理平台(*1套)；产品质保(*3年)；</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软件升级（OSM-1000-B1150）(*3年)；</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83"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87"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151800</w:t>
            </w:r>
          </w:p>
        </w:tc>
        <w:tc>
          <w:tcPr>
            <w:tcW w:w="990"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151800</w:t>
            </w:r>
          </w:p>
        </w:tc>
        <w:tc>
          <w:tcPr>
            <w:tcW w:w="998"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Before w:w="0" w:type="auto"/>
          <w:wAfter w:w="1613" w:type="dxa"/>
          <w:trHeight w:val="0" w:hRule="atLeast"/>
        </w:trPr>
        <w:tc>
          <w:tcPr>
            <w:tcW w:w="1195" w:type="dxa"/>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95" w:type="dxa"/>
            <w:gridSpan w:val="2"/>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95" w:type="dxa"/>
            <w:gridSpan w:val="2"/>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0" w:type="dxa"/>
            <w:gridSpan w:val="3"/>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PC、服务器之间横向威胁、跳板攻击、病毒扩散，</w:t>
            </w:r>
          </w:p>
        </w:tc>
        <w:tc>
          <w:tcPr>
            <w:tcW w:w="906" w:type="dxa"/>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783" w:type="dxa"/>
            <w:gridSpan w:val="2"/>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887" w:type="dxa"/>
            <w:gridSpan w:val="2"/>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0" w:type="dxa"/>
            <w:gridSpan w:val="2"/>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998" w:type="dxa"/>
            <w:gridSpan w:val="2"/>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Before w:w="0" w:type="auto"/>
          <w:wAfter w:w="1613" w:type="dxa"/>
          <w:trHeight w:val="0" w:hRule="atLeast"/>
        </w:trPr>
        <w:tc>
          <w:tcPr>
            <w:tcW w:w="1195" w:type="dxa"/>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1195" w:type="dxa"/>
            <w:gridSpan w:val="2"/>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95" w:type="dxa"/>
            <w:gridSpan w:val="2"/>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终端安全防护</w:t>
            </w:r>
          </w:p>
        </w:tc>
        <w:tc>
          <w:tcPr>
            <w:tcW w:w="4690" w:type="dxa"/>
            <w:gridSpan w:val="3"/>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终端检测响应管理平台和终端安全软件，管理平台的功能包含终端资产管理，集中安全检测策略和响应配置的管控。终端安全软件包含主机安全检测、主机合规审查、安全防护和响应能力。</w:t>
            </w:r>
          </w:p>
        </w:tc>
        <w:tc>
          <w:tcPr>
            <w:tcW w:w="906" w:type="dxa"/>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83" w:type="dxa"/>
            <w:gridSpan w:val="2"/>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87" w:type="dxa"/>
            <w:gridSpan w:val="2"/>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36880</w:t>
            </w:r>
          </w:p>
        </w:tc>
        <w:tc>
          <w:tcPr>
            <w:tcW w:w="990" w:type="dxa"/>
            <w:gridSpan w:val="2"/>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36880</w:t>
            </w:r>
          </w:p>
        </w:tc>
        <w:tc>
          <w:tcPr>
            <w:tcW w:w="998" w:type="dxa"/>
            <w:gridSpan w:val="2"/>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Before w:w="0" w:type="auto"/>
          <w:wAfter w:w="1613" w:type="dxa"/>
          <w:trHeight w:val="0" w:hRule="atLeast"/>
        </w:trPr>
        <w:tc>
          <w:tcPr>
            <w:tcW w:w="119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1195" w:type="dxa"/>
            <w:gridSpan w:val="2"/>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95"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WEB防火墙</w:t>
            </w:r>
          </w:p>
        </w:tc>
        <w:tc>
          <w:tcPr>
            <w:tcW w:w="4690" w:type="dxa"/>
            <w:gridSpan w:val="3"/>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性能参数：</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网络层吞吐量：6Gbps；HTTP应用层吞吐量：</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430Mbps；HTTP新建连接数：60000；HTTP并发连</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接数：1800000；硬件参数：</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规格：1U，内存大小：4G；</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硬盘容量：64GBminisataSSD；</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电源：单电源；接口：6千兆电口+4千兆光口SFP。</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83"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887"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151800</w:t>
            </w:r>
          </w:p>
        </w:tc>
        <w:tc>
          <w:tcPr>
            <w:tcW w:w="990"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151800</w:t>
            </w:r>
          </w:p>
        </w:tc>
        <w:tc>
          <w:tcPr>
            <w:tcW w:w="998"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1613" w:type="dxa"/>
          <w:trHeight w:val="1282" w:hRule="atLeast"/>
        </w:trPr>
        <w:tc>
          <w:tcPr>
            <w:tcW w:w="119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26</w:t>
            </w:r>
          </w:p>
        </w:tc>
        <w:tc>
          <w:tcPr>
            <w:tcW w:w="1195" w:type="dxa"/>
            <w:gridSpan w:val="2"/>
            <w:vMerge w:val="restart"/>
            <w:tcBorders>
              <w:bottom w:val="nil"/>
            </w:tcBorders>
            <w:textDirection w:val="tbRlV"/>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调度中心服务</w:t>
            </w:r>
          </w:p>
        </w:tc>
        <w:tc>
          <w:tcPr>
            <w:tcW w:w="1195" w:type="dxa"/>
            <w:gridSpan w:val="2"/>
            <w:vMerge w:val="restart"/>
            <w:tcBorders>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操作台</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激光打</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印机</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工程师</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站</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录音电</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话</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半球摄</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像机</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摄像头</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枪机</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硬盘录</w:t>
            </w: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像机</w:t>
            </w:r>
          </w:p>
        </w:tc>
        <w:tc>
          <w:tcPr>
            <w:tcW w:w="4690" w:type="dxa"/>
            <w:gridSpan w:val="3"/>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6联操作台（含6办公椅）；框架结构：模块化设计内部主框架为2.0mm冷轧钢板，前后门板为1.2mm冷轧钢板，背墙采用铝型材，防静电喷塑处理；台面板：实木颗粒板，E1级环保标准。</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83"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组</w:t>
            </w:r>
          </w:p>
        </w:tc>
        <w:tc>
          <w:tcPr>
            <w:tcW w:w="887"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10000</w:t>
            </w:r>
          </w:p>
        </w:tc>
        <w:tc>
          <w:tcPr>
            <w:tcW w:w="990"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20000</w:t>
            </w:r>
          </w:p>
        </w:tc>
        <w:tc>
          <w:tcPr>
            <w:tcW w:w="998"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1613" w:type="dxa"/>
          <w:trHeight w:val="677" w:hRule="atLeast"/>
        </w:trPr>
        <w:tc>
          <w:tcPr>
            <w:tcW w:w="119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27</w:t>
            </w:r>
          </w:p>
        </w:tc>
        <w:tc>
          <w:tcPr>
            <w:tcW w:w="1195" w:type="dxa"/>
            <w:gridSpan w:val="2"/>
            <w:vMerge w:val="continue"/>
            <w:tcBorders>
              <w:top w:val="nil"/>
              <w:bottom w:val="nil"/>
            </w:tcBorders>
            <w:textDirection w:val="tbRlV"/>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95" w:type="dxa"/>
            <w:gridSpan w:val="2"/>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0" w:type="dxa"/>
            <w:gridSpan w:val="3"/>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彩色激光扫描类型，平板式支持A4、A3</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83"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87"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5000</w:t>
            </w:r>
          </w:p>
        </w:tc>
        <w:tc>
          <w:tcPr>
            <w:tcW w:w="990"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10000</w:t>
            </w:r>
          </w:p>
        </w:tc>
        <w:tc>
          <w:tcPr>
            <w:tcW w:w="998"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1613" w:type="dxa"/>
          <w:trHeight w:val="998" w:hRule="atLeast"/>
        </w:trPr>
        <w:tc>
          <w:tcPr>
            <w:tcW w:w="119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28</w:t>
            </w:r>
          </w:p>
        </w:tc>
        <w:tc>
          <w:tcPr>
            <w:tcW w:w="1195" w:type="dxa"/>
            <w:gridSpan w:val="2"/>
            <w:vMerge w:val="continue"/>
            <w:tcBorders>
              <w:top w:val="nil"/>
              <w:bottom w:val="nil"/>
            </w:tcBorders>
            <w:textDirection w:val="tbRlV"/>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95" w:type="dxa"/>
            <w:gridSpan w:val="2"/>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0" w:type="dxa"/>
            <w:gridSpan w:val="3"/>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i7处理器,16GBDDR4，SSD256G+机械硬盘1T，2G独立显卡，双千兆网口；正版Win10操作系统，27英寸显示器，一机双屏（配备支架），配套鼠标键盘。</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783"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87"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9630</w:t>
            </w:r>
          </w:p>
        </w:tc>
        <w:tc>
          <w:tcPr>
            <w:tcW w:w="990"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115560</w:t>
            </w:r>
          </w:p>
        </w:tc>
        <w:tc>
          <w:tcPr>
            <w:tcW w:w="998"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1613" w:type="dxa"/>
          <w:trHeight w:val="744" w:hRule="atLeast"/>
        </w:trPr>
        <w:tc>
          <w:tcPr>
            <w:tcW w:w="119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29</w:t>
            </w:r>
          </w:p>
        </w:tc>
        <w:tc>
          <w:tcPr>
            <w:tcW w:w="1195" w:type="dxa"/>
            <w:gridSpan w:val="2"/>
            <w:vMerge w:val="continue"/>
            <w:tcBorders>
              <w:top w:val="nil"/>
              <w:bottom w:val="nil"/>
            </w:tcBorders>
            <w:textDirection w:val="tbRlV"/>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95" w:type="dxa"/>
            <w:gridSpan w:val="2"/>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0" w:type="dxa"/>
            <w:gridSpan w:val="3"/>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录音时间1500小时，内置数字芯片，支持电话本和黑名单以及中文显示等功能，支持强制录音、应答留言、现场录音等多种录音模式。</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83"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87"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2500</w:t>
            </w:r>
          </w:p>
        </w:tc>
        <w:tc>
          <w:tcPr>
            <w:tcW w:w="990"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5000</w:t>
            </w:r>
          </w:p>
        </w:tc>
        <w:tc>
          <w:tcPr>
            <w:tcW w:w="998"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1613" w:type="dxa"/>
          <w:trHeight w:val="823" w:hRule="atLeast"/>
        </w:trPr>
        <w:tc>
          <w:tcPr>
            <w:tcW w:w="119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30</w:t>
            </w:r>
          </w:p>
        </w:tc>
        <w:tc>
          <w:tcPr>
            <w:tcW w:w="1195" w:type="dxa"/>
            <w:gridSpan w:val="2"/>
            <w:vMerge w:val="continue"/>
            <w:tcBorders>
              <w:top w:val="nil"/>
              <w:bottom w:val="nil"/>
            </w:tcBorders>
            <w:textDirection w:val="tbRlV"/>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95" w:type="dxa"/>
            <w:gridSpan w:val="2"/>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0" w:type="dxa"/>
            <w:gridSpan w:val="3"/>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400万像素2K高清，H.265编码，红外30米。</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83"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87"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450</w:t>
            </w:r>
          </w:p>
        </w:tc>
        <w:tc>
          <w:tcPr>
            <w:tcW w:w="990"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900</w:t>
            </w:r>
          </w:p>
        </w:tc>
        <w:tc>
          <w:tcPr>
            <w:tcW w:w="998"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1613" w:type="dxa"/>
          <w:trHeight w:val="533" w:hRule="atLeast"/>
        </w:trPr>
        <w:tc>
          <w:tcPr>
            <w:tcW w:w="119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31</w:t>
            </w:r>
          </w:p>
        </w:tc>
        <w:tc>
          <w:tcPr>
            <w:tcW w:w="1195" w:type="dxa"/>
            <w:gridSpan w:val="2"/>
            <w:vMerge w:val="continue"/>
            <w:tcBorders>
              <w:top w:val="nil"/>
              <w:bottom w:val="nil"/>
            </w:tcBorders>
            <w:textDirection w:val="tbRlV"/>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95" w:type="dxa"/>
            <w:gridSpan w:val="2"/>
            <w:vMerge w:val="continue"/>
            <w:tcBorders>
              <w:top w:val="nil"/>
              <w:bottom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0" w:type="dxa"/>
            <w:gridSpan w:val="3"/>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400万像素2K高清，H.265编码，红外30米。</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783"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87"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450</w:t>
            </w:r>
          </w:p>
        </w:tc>
        <w:tc>
          <w:tcPr>
            <w:tcW w:w="990"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3150</w:t>
            </w:r>
          </w:p>
        </w:tc>
        <w:tc>
          <w:tcPr>
            <w:tcW w:w="998"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1613" w:type="dxa"/>
          <w:trHeight w:val="533" w:hRule="atLeast"/>
        </w:trPr>
        <w:tc>
          <w:tcPr>
            <w:tcW w:w="119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32</w:t>
            </w:r>
          </w:p>
        </w:tc>
        <w:tc>
          <w:tcPr>
            <w:tcW w:w="1195" w:type="dxa"/>
            <w:gridSpan w:val="2"/>
            <w:vMerge w:val="continue"/>
            <w:tcBorders>
              <w:top w:val="nil"/>
            </w:tcBorders>
            <w:textDirection w:val="tbRlV"/>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1195" w:type="dxa"/>
            <w:gridSpan w:val="2"/>
            <w:vMerge w:val="continue"/>
            <w:tcBorders>
              <w:top w:val="nil"/>
            </w:tcBorders>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4690" w:type="dxa"/>
            <w:gridSpan w:val="3"/>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1个8路NVR、含1块4T硬盘。</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83"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887"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1500</w:t>
            </w:r>
          </w:p>
        </w:tc>
        <w:tc>
          <w:tcPr>
            <w:tcW w:w="990"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3000</w:t>
            </w:r>
          </w:p>
        </w:tc>
        <w:tc>
          <w:tcPr>
            <w:tcW w:w="998"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1613" w:type="dxa"/>
          <w:trHeight w:val="435" w:hRule="atLeast"/>
        </w:trPr>
        <w:tc>
          <w:tcPr>
            <w:tcW w:w="119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33</w:t>
            </w:r>
          </w:p>
        </w:tc>
        <w:tc>
          <w:tcPr>
            <w:tcW w:w="1195"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安全服务</w:t>
            </w:r>
          </w:p>
        </w:tc>
        <w:tc>
          <w:tcPr>
            <w:tcW w:w="1195"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三级等保</w:t>
            </w:r>
          </w:p>
        </w:tc>
        <w:tc>
          <w:tcPr>
            <w:tcW w:w="4690" w:type="dxa"/>
            <w:gridSpan w:val="3"/>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网络安全等保三级测评</w:t>
            </w:r>
          </w:p>
        </w:tc>
        <w:tc>
          <w:tcPr>
            <w:tcW w:w="906"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783"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年</w:t>
            </w:r>
          </w:p>
        </w:tc>
        <w:tc>
          <w:tcPr>
            <w:tcW w:w="887"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61000</w:t>
            </w:r>
          </w:p>
        </w:tc>
        <w:tc>
          <w:tcPr>
            <w:tcW w:w="990"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305000</w:t>
            </w:r>
          </w:p>
        </w:tc>
        <w:tc>
          <w:tcPr>
            <w:tcW w:w="998"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1613" w:type="dxa"/>
          <w:trHeight w:val="621" w:hRule="atLeast"/>
        </w:trPr>
        <w:tc>
          <w:tcPr>
            <w:tcW w:w="1195" w:type="dxa"/>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c>
          <w:tcPr>
            <w:tcW w:w="2390" w:type="dxa"/>
            <w:gridSpan w:val="4"/>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合计</w:t>
            </w:r>
          </w:p>
        </w:tc>
        <w:tc>
          <w:tcPr>
            <w:tcW w:w="7266" w:type="dxa"/>
            <w:gridSpan w:val="8"/>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大写：伍佰贰拾壹万捌仟壹佰叁拾壹元整</w:t>
            </w:r>
          </w:p>
        </w:tc>
        <w:tc>
          <w:tcPr>
            <w:tcW w:w="990"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5218131</w:t>
            </w:r>
          </w:p>
        </w:tc>
        <w:tc>
          <w:tcPr>
            <w:tcW w:w="998" w:type="dxa"/>
            <w:gridSpan w:val="2"/>
            <w:vAlign w:val="top"/>
          </w:tcPr>
          <w:p>
            <w:pPr>
              <w:pStyle w:val="14"/>
              <w:keepNext w:val="0"/>
              <w:keepLines w:val="0"/>
              <w:pageBreakBefore w:val="0"/>
              <w:kinsoku/>
              <w:wordWrap/>
              <w:overflowPunct/>
              <w:topLinePunct w:val="0"/>
              <w:autoSpaceDE/>
              <w:autoSpaceDN/>
              <w:bidi w:val="0"/>
              <w:spacing w:line="375" w:lineRule="auto"/>
              <w:ind w:firstLine="0"/>
              <w:jc w:val="center"/>
              <w:textAlignment w:val="auto"/>
              <w:rPr>
                <w:rFonts w:hint="eastAsia" w:ascii="宋体" w:hAnsi="宋体" w:eastAsia="宋体" w:cs="宋体"/>
                <w:sz w:val="24"/>
                <w:szCs w:val="24"/>
              </w:rPr>
            </w:pPr>
          </w:p>
        </w:tc>
      </w:tr>
    </w:tbl>
    <w:p>
      <w:pPr>
        <w:pStyle w:val="2"/>
        <w:keepNext w:val="0"/>
        <w:keepLines w:val="0"/>
        <w:pageBreakBefore w:val="0"/>
        <w:kinsoku/>
        <w:wordWrap/>
        <w:overflowPunct/>
        <w:topLinePunct w:val="0"/>
        <w:autoSpaceDE/>
        <w:autoSpaceDN/>
        <w:bidi w:val="0"/>
        <w:ind w:firstLine="0"/>
        <w:textAlignment w:val="auto"/>
      </w:pPr>
    </w:p>
    <w:p>
      <w:pPr>
        <w:keepNext w:val="0"/>
        <w:keepLines w:val="0"/>
        <w:pageBreakBefore w:val="0"/>
        <w:kinsoku/>
        <w:wordWrap/>
        <w:overflowPunct/>
        <w:topLinePunct w:val="0"/>
        <w:autoSpaceDE/>
        <w:autoSpaceDN/>
        <w:bidi w:val="0"/>
        <w:ind w:firstLine="0"/>
        <w:textAlignment w:val="auto"/>
        <w:sectPr>
          <w:pgSz w:w="16837" w:h="11905"/>
          <w:pgMar w:top="1440" w:right="1800" w:bottom="1440" w:left="1800" w:header="0" w:footer="0" w:gutter="0"/>
          <w:cols w:space="720" w:num="1"/>
        </w:sectPr>
      </w:pPr>
    </w:p>
    <w:p>
      <w:pPr>
        <w:keepNext/>
        <w:keepLines/>
        <w:widowControl w:val="0"/>
        <w:numPr>
          <w:ilvl w:val="0"/>
          <w:numId w:val="1"/>
        </w:numPr>
        <w:adjustRightInd/>
        <w:snapToGrid/>
        <w:spacing w:before="100" w:beforeAutospacing="1" w:after="100" w:afterAutospacing="1" w:line="312" w:lineRule="auto"/>
        <w:ind w:firstLine="562" w:firstLineChars="200"/>
        <w:jc w:val="both"/>
        <w:outlineLvl w:val="2"/>
        <w:rPr>
          <w:rFonts w:ascii="宋体" w:hAnsi="宋体" w:eastAsia="宋体" w:cs="宋体"/>
          <w:b/>
          <w:bCs/>
          <w:kern w:val="2"/>
          <w:sz w:val="28"/>
          <w:szCs w:val="28"/>
        </w:rPr>
      </w:pPr>
      <w:bookmarkStart w:id="35" w:name="_Toc24464"/>
      <w:bookmarkStart w:id="36" w:name="_Toc20996"/>
      <w:bookmarkStart w:id="37" w:name="_Toc1437326247"/>
      <w:bookmarkStart w:id="45" w:name="_GoBack"/>
      <w:bookmarkEnd w:id="45"/>
      <w:r>
        <w:rPr>
          <w:rFonts w:hint="eastAsia" w:ascii="宋体" w:hAnsi="宋体" w:eastAsia="宋体" w:cs="宋体"/>
          <w:b/>
          <w:bCs/>
          <w:kern w:val="2"/>
          <w:sz w:val="28"/>
          <w:szCs w:val="28"/>
        </w:rPr>
        <w:t>设计联络、技术资料及培训要求</w:t>
      </w:r>
      <w:bookmarkEnd w:id="35"/>
      <w:bookmarkEnd w:id="36"/>
      <w:bookmarkEnd w:id="37"/>
    </w:p>
    <w:p>
      <w:pPr>
        <w:keepNext/>
        <w:keepLines/>
        <w:widowControl w:val="0"/>
        <w:numPr>
          <w:ilvl w:val="1"/>
          <w:numId w:val="1"/>
        </w:numPr>
        <w:adjustRightInd/>
        <w:snapToGrid/>
        <w:spacing w:before="100" w:beforeAutospacing="1" w:after="100" w:afterAutospacing="1" w:line="312" w:lineRule="auto"/>
        <w:ind w:firstLine="562" w:firstLineChars="200"/>
        <w:jc w:val="both"/>
        <w:outlineLvl w:val="3"/>
        <w:rPr>
          <w:rFonts w:ascii="Arial" w:hAnsi="Arial" w:eastAsia="黑体" w:cs="Times New Roman"/>
          <w:b/>
          <w:kern w:val="2"/>
          <w:sz w:val="28"/>
          <w:szCs w:val="28"/>
        </w:rPr>
      </w:pPr>
      <w:bookmarkStart w:id="38" w:name="_Toc23109"/>
      <w:r>
        <w:rPr>
          <w:rFonts w:hint="eastAsia" w:ascii="Arial" w:hAnsi="Arial" w:eastAsia="黑体" w:cs="Times New Roman"/>
          <w:b/>
          <w:kern w:val="2"/>
          <w:sz w:val="28"/>
          <w:szCs w:val="28"/>
        </w:rPr>
        <w:t>技术资料</w:t>
      </w:r>
      <w:bookmarkEnd w:id="38"/>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投标人应当按照项目进度计划提供各个阶段的签字版施工方案和签字版技术文件。</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投标人提供的资料应使用国家法定单位制即国际单位制，语言为中文，进口部件的外文图纸及文件应由投标人翻译成中文（免费）。</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投标人需在合同签订后5个工作日内给出全部技术资料和交付进度清单，并经招标人确认。</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每周报送阶段进展及下周工作计划；技术资料应在系统验收时一并交付于招标人。</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资料的组织结构清晰、逻辑性强。资料内容要正确、准确、一致、清晰完整，满足工程要求。对于其它的技术资料清单，却是工程所必需的文件和资料，一经发现，投标人也应及时免费提供。包含但不限于以下内容：</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实施过程中的签字版施工方案、技术文件、工程变更协议等。</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竣工后的集控中心硬件设备的说明书、原理图、网络图、控制逻辑说明、培训课件等相关所有资料。</w:t>
      </w:r>
    </w:p>
    <w:p>
      <w:pPr>
        <w:keepNext/>
        <w:keepLines/>
        <w:widowControl w:val="0"/>
        <w:numPr>
          <w:ilvl w:val="1"/>
          <w:numId w:val="1"/>
        </w:numPr>
        <w:adjustRightInd/>
        <w:snapToGrid/>
        <w:spacing w:before="100" w:beforeAutospacing="1" w:after="100" w:afterAutospacing="1" w:line="312" w:lineRule="auto"/>
        <w:ind w:firstLine="562" w:firstLineChars="200"/>
        <w:jc w:val="both"/>
        <w:outlineLvl w:val="3"/>
        <w:rPr>
          <w:rFonts w:ascii="Arial" w:hAnsi="Arial" w:eastAsia="黑体" w:cs="Times New Roman"/>
          <w:b/>
          <w:kern w:val="2"/>
          <w:sz w:val="28"/>
          <w:szCs w:val="28"/>
        </w:rPr>
      </w:pPr>
      <w:bookmarkStart w:id="39" w:name="_Toc21522"/>
      <w:r>
        <w:rPr>
          <w:rFonts w:hint="eastAsia" w:ascii="Arial" w:hAnsi="Arial" w:eastAsia="黑体" w:cs="Times New Roman"/>
          <w:b/>
          <w:kern w:val="2"/>
          <w:sz w:val="28"/>
          <w:szCs w:val="28"/>
        </w:rPr>
        <w:t>培训</w:t>
      </w:r>
      <w:bookmarkEnd w:id="39"/>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投标人有经验的专家应采用现代化的培训手段安排培训课程。</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每位教员均应具备正规课堂讲学的经验。教员应负责教会学员掌握培训课程的内容，提供如何使用技术资料的指导，并解答学员在培训过程中提出的有关问题。</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投标人向学员提供必要的技术资料、图纸、设备、仪表和安全防护用具。</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投标人应提出一份初步培训计划。正式的培训计划将经双方协商后确定。</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bookmarkStart w:id="40" w:name="_Toc26499"/>
      <w:bookmarkStart w:id="41" w:name="_Toc5888"/>
      <w:r>
        <w:rPr>
          <w:rFonts w:hint="eastAsia" w:ascii="Calibri" w:hAnsi="Calibri" w:eastAsia="宋体" w:cs="Times New Roman"/>
          <w:kern w:val="2"/>
          <w:sz w:val="28"/>
          <w:szCs w:val="28"/>
        </w:rPr>
        <w:t>现场培训至少应有下列内容：</w:t>
      </w:r>
      <w:bookmarkEnd w:id="40"/>
      <w:bookmarkEnd w:id="41"/>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集控中心系统的基本知识和系统组态。</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集控中心系统的安装、检查、排除故障、在线联调和维修等课程。</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人-机接口的应用培训。</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培训的时间、人数、地点等具体内容由双方商定，投标人为招标人培训人员提供设备、场地、资料等培训条件，并提供食宿和交通方便。</w:t>
      </w:r>
    </w:p>
    <w:p>
      <w:pPr>
        <w:keepNext/>
        <w:keepLines/>
        <w:widowControl w:val="0"/>
        <w:numPr>
          <w:ilvl w:val="0"/>
          <w:numId w:val="1"/>
        </w:numPr>
        <w:adjustRightInd/>
        <w:snapToGrid/>
        <w:spacing w:before="100" w:beforeAutospacing="1" w:after="100" w:afterAutospacing="1" w:line="312" w:lineRule="auto"/>
        <w:ind w:firstLine="562" w:firstLineChars="200"/>
        <w:jc w:val="both"/>
        <w:outlineLvl w:val="2"/>
        <w:rPr>
          <w:rFonts w:ascii="宋体" w:hAnsi="宋体" w:eastAsia="宋体" w:cs="宋体"/>
          <w:b/>
          <w:bCs/>
          <w:kern w:val="2"/>
          <w:sz w:val="28"/>
          <w:szCs w:val="28"/>
        </w:rPr>
      </w:pPr>
      <w:bookmarkStart w:id="42" w:name="_Toc98688226"/>
      <w:bookmarkStart w:id="43" w:name="_Toc8085"/>
      <w:bookmarkStart w:id="44" w:name="_Toc11312"/>
      <w:r>
        <w:rPr>
          <w:rFonts w:hint="eastAsia" w:ascii="宋体" w:hAnsi="宋体" w:eastAsia="宋体" w:cs="宋体"/>
          <w:b/>
          <w:bCs/>
          <w:kern w:val="2"/>
          <w:sz w:val="28"/>
          <w:szCs w:val="28"/>
        </w:rPr>
        <w:t>售后服务</w:t>
      </w:r>
      <w:bookmarkEnd w:id="42"/>
      <w:bookmarkEnd w:id="43"/>
      <w:bookmarkEnd w:id="44"/>
    </w:p>
    <w:p>
      <w:pPr>
        <w:widowControl w:val="0"/>
        <w:numPr>
          <w:ilvl w:val="1"/>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本项目整体质保期三年，在接到故障服务申请后两小时内给予必要的答复，出现特殊故障时应当天在现场处理。终生提供免费咨询服务。</w:t>
      </w:r>
    </w:p>
    <w:p>
      <w:pPr>
        <w:keepNext/>
        <w:keepLines/>
        <w:widowControl w:val="0"/>
        <w:numPr>
          <w:ilvl w:val="0"/>
          <w:numId w:val="1"/>
        </w:numPr>
        <w:adjustRightInd/>
        <w:snapToGrid/>
        <w:spacing w:before="100" w:beforeAutospacing="1" w:after="100" w:afterAutospacing="1" w:line="312" w:lineRule="auto"/>
        <w:ind w:firstLine="562" w:firstLineChars="200"/>
        <w:jc w:val="both"/>
        <w:outlineLvl w:val="2"/>
        <w:rPr>
          <w:rFonts w:ascii="宋体" w:hAnsi="宋体" w:eastAsia="宋体" w:cs="宋体"/>
          <w:b/>
          <w:bCs/>
          <w:kern w:val="2"/>
          <w:sz w:val="28"/>
          <w:szCs w:val="28"/>
        </w:rPr>
      </w:pPr>
      <w:r>
        <w:rPr>
          <w:rFonts w:hint="eastAsia" w:ascii="宋体" w:hAnsi="宋体" w:eastAsia="宋体" w:cs="宋体"/>
          <w:b/>
          <w:bCs/>
          <w:kern w:val="2"/>
          <w:sz w:val="28"/>
          <w:szCs w:val="28"/>
        </w:rPr>
        <w:t>其他</w:t>
      </w:r>
    </w:p>
    <w:p>
      <w:pPr>
        <w:keepNext/>
        <w:keepLines/>
        <w:widowControl w:val="0"/>
        <w:numPr>
          <w:ilvl w:val="1"/>
          <w:numId w:val="1"/>
        </w:numPr>
        <w:adjustRightInd/>
        <w:snapToGrid/>
        <w:spacing w:before="100" w:beforeAutospacing="1" w:after="100" w:afterAutospacing="1" w:line="312" w:lineRule="auto"/>
        <w:ind w:firstLine="582" w:firstLineChars="200"/>
        <w:jc w:val="both"/>
        <w:outlineLvl w:val="3"/>
        <w:rPr>
          <w:rFonts w:ascii="宋体" w:hAnsi="宋体" w:eastAsia="宋体" w:cs="宋体"/>
          <w:b/>
          <w:spacing w:val="5"/>
          <w:kern w:val="2"/>
          <w:sz w:val="28"/>
          <w:szCs w:val="28"/>
        </w:rPr>
      </w:pPr>
      <w:r>
        <w:rPr>
          <w:rFonts w:hint="eastAsia" w:ascii="宋体" w:hAnsi="宋体" w:eastAsia="宋体" w:cs="宋体"/>
          <w:b/>
          <w:spacing w:val="5"/>
          <w:kern w:val="2"/>
          <w:sz w:val="28"/>
          <w:szCs w:val="28"/>
        </w:rPr>
        <w:t>系统性能要求</w:t>
      </w:r>
    </w:p>
    <w:p>
      <w:pPr>
        <w:adjustRightInd/>
        <w:snapToGrid/>
        <w:spacing w:before="100" w:beforeAutospacing="1" w:after="100" w:afterAutospacing="1" w:line="312" w:lineRule="auto"/>
        <w:ind w:firstLine="560" w:firstLineChars="200"/>
        <w:jc w:val="both"/>
        <w:rPr>
          <w:rFonts w:ascii="宋体" w:hAnsi="宋体" w:eastAsia="宋体" w:cs="宋体"/>
          <w:spacing w:val="5"/>
          <w:kern w:val="2"/>
          <w:sz w:val="28"/>
          <w:szCs w:val="28"/>
        </w:rPr>
      </w:pPr>
      <w:r>
        <w:rPr>
          <w:rFonts w:hint="eastAsia" w:ascii="宋体" w:hAnsi="宋体" w:eastAsia="宋体" w:cs="宋体"/>
          <w:kern w:val="2"/>
          <w:sz w:val="28"/>
          <w:szCs w:val="28"/>
        </w:rPr>
        <w:t>本采购项目系统需满足不低于600用户并发响应能力。在数据响应和界面承载方面都要达到不会出现界面混乱、数据报错、触发按钮功能缺失、操作频繁或者快速容易崩溃的问题。</w:t>
      </w:r>
    </w:p>
    <w:p>
      <w:pPr>
        <w:keepNext/>
        <w:keepLines/>
        <w:widowControl w:val="0"/>
        <w:numPr>
          <w:ilvl w:val="1"/>
          <w:numId w:val="1"/>
        </w:numPr>
        <w:adjustRightInd/>
        <w:snapToGrid/>
        <w:spacing w:before="100" w:beforeAutospacing="1" w:after="100" w:afterAutospacing="1" w:line="312" w:lineRule="auto"/>
        <w:ind w:firstLine="582" w:firstLineChars="200"/>
        <w:jc w:val="both"/>
        <w:outlineLvl w:val="3"/>
        <w:rPr>
          <w:rFonts w:ascii="宋体" w:hAnsi="宋体" w:eastAsia="宋体" w:cs="宋体"/>
          <w:b/>
          <w:spacing w:val="5"/>
          <w:kern w:val="2"/>
          <w:sz w:val="28"/>
          <w:szCs w:val="28"/>
        </w:rPr>
      </w:pPr>
      <w:r>
        <w:rPr>
          <w:rFonts w:hint="eastAsia" w:ascii="宋体" w:hAnsi="宋体" w:eastAsia="宋体" w:cs="宋体"/>
          <w:b/>
          <w:spacing w:val="5"/>
          <w:kern w:val="2"/>
          <w:sz w:val="28"/>
          <w:szCs w:val="28"/>
        </w:rPr>
        <w:t>安全</w:t>
      </w:r>
      <w:r>
        <w:rPr>
          <w:rFonts w:ascii="宋体" w:hAnsi="宋体" w:eastAsia="宋体" w:cs="宋体"/>
          <w:b/>
          <w:spacing w:val="5"/>
          <w:kern w:val="2"/>
          <w:sz w:val="28"/>
          <w:szCs w:val="28"/>
        </w:rPr>
        <w:t>要求</w:t>
      </w:r>
    </w:p>
    <w:p>
      <w:pPr>
        <w:adjustRightInd/>
        <w:snapToGrid/>
        <w:spacing w:before="100" w:beforeAutospacing="1" w:after="100" w:afterAutospacing="1" w:line="312" w:lineRule="auto"/>
        <w:ind w:firstLine="560" w:firstLineChars="200"/>
        <w:jc w:val="both"/>
        <w:rPr>
          <w:rFonts w:ascii="宋体" w:hAnsi="宋体" w:eastAsia="宋体" w:cs="宋体"/>
          <w:kern w:val="2"/>
          <w:sz w:val="28"/>
          <w:szCs w:val="28"/>
        </w:rPr>
      </w:pPr>
      <w:r>
        <w:rPr>
          <w:rFonts w:hint="eastAsia" w:ascii="宋体" w:hAnsi="宋体" w:eastAsia="宋体" w:cs="宋体"/>
          <w:kern w:val="2"/>
          <w:sz w:val="28"/>
          <w:szCs w:val="28"/>
        </w:rPr>
        <w:t>代码编写应符合国家有关安全编码规范，定制开发的应用软件正式上线前应满足信息安全等级保护三级要求，需配合完成后续等保评测、软件测试及风险评估等安全整改工作，并根据需要配合完成密码应用与安全性评估。</w:t>
      </w:r>
    </w:p>
    <w:p>
      <w:pPr>
        <w:adjustRightInd/>
        <w:snapToGrid/>
        <w:spacing w:before="100" w:beforeAutospacing="1" w:after="100" w:afterAutospacing="1" w:line="312" w:lineRule="auto"/>
        <w:ind w:firstLine="560" w:firstLineChars="200"/>
        <w:jc w:val="both"/>
        <w:rPr>
          <w:rFonts w:ascii="宋体" w:hAnsi="宋体" w:eastAsia="宋体" w:cs="宋体"/>
          <w:spacing w:val="5"/>
          <w:kern w:val="2"/>
          <w:sz w:val="28"/>
          <w:szCs w:val="28"/>
        </w:rPr>
      </w:pPr>
      <w:r>
        <w:rPr>
          <w:rFonts w:hint="eastAsia" w:ascii="宋体" w:hAnsi="宋体" w:eastAsia="宋体" w:cs="宋体"/>
          <w:kern w:val="2"/>
          <w:sz w:val="28"/>
          <w:szCs w:val="28"/>
        </w:rPr>
        <w:t>中标人需建立规范的保密制度，需与招标人签订安全保密协议，在项目服务期中确保数据安全，所有数据资源未经招标人及相关源数据提供部门许可，中标人不得使用。</w:t>
      </w:r>
    </w:p>
    <w:p>
      <w:pPr>
        <w:keepNext/>
        <w:keepLines/>
        <w:widowControl w:val="0"/>
        <w:numPr>
          <w:ilvl w:val="1"/>
          <w:numId w:val="1"/>
        </w:numPr>
        <w:adjustRightInd/>
        <w:snapToGrid/>
        <w:spacing w:before="100" w:beforeAutospacing="1" w:after="100" w:afterAutospacing="1" w:line="312" w:lineRule="auto"/>
        <w:ind w:firstLine="582" w:firstLineChars="200"/>
        <w:jc w:val="both"/>
        <w:outlineLvl w:val="3"/>
        <w:rPr>
          <w:rFonts w:ascii="宋体" w:hAnsi="宋体" w:eastAsia="宋体" w:cs="宋体"/>
          <w:b/>
          <w:spacing w:val="5"/>
          <w:kern w:val="2"/>
          <w:sz w:val="28"/>
          <w:szCs w:val="28"/>
        </w:rPr>
      </w:pPr>
      <w:r>
        <w:rPr>
          <w:rFonts w:ascii="宋体" w:hAnsi="宋体" w:eastAsia="宋体" w:cs="宋体"/>
          <w:b/>
          <w:spacing w:val="5"/>
          <w:kern w:val="2"/>
          <w:sz w:val="28"/>
          <w:szCs w:val="28"/>
        </w:rPr>
        <w:t>项目实施要求</w:t>
      </w:r>
      <w:r>
        <w:rPr>
          <w:rFonts w:hint="eastAsia" w:ascii="宋体" w:hAnsi="宋体" w:eastAsia="宋体" w:cs="宋体"/>
          <w:b/>
          <w:spacing w:val="5"/>
          <w:kern w:val="2"/>
          <w:sz w:val="28"/>
          <w:szCs w:val="28"/>
        </w:rPr>
        <w:tab/>
      </w:r>
    </w:p>
    <w:p>
      <w:pPr>
        <w:adjustRightInd/>
        <w:snapToGrid/>
        <w:spacing w:before="100" w:beforeAutospacing="1" w:after="100" w:afterAutospacing="1" w:line="312" w:lineRule="auto"/>
        <w:ind w:firstLine="560" w:firstLineChars="200"/>
        <w:jc w:val="both"/>
        <w:rPr>
          <w:rFonts w:ascii="宋体" w:hAnsi="宋体" w:eastAsia="宋体" w:cs="宋体"/>
          <w:kern w:val="2"/>
          <w:sz w:val="28"/>
          <w:szCs w:val="28"/>
        </w:rPr>
      </w:pPr>
      <w:r>
        <w:rPr>
          <w:rFonts w:hint="eastAsia" w:ascii="宋体" w:hAnsi="宋体" w:eastAsia="宋体" w:cs="宋体"/>
          <w:kern w:val="2"/>
          <w:sz w:val="28"/>
          <w:szCs w:val="28"/>
        </w:rPr>
        <w:t>按照软件工程实施规范，做好工程实施的管理工作，包括但不仅限于以下内容：项目组织实施策略；实施团队的组织结构和人员配备;详细介绍项目组织实施过程；项目实施过程的组织管理和质量控制；项目进度的制定和管理，并确保按计划进度完成；整个信息系统的功能测试、性能测试。</w:t>
      </w:r>
    </w:p>
    <w:p>
      <w:pPr>
        <w:keepNext/>
        <w:keepLines/>
        <w:widowControl w:val="0"/>
        <w:numPr>
          <w:ilvl w:val="1"/>
          <w:numId w:val="1"/>
        </w:numPr>
        <w:adjustRightInd/>
        <w:snapToGrid/>
        <w:spacing w:before="100" w:beforeAutospacing="1" w:after="100" w:afterAutospacing="1" w:line="312" w:lineRule="auto"/>
        <w:ind w:firstLine="582" w:firstLineChars="200"/>
        <w:jc w:val="both"/>
        <w:outlineLvl w:val="3"/>
        <w:rPr>
          <w:rFonts w:ascii="宋体" w:hAnsi="宋体" w:eastAsia="宋体" w:cs="宋体"/>
          <w:b/>
          <w:spacing w:val="5"/>
          <w:kern w:val="2"/>
          <w:sz w:val="28"/>
          <w:szCs w:val="28"/>
        </w:rPr>
      </w:pPr>
      <w:r>
        <w:rPr>
          <w:rFonts w:hint="eastAsia" w:ascii="宋体" w:hAnsi="宋体" w:eastAsia="宋体" w:cs="宋体"/>
          <w:b/>
          <w:spacing w:val="5"/>
          <w:kern w:val="2"/>
          <w:sz w:val="28"/>
          <w:szCs w:val="28"/>
        </w:rPr>
        <w:t>运维服务</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终验完成之后进入保修期；其中投标人提供第三方软件产品的保修期为终验后3年；在保修期内，如果系统发生故障，投标人需要调查故障原因并修复直至满足最终验收指标和性能的要求，或者更换整个或部分有缺陷的设备。</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免费维保期限：软件至少提供3年免费维护，包括3年内软件升级更新、性能调优等服务。</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在保修期内，投标人需提供相应的备件作为应急的备件使用，投标人须及时在保修期内补充备件，使招标人的备件库在保修期内是充足和完备的。在保修期结束后，产品寿命期内投标人必须继续提供对产品备件、故障处理、软件修改等的服务，不得以任何借口拖延或中断对产品的售后服务，售后服务的费用由双方通过商务协商解决，其中备品备件的费用应不高于此次合同价格。</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投标人应给出保修期结束之后对所提供的软硬件系统的服务支持方式和费用。在保修期外，投标人提供如下服务：</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日常技术支持：运维人员7×24小时，接收招标人的服务请求等，不仅为招标人提供问题解决方案，引导招标人完成操作、最终解决问题，并对接收到的问题进行记录及分类汇总分析，技术支持内容需包含以下五方面：</w:t>
      </w:r>
    </w:p>
    <w:p>
      <w:pPr>
        <w:numPr>
          <w:ilvl w:val="0"/>
          <w:numId w:val="5"/>
        </w:numPr>
        <w:spacing w:line="312" w:lineRule="auto"/>
        <w:rPr>
          <w:rFonts w:ascii="宋体" w:hAnsi="宋体" w:eastAsia="宋体" w:cs="Times New Roman"/>
          <w:sz w:val="28"/>
          <w:szCs w:val="28"/>
        </w:rPr>
      </w:pPr>
      <w:r>
        <w:rPr>
          <w:rFonts w:hint="eastAsia" w:ascii="宋体" w:hAnsi="宋体" w:eastAsia="宋体" w:cs="Times New Roman"/>
          <w:sz w:val="28"/>
          <w:szCs w:val="28"/>
        </w:rPr>
        <w:t>技术咨询：主要针对涉及系统的实现原理、日常维护等技术问题提供及时全面的解答。</w:t>
      </w:r>
    </w:p>
    <w:p>
      <w:pPr>
        <w:numPr>
          <w:ilvl w:val="0"/>
          <w:numId w:val="5"/>
        </w:numPr>
        <w:spacing w:line="312" w:lineRule="auto"/>
        <w:rPr>
          <w:rFonts w:ascii="宋体" w:hAnsi="宋体" w:eastAsia="宋体" w:cs="Times New Roman"/>
          <w:sz w:val="28"/>
          <w:szCs w:val="28"/>
        </w:rPr>
      </w:pPr>
      <w:r>
        <w:rPr>
          <w:rFonts w:hint="eastAsia" w:ascii="宋体" w:hAnsi="宋体" w:eastAsia="宋体" w:cs="Times New Roman"/>
          <w:sz w:val="28"/>
          <w:szCs w:val="28"/>
        </w:rPr>
        <w:t>软件功能咨询：主要针对系统对业务处理方法、业务处理原理及流程等在软件功能上反映的问题提供及时全面的解答，辅助招标人完成系统的运行操作。</w:t>
      </w:r>
    </w:p>
    <w:p>
      <w:pPr>
        <w:numPr>
          <w:ilvl w:val="0"/>
          <w:numId w:val="5"/>
        </w:numPr>
        <w:spacing w:line="312" w:lineRule="auto"/>
        <w:rPr>
          <w:rFonts w:ascii="宋体" w:hAnsi="宋体" w:eastAsia="宋体" w:cs="Times New Roman"/>
          <w:sz w:val="28"/>
          <w:szCs w:val="28"/>
        </w:rPr>
      </w:pPr>
      <w:r>
        <w:rPr>
          <w:rFonts w:hint="eastAsia" w:ascii="宋体" w:hAnsi="宋体" w:eastAsia="宋体" w:cs="Times New Roman"/>
          <w:sz w:val="28"/>
          <w:szCs w:val="28"/>
        </w:rPr>
        <w:t>故障定位：主要针对涉及操作问题、软件问题或其它问题，经招标人相关技术人员处理后而无法排除故障的，提供故障定位和咨询，并协助分析故障原因。</w:t>
      </w:r>
    </w:p>
    <w:p>
      <w:pPr>
        <w:numPr>
          <w:ilvl w:val="0"/>
          <w:numId w:val="5"/>
        </w:numPr>
        <w:spacing w:line="312" w:lineRule="auto"/>
        <w:rPr>
          <w:rFonts w:ascii="宋体" w:hAnsi="宋体" w:eastAsia="宋体" w:cs="Times New Roman"/>
          <w:sz w:val="28"/>
          <w:szCs w:val="28"/>
        </w:rPr>
      </w:pPr>
      <w:r>
        <w:rPr>
          <w:rFonts w:hint="eastAsia" w:ascii="宋体" w:hAnsi="宋体" w:eastAsia="宋体" w:cs="Times New Roman"/>
          <w:sz w:val="28"/>
          <w:szCs w:val="28"/>
        </w:rPr>
        <w:t>故障解决：对于系统提供的操作问题、业务需求范围内因操作软件失误而引发的问题引起的故障，提供及时的处理和解决方案。</w:t>
      </w:r>
    </w:p>
    <w:p>
      <w:pPr>
        <w:numPr>
          <w:ilvl w:val="0"/>
          <w:numId w:val="5"/>
        </w:numPr>
        <w:spacing w:line="312" w:lineRule="auto"/>
        <w:rPr>
          <w:rFonts w:ascii="宋体" w:hAnsi="宋体" w:eastAsia="宋体" w:cs="宋体"/>
          <w:sz w:val="28"/>
          <w:szCs w:val="28"/>
        </w:rPr>
      </w:pPr>
      <w:r>
        <w:rPr>
          <w:rFonts w:hint="eastAsia" w:ascii="宋体" w:hAnsi="宋体" w:eastAsia="宋体" w:cs="Times New Roman"/>
          <w:sz w:val="28"/>
          <w:szCs w:val="28"/>
        </w:rPr>
        <w:t>应急响应：对于紧急情况下的故障事件，投标人要配合招标人做好充分的应急预案，第一时间将将负面影响降到最小，1小时内提出解决方案，2小时内排除故障，使系统正常运行，并出具故障诊断报告。若需要现场服务才能解决问题，应在6小时</w:t>
      </w:r>
      <w:r>
        <w:rPr>
          <w:rFonts w:hint="eastAsia" w:ascii="宋体" w:hAnsi="宋体" w:eastAsia="宋体" w:cs="宋体"/>
          <w:sz w:val="28"/>
          <w:szCs w:val="28"/>
        </w:rPr>
        <w:t>内到达。</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远程支持服务：投标人提供热线电话随时回答招标人的各种问题。</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维修服务：具体服务内容包括系统支持、咨询服务和运维服务。</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系统运行支持：具体服务包含系统运行保障、第三方系统接口对接、新增数据采集点接入、平台相关数据收集、数据更新、系统问题收集和功能优化等工作。</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投标人应提供系统支持、咨询服务和运维服务，相关服务内容如下：</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系统支持和咨询服务</w:t>
      </w:r>
    </w:p>
    <w:p>
      <w:pPr>
        <w:spacing w:line="312" w:lineRule="auto"/>
        <w:ind w:firstLine="420"/>
        <w:rPr>
          <w:rFonts w:ascii="宋体" w:hAnsi="宋体" w:eastAsia="宋体" w:cs="Times New Roman"/>
          <w:sz w:val="28"/>
          <w:szCs w:val="28"/>
        </w:rPr>
      </w:pPr>
      <w:r>
        <w:rPr>
          <w:rFonts w:hint="eastAsia" w:ascii="宋体" w:hAnsi="宋体" w:eastAsia="宋体" w:cs="Times New Roman"/>
          <w:sz w:val="28"/>
          <w:szCs w:val="28"/>
        </w:rPr>
        <w:t>投标人应提供专门的技术热线、远程联机支持服务、互联网服务等多种联系方式，确保对于招标人各种问题及时而有效的响应，达到招标人的预期效果。</w:t>
      </w:r>
    </w:p>
    <w:p>
      <w:pPr>
        <w:spacing w:line="312" w:lineRule="auto"/>
        <w:ind w:firstLine="420"/>
        <w:rPr>
          <w:rFonts w:ascii="宋体" w:hAnsi="宋体" w:eastAsia="宋体" w:cs="Times New Roman"/>
          <w:sz w:val="28"/>
          <w:szCs w:val="28"/>
        </w:rPr>
      </w:pPr>
      <w:r>
        <w:rPr>
          <w:rFonts w:hint="eastAsia" w:ascii="宋体" w:hAnsi="宋体" w:eastAsia="宋体" w:cs="Times New Roman"/>
          <w:sz w:val="28"/>
          <w:szCs w:val="28"/>
        </w:rPr>
        <w:t>问题类型定义：</w:t>
      </w:r>
    </w:p>
    <w:p>
      <w:pPr>
        <w:spacing w:line="312" w:lineRule="auto"/>
        <w:ind w:firstLine="420"/>
        <w:rPr>
          <w:rFonts w:ascii="宋体" w:hAnsi="宋体" w:eastAsia="宋体" w:cs="Times New Roman"/>
          <w:sz w:val="28"/>
          <w:szCs w:val="28"/>
        </w:rPr>
      </w:pPr>
      <w:r>
        <w:rPr>
          <w:rFonts w:hint="eastAsia" w:ascii="宋体" w:hAnsi="宋体" w:eastAsia="宋体" w:cs="Times New Roman"/>
          <w:sz w:val="28"/>
          <w:szCs w:val="28"/>
        </w:rPr>
        <w:t>提供7*24的远程技术支持和服务。对于招标人申告的技术问题，投标人在收到招标人电话后两小时内予以响应。对于招标人报告的紧急问题（例如：软件系统无法启动等），投标人在收到招标人电话后一小时内予以响应。同时投标人还为招标人提供时刻在线的电子化支持（互联网/电子邮件/传真）。</w:t>
      </w:r>
    </w:p>
    <w:p>
      <w:pPr>
        <w:spacing w:line="312" w:lineRule="auto"/>
        <w:ind w:firstLine="420"/>
        <w:rPr>
          <w:rFonts w:ascii="宋体" w:hAnsi="宋体" w:eastAsia="宋体" w:cs="Times New Roman"/>
          <w:sz w:val="28"/>
          <w:szCs w:val="28"/>
        </w:rPr>
      </w:pPr>
      <w:r>
        <w:rPr>
          <w:rFonts w:hint="eastAsia" w:ascii="宋体" w:hAnsi="宋体" w:eastAsia="宋体" w:cs="Times New Roman"/>
          <w:sz w:val="28"/>
          <w:szCs w:val="28"/>
        </w:rPr>
        <w:t>对于通过电子化方式报告的软件技术问题，投标人在接到问题报告后的下一个工作日内予以响应。另外，投标人还需为招标人提供每周7天每天24小时的基于互联网的常见问题解答和相关资料查询功能。</w:t>
      </w:r>
    </w:p>
    <w:p>
      <w:pPr>
        <w:spacing w:line="312" w:lineRule="auto"/>
        <w:ind w:firstLine="420"/>
        <w:rPr>
          <w:rFonts w:ascii="宋体" w:hAnsi="宋体" w:eastAsia="宋体" w:cs="Times New Roman"/>
          <w:sz w:val="28"/>
          <w:szCs w:val="28"/>
        </w:rPr>
      </w:pPr>
      <w:r>
        <w:rPr>
          <w:rFonts w:hint="eastAsia" w:ascii="宋体" w:hAnsi="宋体" w:eastAsia="宋体" w:cs="Times New Roman"/>
          <w:sz w:val="28"/>
          <w:szCs w:val="28"/>
        </w:rPr>
        <w:t>针对招标人的系统状况、种类、环境建立详细的安装、日常维护、维修服务档案。详细记录系统的使用、维修情况。建立故障数据库，不断的积累丰富故障处理的资料，为系统管理和维护提供依据。</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因投标人产品而引起的系统故障的限时修复服务</w:t>
      </w:r>
    </w:p>
    <w:p>
      <w:pPr>
        <w:spacing w:line="312" w:lineRule="auto"/>
        <w:ind w:firstLine="420"/>
        <w:rPr>
          <w:rFonts w:ascii="宋体" w:hAnsi="宋体" w:eastAsia="宋体" w:cs="Times New Roman"/>
          <w:sz w:val="28"/>
          <w:szCs w:val="28"/>
        </w:rPr>
      </w:pPr>
      <w:r>
        <w:rPr>
          <w:rFonts w:hint="eastAsia" w:ascii="宋体" w:hAnsi="宋体" w:eastAsia="宋体" w:cs="Times New Roman"/>
          <w:sz w:val="28"/>
          <w:szCs w:val="28"/>
        </w:rPr>
        <w:t>指投标人软件产品自身存在缺陷而导致的故障。例如软件运行过程中出现的异常中断导致的招标人不能正常使用或操作系统与投标人系统适配带来的环境调整等。投标人需通过远程访问，协助招标人排查故障，对软件技术问题的根源进行分析与诊断，指导招标人对系统进行系统恢复，并向招标人提供最终的维护报告。对远程无法解决的故障，投标人需派工程师赶赴现场恢复系统，指导排除故障。对于已确定的投标人软件产品本身问题，投标人需为招标人及时提供修正性软件和补丁程序。</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投标人软件产品的升级服务</w:t>
      </w:r>
    </w:p>
    <w:p>
      <w:pPr>
        <w:spacing w:line="312" w:lineRule="auto"/>
        <w:ind w:firstLine="420"/>
        <w:rPr>
          <w:rFonts w:ascii="宋体" w:hAnsi="宋体" w:eastAsia="宋体" w:cs="Times New Roman"/>
          <w:sz w:val="28"/>
          <w:szCs w:val="28"/>
        </w:rPr>
      </w:pPr>
      <w:r>
        <w:rPr>
          <w:rFonts w:hint="eastAsia" w:ascii="宋体" w:hAnsi="宋体" w:eastAsia="宋体" w:cs="Times New Roman"/>
          <w:sz w:val="28"/>
          <w:szCs w:val="28"/>
        </w:rPr>
        <w:t>软件产品的升级范围包括：系统软件BUG的修改、为了适应新的操作环境而对软件进行的优化、性能的改进等。升级前将进行软件入网检测，升级时</w:t>
      </w:r>
      <w:r>
        <w:rPr>
          <w:rFonts w:hint="eastAsia" w:ascii="Calibri" w:hAnsi="Calibri" w:eastAsia="宋体" w:cs="Times New Roman"/>
          <w:kern w:val="2"/>
          <w:sz w:val="28"/>
          <w:szCs w:val="28"/>
        </w:rPr>
        <w:t>投标人</w:t>
      </w:r>
      <w:r>
        <w:rPr>
          <w:rFonts w:hint="eastAsia" w:ascii="宋体" w:hAnsi="宋体" w:eastAsia="宋体" w:cs="Times New Roman"/>
          <w:sz w:val="28"/>
          <w:szCs w:val="28"/>
        </w:rPr>
        <w:t>需赴招标人现场进行升级软件的安装调测并向招标人提供升级的技术资料及必要的升级说明。免费提供招标人技术规范修改造成的软件修改。</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技术交流与通告服务</w:t>
      </w:r>
    </w:p>
    <w:p>
      <w:pPr>
        <w:spacing w:line="312" w:lineRule="auto"/>
        <w:ind w:firstLine="420"/>
        <w:rPr>
          <w:rFonts w:ascii="宋体" w:hAnsi="宋体" w:eastAsia="宋体" w:cs="Times New Roman"/>
          <w:sz w:val="28"/>
          <w:szCs w:val="28"/>
        </w:rPr>
      </w:pPr>
      <w:r>
        <w:rPr>
          <w:rFonts w:hint="eastAsia" w:ascii="宋体" w:hAnsi="宋体" w:eastAsia="宋体" w:cs="Times New Roman"/>
          <w:sz w:val="28"/>
          <w:szCs w:val="28"/>
        </w:rPr>
        <w:t>及时向招标人发布如下信息：重要软件系统的升级通告、重要软件BUG通告、新产品通告。</w:t>
      </w:r>
    </w:p>
    <w:p>
      <w:pPr>
        <w:widowControl w:val="0"/>
        <w:numPr>
          <w:ilvl w:val="3"/>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在保修期内，定期（不超过6个月）或根据系统运行情况应招标人要求进行系统优化。</w:t>
      </w:r>
    </w:p>
    <w:p>
      <w:pPr>
        <w:widowControl w:val="0"/>
        <w:numPr>
          <w:ilvl w:val="2"/>
          <w:numId w:val="1"/>
        </w:numPr>
        <w:adjustRightInd/>
        <w:snapToGrid/>
        <w:spacing w:before="100" w:beforeAutospacing="1" w:after="100" w:afterAutospacing="1" w:line="312" w:lineRule="auto"/>
        <w:ind w:firstLine="560" w:firstLineChars="200"/>
        <w:jc w:val="both"/>
        <w:rPr>
          <w:rFonts w:ascii="Calibri" w:hAnsi="Calibri" w:eastAsia="宋体" w:cs="Times New Roman"/>
          <w:kern w:val="2"/>
          <w:sz w:val="28"/>
          <w:szCs w:val="28"/>
        </w:rPr>
      </w:pPr>
      <w:r>
        <w:rPr>
          <w:rFonts w:hint="eastAsia" w:ascii="Calibri" w:hAnsi="Calibri" w:eastAsia="宋体" w:cs="Times New Roman"/>
          <w:kern w:val="2"/>
          <w:sz w:val="28"/>
          <w:szCs w:val="28"/>
        </w:rPr>
        <w:t>巡检，每月出具巡检报告。</w:t>
      </w:r>
    </w:p>
    <w:p>
      <w:pPr>
        <w:adjustRightInd/>
        <w:snapToGrid/>
        <w:spacing w:before="100" w:beforeAutospacing="1" w:after="100" w:afterAutospacing="1" w:line="312" w:lineRule="auto"/>
        <w:ind w:firstLine="582" w:firstLineChars="200"/>
        <w:jc w:val="both"/>
        <w:rPr>
          <w:rFonts w:ascii="宋体" w:hAnsi="宋体" w:eastAsia="宋体" w:cs="宋体"/>
          <w:b/>
          <w:spacing w:val="5"/>
          <w:kern w:val="2"/>
          <w:sz w:val="28"/>
          <w:szCs w:val="28"/>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50110"/>
    <w:multiLevelType w:val="singleLevel"/>
    <w:tmpl w:val="CCD50110"/>
    <w:lvl w:ilvl="0" w:tentative="0">
      <w:start w:val="1"/>
      <w:numFmt w:val="decimalEnclosedCircleChinese"/>
      <w:suff w:val="nothing"/>
      <w:lvlText w:val="%1　"/>
      <w:lvlJc w:val="left"/>
      <w:pPr>
        <w:ind w:left="0" w:firstLine="400"/>
      </w:pPr>
      <w:rPr>
        <w:rFonts w:hint="eastAsia"/>
      </w:rPr>
    </w:lvl>
  </w:abstractNum>
  <w:abstractNum w:abstractNumId="1">
    <w:nsid w:val="FFFFFE25"/>
    <w:multiLevelType w:val="singleLevel"/>
    <w:tmpl w:val="FFFFFE25"/>
    <w:lvl w:ilvl="0" w:tentative="0">
      <w:start w:val="1"/>
      <w:numFmt w:val="decimal"/>
      <w:suff w:val="nothing"/>
      <w:lvlText w:val="%1、"/>
      <w:lvlJc w:val="left"/>
    </w:lvl>
  </w:abstractNum>
  <w:abstractNum w:abstractNumId="2">
    <w:nsid w:val="04153E3D"/>
    <w:multiLevelType w:val="multilevel"/>
    <w:tmpl w:val="04153E3D"/>
    <w:lvl w:ilvl="0" w:tentative="0">
      <w:start w:val="1"/>
      <w:numFmt w:val="decimal"/>
      <w:lvlText w:val="%1"/>
      <w:lvlJc w:val="left"/>
      <w:pPr>
        <w:ind w:left="3686" w:hanging="425"/>
      </w:pPr>
    </w:lvl>
    <w:lvl w:ilvl="1" w:tentative="0">
      <w:start w:val="1"/>
      <w:numFmt w:val="decimal"/>
      <w:lvlText w:val="%1.%2"/>
      <w:lvlJc w:val="left"/>
      <w:pPr>
        <w:ind w:left="4253" w:hanging="567"/>
      </w:pPr>
    </w:lvl>
    <w:lvl w:ilvl="2" w:tentative="0">
      <w:start w:val="1"/>
      <w:numFmt w:val="decimal"/>
      <w:lvlText w:val="%1.%2.%3"/>
      <w:lvlJc w:val="left"/>
      <w:pPr>
        <w:ind w:left="4679" w:hanging="567"/>
      </w:pPr>
    </w:lvl>
    <w:lvl w:ilvl="3" w:tentative="0">
      <w:start w:val="1"/>
      <w:numFmt w:val="decimal"/>
      <w:lvlText w:val="%1.%2.%3.%4"/>
      <w:lvlJc w:val="left"/>
      <w:pPr>
        <w:ind w:left="5245" w:hanging="708"/>
      </w:pPr>
    </w:lvl>
    <w:lvl w:ilvl="4" w:tentative="0">
      <w:start w:val="1"/>
      <w:numFmt w:val="decimal"/>
      <w:lvlText w:val="%1.%2.%3.%4.%5"/>
      <w:lvlJc w:val="left"/>
      <w:pPr>
        <w:ind w:left="5812" w:hanging="850"/>
      </w:pPr>
    </w:lvl>
    <w:lvl w:ilvl="5" w:tentative="0">
      <w:start w:val="1"/>
      <w:numFmt w:val="decimal"/>
      <w:lvlText w:val="%1.%2.%3.%4.%5.%6"/>
      <w:lvlJc w:val="left"/>
      <w:pPr>
        <w:ind w:left="6521" w:hanging="1134"/>
      </w:pPr>
    </w:lvl>
    <w:lvl w:ilvl="6" w:tentative="0">
      <w:start w:val="1"/>
      <w:numFmt w:val="decimal"/>
      <w:lvlText w:val="%1.%2.%3.%4.%5.%6.%7"/>
      <w:lvlJc w:val="left"/>
      <w:pPr>
        <w:ind w:left="7088" w:hanging="1276"/>
      </w:pPr>
    </w:lvl>
    <w:lvl w:ilvl="7" w:tentative="0">
      <w:start w:val="1"/>
      <w:numFmt w:val="decimal"/>
      <w:lvlText w:val="%1.%2.%3.%4.%5.%6.%7.%8"/>
      <w:lvlJc w:val="left"/>
      <w:pPr>
        <w:ind w:left="7655" w:hanging="1418"/>
      </w:pPr>
    </w:lvl>
    <w:lvl w:ilvl="8" w:tentative="0">
      <w:start w:val="1"/>
      <w:numFmt w:val="decimal"/>
      <w:lvlText w:val="%1.%2.%3.%4.%5.%6.%7.%8.%9"/>
      <w:lvlJc w:val="left"/>
      <w:pPr>
        <w:ind w:left="8363" w:hanging="1700"/>
      </w:pPr>
    </w:lvl>
  </w:abstractNum>
  <w:abstractNum w:abstractNumId="3">
    <w:nsid w:val="1A317A94"/>
    <w:multiLevelType w:val="multilevel"/>
    <w:tmpl w:val="1A317A94"/>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3C14144C"/>
    <w:multiLevelType w:val="multilevel"/>
    <w:tmpl w:val="3C14144C"/>
    <w:lvl w:ilvl="0" w:tentative="0">
      <w:start w:val="1"/>
      <w:numFmt w:val="decimal"/>
      <w:lvlText w:val="%1."/>
      <w:lvlJc w:val="left"/>
      <w:pPr>
        <w:tabs>
          <w:tab w:val="left" w:pos="0"/>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WUzODA1ZmJhNjQ0ZjA2Njg2YmRiM2E5ZmIyZjI3ZTQifQ=="/>
  </w:docVars>
  <w:rsids>
    <w:rsidRoot w:val="00D31D50"/>
    <w:rsid w:val="00046473"/>
    <w:rsid w:val="00057BD4"/>
    <w:rsid w:val="000914BF"/>
    <w:rsid w:val="000A18DE"/>
    <w:rsid w:val="00196856"/>
    <w:rsid w:val="001E16B8"/>
    <w:rsid w:val="001E76CE"/>
    <w:rsid w:val="002A1994"/>
    <w:rsid w:val="003177F0"/>
    <w:rsid w:val="00323B43"/>
    <w:rsid w:val="0036770A"/>
    <w:rsid w:val="003D37D8"/>
    <w:rsid w:val="00426133"/>
    <w:rsid w:val="004358AB"/>
    <w:rsid w:val="004A026B"/>
    <w:rsid w:val="005125FF"/>
    <w:rsid w:val="00663C9B"/>
    <w:rsid w:val="006C5B3D"/>
    <w:rsid w:val="0073438B"/>
    <w:rsid w:val="0084406C"/>
    <w:rsid w:val="008B7726"/>
    <w:rsid w:val="00951348"/>
    <w:rsid w:val="00A4543B"/>
    <w:rsid w:val="00B52B84"/>
    <w:rsid w:val="00BE3D5E"/>
    <w:rsid w:val="00BE45C5"/>
    <w:rsid w:val="00C37F8A"/>
    <w:rsid w:val="00C871A4"/>
    <w:rsid w:val="00D10522"/>
    <w:rsid w:val="00D31D50"/>
    <w:rsid w:val="00F73B93"/>
    <w:rsid w:val="052777E4"/>
    <w:rsid w:val="40833D35"/>
    <w:rsid w:val="45C37D44"/>
    <w:rsid w:val="654C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alloon Text"/>
    <w:basedOn w:val="1"/>
    <w:link w:val="11"/>
    <w:semiHidden/>
    <w:unhideWhenUsed/>
    <w:uiPriority w:val="99"/>
    <w:pPr>
      <w:spacing w:after="0"/>
    </w:pPr>
    <w:rPr>
      <w:sz w:val="18"/>
      <w:szCs w:val="18"/>
    </w:r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semiHidden/>
    <w:qFormat/>
    <w:uiPriority w:val="99"/>
    <w:rPr>
      <w:rFonts w:ascii="Tahoma" w:hAnsi="Tahoma"/>
      <w:sz w:val="18"/>
      <w:szCs w:val="18"/>
    </w:rPr>
  </w:style>
  <w:style w:type="character" w:customStyle="1" w:styleId="11">
    <w:name w:val="批注框文本 Char"/>
    <w:basedOn w:val="8"/>
    <w:link w:val="3"/>
    <w:semiHidden/>
    <w:qFormat/>
    <w:uiPriority w:val="99"/>
    <w:rPr>
      <w:rFonts w:ascii="Tahoma" w:hAnsi="Tahoma"/>
      <w:sz w:val="18"/>
      <w:szCs w:val="18"/>
    </w:rPr>
  </w:style>
  <w:style w:type="character" w:customStyle="1" w:styleId="12">
    <w:name w:val="font21"/>
    <w:basedOn w:val="8"/>
    <w:qFormat/>
    <w:uiPriority w:val="0"/>
    <w:rPr>
      <w:rFonts w:ascii="Calibri" w:hAnsi="Calibri" w:cs="Calibri"/>
      <w:color w:val="000000"/>
      <w:sz w:val="18"/>
      <w:szCs w:val="18"/>
      <w:u w:val="none"/>
    </w:rPr>
  </w:style>
  <w:style w:type="character" w:customStyle="1" w:styleId="13">
    <w:name w:val="font11"/>
    <w:basedOn w:val="8"/>
    <w:qFormat/>
    <w:uiPriority w:val="0"/>
    <w:rPr>
      <w:rFonts w:hint="eastAsia" w:ascii="宋体" w:hAnsi="宋体" w:eastAsia="宋体" w:cs="宋体"/>
      <w:color w:val="000000"/>
      <w:sz w:val="18"/>
      <w:szCs w:val="18"/>
      <w:u w:val="none"/>
    </w:rPr>
  </w:style>
  <w:style w:type="paragraph" w:customStyle="1" w:styleId="14">
    <w:name w:val="Table Text"/>
    <w:basedOn w:val="1"/>
    <w:semiHidden/>
    <w:qFormat/>
    <w:uiPriority w:val="0"/>
    <w:rPr>
      <w:rFonts w:ascii="Arial" w:hAnsi="Arial" w:eastAsia="Arial" w:cs="Arial"/>
      <w:sz w:val="21"/>
      <w:szCs w:val="21"/>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12789</Words>
  <Characters>13525</Characters>
  <Lines>101</Lines>
  <Paragraphs>28</Paragraphs>
  <TotalTime>17</TotalTime>
  <ScaleCrop>false</ScaleCrop>
  <LinksUpToDate>false</LinksUpToDate>
  <CharactersWithSpaces>13730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郭海云</cp:lastModifiedBy>
  <dcterms:modified xsi:type="dcterms:W3CDTF">2024-08-09T01:36:34Z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0D524DFB39324363A577C8B6C36F9212_12</vt:lpwstr>
  </property>
</Properties>
</file>