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kern w:val="0"/>
          <w:sz w:val="24"/>
        </w:rPr>
      </w:pPr>
      <w:bookmarkStart w:id="1" w:name="_GoBack"/>
      <w:bookmarkEnd w:id="1"/>
      <w:r>
        <w:rPr>
          <w:rFonts w:hint="eastAsia" w:ascii="宋体" w:hAnsi="宋体" w:cs="宋体"/>
          <w:kern w:val="0"/>
          <w:sz w:val="24"/>
        </w:rPr>
        <w:t>甲方：</w:t>
      </w:r>
    </w:p>
    <w:p>
      <w:pPr>
        <w:spacing w:line="360" w:lineRule="auto"/>
        <w:rPr>
          <w:rFonts w:ascii="宋体" w:hAnsi="宋体" w:cs="宋体"/>
          <w:kern w:val="0"/>
          <w:sz w:val="24"/>
        </w:rPr>
      </w:pPr>
      <w:r>
        <w:rPr>
          <w:rFonts w:hint="eastAsia" w:ascii="宋体" w:hAnsi="宋体" w:cs="宋体"/>
          <w:kern w:val="0"/>
          <w:sz w:val="24"/>
        </w:rPr>
        <w:t>联系人：</w:t>
      </w:r>
    </w:p>
    <w:p>
      <w:pPr>
        <w:spacing w:line="360" w:lineRule="auto"/>
        <w:rPr>
          <w:rFonts w:ascii="宋体" w:hAnsi="宋体" w:cs="宋体"/>
          <w:kern w:val="0"/>
          <w:sz w:val="24"/>
        </w:rPr>
      </w:pPr>
      <w:r>
        <w:rPr>
          <w:rFonts w:hint="eastAsia" w:ascii="宋体" w:hAnsi="宋体" w:cs="宋体"/>
          <w:kern w:val="0"/>
          <w:sz w:val="24"/>
        </w:rPr>
        <w:t>联系电话：</w:t>
      </w:r>
    </w:p>
    <w:p>
      <w:pPr>
        <w:spacing w:line="360" w:lineRule="auto"/>
        <w:rPr>
          <w:rFonts w:ascii="宋体" w:hAnsi="宋体" w:cs="宋体"/>
          <w:kern w:val="0"/>
          <w:sz w:val="24"/>
        </w:rPr>
      </w:pPr>
      <w:r>
        <w:rPr>
          <w:rFonts w:hint="eastAsia"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rPr>
        <w:t>乙方：</w:t>
      </w:r>
    </w:p>
    <w:p>
      <w:pPr>
        <w:spacing w:line="360" w:lineRule="auto"/>
        <w:rPr>
          <w:rFonts w:ascii="宋体" w:hAnsi="宋体" w:cs="宋体"/>
          <w:kern w:val="0"/>
          <w:sz w:val="24"/>
        </w:rPr>
      </w:pPr>
      <w:r>
        <w:rPr>
          <w:rFonts w:hint="eastAsia" w:ascii="宋体" w:hAnsi="宋体" w:cs="宋体"/>
          <w:kern w:val="0"/>
          <w:sz w:val="24"/>
        </w:rPr>
        <w:t>联系人：</w:t>
      </w:r>
    </w:p>
    <w:p>
      <w:pPr>
        <w:spacing w:line="360" w:lineRule="auto"/>
        <w:rPr>
          <w:rFonts w:ascii="宋体" w:hAnsi="宋体" w:cs="宋体"/>
          <w:kern w:val="0"/>
          <w:sz w:val="24"/>
        </w:rPr>
      </w:pPr>
      <w:r>
        <w:rPr>
          <w:rFonts w:hint="eastAsia" w:ascii="宋体" w:hAnsi="宋体" w:cs="宋体"/>
          <w:kern w:val="0"/>
          <w:sz w:val="24"/>
        </w:rPr>
        <w:t>联系电话：</w:t>
      </w:r>
    </w:p>
    <w:p>
      <w:pPr>
        <w:widowControl/>
        <w:spacing w:line="360" w:lineRule="auto"/>
        <w:ind w:firstLine="4080" w:firstLineChars="1700"/>
        <w:jc w:val="left"/>
        <w:rPr>
          <w:rFonts w:ascii="宋体" w:hAnsi="宋体" w:cs="宋体"/>
          <w:kern w:val="0"/>
          <w:sz w:val="24"/>
        </w:rPr>
      </w:pPr>
      <w:r>
        <w:rPr>
          <w:rFonts w:hint="eastAsia" w:ascii="宋体" w:hAnsi="宋体" w:cs="宋体"/>
          <w:kern w:val="0"/>
          <w:sz w:val="24"/>
        </w:rPr>
        <w:t>采购编号：</w:t>
      </w:r>
    </w:p>
    <w:p>
      <w:pPr>
        <w:widowControl/>
        <w:tabs>
          <w:tab w:val="left" w:pos="8620"/>
        </w:tabs>
        <w:spacing w:line="360" w:lineRule="auto"/>
        <w:jc w:val="right"/>
        <w:rPr>
          <w:rFonts w:ascii="宋体" w:hAnsi="宋体" w:cs="宋体"/>
          <w:kern w:val="0"/>
          <w:sz w:val="24"/>
        </w:rPr>
      </w:pPr>
      <w:r>
        <w:rPr>
          <w:rFonts w:hint="eastAsia" w:ascii="宋体" w:hAnsi="宋体" w:cs="宋体"/>
          <w:kern w:val="0"/>
          <w:sz w:val="24"/>
        </w:rPr>
        <w:t>代理机构：XX咨询公司</w:t>
      </w:r>
    </w:p>
    <w:p>
      <w:pPr>
        <w:spacing w:line="360" w:lineRule="auto"/>
        <w:ind w:firstLine="480" w:firstLineChars="200"/>
        <w:rPr>
          <w:rFonts w:ascii="宋体" w:hAnsi="宋体" w:cs="宋体"/>
          <w:sz w:val="24"/>
        </w:rPr>
      </w:pPr>
      <w:r>
        <w:rPr>
          <w:rFonts w:hint="eastAsia" w:ascii="宋体" w:hAnsi="宋体" w:cs="宋体"/>
          <w:sz w:val="24"/>
        </w:rPr>
        <w:t>根据XX咨询公司项目编号</w:t>
      </w:r>
      <w:r>
        <w:rPr>
          <w:rFonts w:hint="eastAsia" w:ascii="宋体" w:hAnsi="宋体" w:cs="宋体"/>
          <w:sz w:val="24"/>
          <w:u w:val="single"/>
        </w:rPr>
        <w:t xml:space="preserve">           号</w:t>
      </w:r>
      <w:r>
        <w:rPr>
          <w:rFonts w:hint="eastAsia" w:ascii="宋体" w:hAnsi="宋体" w:cs="宋体"/>
          <w:sz w:val="24"/>
        </w:rPr>
        <w:t>招标文件及乙方的投标文件和中标通知书，甲乙双方就此次中标的</w:t>
      </w:r>
      <w:r>
        <w:rPr>
          <w:rFonts w:hint="eastAsia" w:ascii="宋体" w:hAnsi="宋体" w:cs="宋体"/>
          <w:sz w:val="24"/>
          <w:u w:val="single"/>
        </w:rPr>
        <w:t>（标的物名称）</w:t>
      </w:r>
      <w:r>
        <w:rPr>
          <w:rFonts w:hint="eastAsia" w:ascii="宋体" w:hAnsi="宋体" w:cs="宋体"/>
          <w:sz w:val="24"/>
        </w:rPr>
        <w:t>采购事宜，签订本合同书。</w:t>
      </w:r>
    </w:p>
    <w:p>
      <w:pPr>
        <w:adjustRightInd w:val="0"/>
        <w:snapToGrid w:val="0"/>
        <w:spacing w:line="360" w:lineRule="auto"/>
        <w:rPr>
          <w:rFonts w:ascii="宋体" w:hAnsi="宋体" w:cs="宋体"/>
          <w:sz w:val="24"/>
          <w:szCs w:val="24"/>
        </w:rPr>
      </w:pPr>
      <w:r>
        <w:rPr>
          <w:rFonts w:hint="eastAsia" w:ascii="宋体" w:hAnsi="宋体" w:cs="宋体"/>
          <w:sz w:val="24"/>
          <w:szCs w:val="24"/>
        </w:rPr>
        <w:t>一、项目名称及内容：</w:t>
      </w:r>
      <w:r>
        <w:rPr>
          <w:rFonts w:hint="eastAsia" w:ascii="宋体" w:hAnsi="宋体" w:cs="宋体"/>
          <w:bCs/>
          <w:sz w:val="24"/>
          <w:szCs w:val="24"/>
        </w:rPr>
        <w:t>按“合同能源管理”模式就丰镇市道路照明系统智慧化及节能改造合同能源管理（EMC）项目项目进行专项服务，由乙方负责项目的节能诊断、方案设计、项目建设、安装调试及合同期内备品备件免费提供等工作。</w:t>
      </w:r>
      <w:r>
        <w:rPr>
          <w:rFonts w:hint="eastAsia" w:ascii="宋体" w:hAnsi="宋体" w:cs="宋体"/>
          <w:sz w:val="24"/>
          <w:szCs w:val="24"/>
        </w:rPr>
        <w:t>乙方需对指定地区由甲方管理范围内的道路照明灯具进行改造，乙方选用LED照明灯具替代原有照明灯具，并对改造灯具安装NB-IoT/4G Cat.1单灯控制器及部署单灯控制系统，在道路照明质量达到要求的前提下，甲方按本协议项目收益约定返还给乙方，直至合同期满为止。合同结束后，项目设备所有权无偿移交给甲方，以后所产生的节能收益全归甲方所有。</w:t>
      </w:r>
    </w:p>
    <w:p>
      <w:pPr>
        <w:adjustRightInd w:val="0"/>
        <w:snapToGrid w:val="0"/>
        <w:spacing w:line="360" w:lineRule="auto"/>
        <w:rPr>
          <w:rFonts w:ascii="宋体" w:hAnsi="宋体" w:cs="宋体"/>
          <w:sz w:val="24"/>
          <w:szCs w:val="24"/>
        </w:rPr>
      </w:pPr>
      <w:r>
        <w:rPr>
          <w:rFonts w:hint="eastAsia" w:ascii="宋体" w:hAnsi="宋体" w:cs="宋体"/>
          <w:sz w:val="24"/>
          <w:szCs w:val="24"/>
        </w:rPr>
        <w:t>二、项目施工周期及合同能源管理项目合同期限：</w:t>
      </w:r>
    </w:p>
    <w:p>
      <w:pPr>
        <w:adjustRightInd w:val="0"/>
        <w:snapToGrid w:val="0"/>
        <w:spacing w:line="360" w:lineRule="auto"/>
        <w:rPr>
          <w:rFonts w:ascii="宋体" w:hAnsi="宋体" w:cs="宋体"/>
          <w:sz w:val="24"/>
          <w:szCs w:val="24"/>
        </w:rPr>
      </w:pPr>
      <w:r>
        <w:rPr>
          <w:rFonts w:hint="eastAsia" w:ascii="宋体" w:hAnsi="宋体" w:cs="宋体"/>
          <w:sz w:val="24"/>
          <w:szCs w:val="24"/>
        </w:rPr>
        <w:t>1、项目施工周期：自合同签订之日120日历天内完成改造、调试、检测并竣工验收合格。</w:t>
      </w:r>
    </w:p>
    <w:p>
      <w:pPr>
        <w:adjustRightInd w:val="0"/>
        <w:snapToGrid w:val="0"/>
        <w:spacing w:line="360" w:lineRule="auto"/>
        <w:rPr>
          <w:rFonts w:ascii="宋体" w:hAnsi="宋体" w:cs="宋体"/>
          <w:sz w:val="24"/>
          <w:szCs w:val="24"/>
        </w:rPr>
      </w:pPr>
      <w:r>
        <w:rPr>
          <w:rFonts w:hint="eastAsia" w:ascii="宋体" w:hAnsi="宋体" w:cs="宋体"/>
          <w:sz w:val="24"/>
          <w:szCs w:val="24"/>
        </w:rPr>
        <w:t>2、自甲方出具项目整体竣工验收合格证明文件的次日起，</w:t>
      </w:r>
      <w:r>
        <w:rPr>
          <w:rFonts w:hint="eastAsia" w:ascii="宋体" w:hAnsi="宋体" w:cs="宋体"/>
          <w:bCs/>
          <w:sz w:val="24"/>
          <w:szCs w:val="24"/>
        </w:rPr>
        <w:t>合同能源管理</w:t>
      </w:r>
      <w:r>
        <w:rPr>
          <w:rFonts w:hint="eastAsia" w:ascii="宋体" w:hAnsi="宋体" w:cs="宋体"/>
          <w:sz w:val="24"/>
          <w:szCs w:val="24"/>
        </w:rPr>
        <w:t>合同连续执行120个月。</w:t>
      </w:r>
    </w:p>
    <w:p>
      <w:pPr>
        <w:adjustRightInd w:val="0"/>
        <w:snapToGrid w:val="0"/>
        <w:spacing w:line="360" w:lineRule="auto"/>
        <w:rPr>
          <w:rFonts w:ascii="宋体" w:hAnsi="宋体" w:cs="宋体"/>
          <w:sz w:val="24"/>
          <w:szCs w:val="24"/>
        </w:rPr>
      </w:pPr>
      <w:r>
        <w:rPr>
          <w:rFonts w:hint="eastAsia" w:ascii="宋体" w:hAnsi="宋体" w:cs="宋体"/>
          <w:sz w:val="24"/>
          <w:szCs w:val="24"/>
        </w:rPr>
        <w:t>三、履约保证金：本项目免收履约保证金。</w:t>
      </w:r>
    </w:p>
    <w:p>
      <w:pPr>
        <w:adjustRightInd w:val="0"/>
        <w:snapToGrid w:val="0"/>
        <w:spacing w:line="360" w:lineRule="auto"/>
        <w:rPr>
          <w:rFonts w:ascii="宋体" w:hAnsi="宋体" w:cs="宋体"/>
          <w:sz w:val="24"/>
          <w:szCs w:val="24"/>
        </w:rPr>
      </w:pPr>
      <w:r>
        <w:rPr>
          <w:rFonts w:hint="eastAsia" w:ascii="宋体" w:hAnsi="宋体" w:cs="宋体"/>
          <w:sz w:val="24"/>
          <w:szCs w:val="24"/>
        </w:rPr>
        <w:t>四、技改内容与目标</w:t>
      </w:r>
    </w:p>
    <w:p>
      <w:pPr>
        <w:adjustRightInd w:val="0"/>
        <w:snapToGrid w:val="0"/>
        <w:spacing w:line="360" w:lineRule="auto"/>
        <w:rPr>
          <w:rFonts w:ascii="宋体" w:hAnsi="宋体" w:cs="宋体"/>
          <w:sz w:val="24"/>
          <w:szCs w:val="24"/>
        </w:rPr>
      </w:pPr>
      <w:r>
        <w:rPr>
          <w:rFonts w:hint="eastAsia" w:ascii="宋体" w:hAnsi="宋体" w:cs="宋体"/>
          <w:sz w:val="24"/>
          <w:szCs w:val="24"/>
        </w:rPr>
        <w:t>1、每条实施路段甲乙双方做好道路路面情况、灯具功率记录、相关图片存档。</w:t>
      </w:r>
    </w:p>
    <w:p>
      <w:pPr>
        <w:spacing w:line="360" w:lineRule="auto"/>
        <w:rPr>
          <w:rFonts w:ascii="宋体" w:hAnsi="宋体" w:cs="宋体"/>
          <w:sz w:val="24"/>
          <w:szCs w:val="24"/>
        </w:rPr>
      </w:pPr>
      <w:r>
        <w:rPr>
          <w:rFonts w:hint="eastAsia" w:ascii="宋体" w:hAnsi="宋体" w:cs="宋体"/>
          <w:sz w:val="24"/>
          <w:szCs w:val="24"/>
        </w:rPr>
        <w:t>2、乙方对甲方管理的道路照明灯具进行节能改造，乙方提供的LED照明灯具替代现有传统钠灯光源路灯及老旧LED路灯，综合节电率不低于原有灯具耗电量的60%。</w:t>
      </w:r>
      <w:r>
        <w:rPr>
          <w:rFonts w:hint="eastAsia" w:ascii="宋体" w:hAnsi="宋体" w:cs="方正仿宋_GB2312"/>
          <w:sz w:val="24"/>
          <w:szCs w:val="24"/>
        </w:rPr>
        <w:t>中标人在质量没有问题的前提下，可以利用原有灯具进行光源部分改造，不可利用的照明设施，应正确拆除、合理堆放，确保原有照明设施完好，替换下来的灯具经采购人确认的情况下由中标人自行处理。</w:t>
      </w:r>
    </w:p>
    <w:p>
      <w:pPr>
        <w:adjustRightInd w:val="0"/>
        <w:snapToGrid w:val="0"/>
        <w:spacing w:line="360" w:lineRule="auto"/>
        <w:rPr>
          <w:rFonts w:ascii="宋体" w:hAnsi="宋体" w:cs="宋体"/>
          <w:sz w:val="24"/>
          <w:szCs w:val="24"/>
        </w:rPr>
      </w:pPr>
      <w:r>
        <w:rPr>
          <w:rFonts w:hint="eastAsia" w:ascii="宋体" w:hAnsi="宋体" w:cs="宋体"/>
          <w:sz w:val="24"/>
          <w:szCs w:val="24"/>
        </w:rPr>
        <w:t>3、根据甲方现有路灯安装位置，改善道路照明质量，在道路宽度、灯杆高度、杆间距合理、规范、不受树荫遮挡的的情况下，乙方保证初装LED灯具初始平均照度、均匀度必须符合招标文件、投标文件相关要求，色温控制在3700k～4300k。</w:t>
      </w:r>
    </w:p>
    <w:p>
      <w:pPr>
        <w:adjustRightInd w:val="0"/>
        <w:snapToGrid w:val="0"/>
        <w:spacing w:line="360" w:lineRule="auto"/>
        <w:rPr>
          <w:rFonts w:ascii="宋体" w:hAnsi="宋体" w:cs="宋体"/>
          <w:sz w:val="24"/>
          <w:szCs w:val="24"/>
        </w:rPr>
      </w:pPr>
      <w:r>
        <w:rPr>
          <w:rFonts w:hint="eastAsia" w:ascii="宋体" w:hAnsi="宋体" w:cs="宋体"/>
          <w:sz w:val="24"/>
          <w:szCs w:val="24"/>
        </w:rPr>
        <w:t>4、竣工验收和合同期满时路灯亮灯率保持在100%。</w:t>
      </w:r>
    </w:p>
    <w:p>
      <w:pPr>
        <w:adjustRightInd w:val="0"/>
        <w:snapToGrid w:val="0"/>
        <w:spacing w:line="360" w:lineRule="auto"/>
        <w:rPr>
          <w:rFonts w:ascii="宋体" w:hAnsi="宋体" w:cs="宋体"/>
          <w:sz w:val="24"/>
          <w:szCs w:val="24"/>
        </w:rPr>
      </w:pPr>
      <w:r>
        <w:rPr>
          <w:rFonts w:hint="eastAsia" w:ascii="宋体" w:hAnsi="宋体" w:cs="宋体"/>
          <w:sz w:val="24"/>
          <w:szCs w:val="24"/>
        </w:rPr>
        <w:t>5、甲方要求通过项目的实施，实现节能降耗和道路照明效果、质量提升双重目标。</w:t>
      </w:r>
    </w:p>
    <w:p>
      <w:pPr>
        <w:adjustRightInd w:val="0"/>
        <w:snapToGrid w:val="0"/>
        <w:spacing w:line="360" w:lineRule="auto"/>
        <w:rPr>
          <w:rFonts w:ascii="宋体" w:hAnsi="宋体" w:cs="宋体"/>
          <w:sz w:val="24"/>
          <w:szCs w:val="24"/>
        </w:rPr>
      </w:pPr>
      <w:r>
        <w:rPr>
          <w:rFonts w:hint="eastAsia" w:ascii="宋体" w:hAnsi="宋体" w:cs="宋体"/>
          <w:sz w:val="24"/>
          <w:szCs w:val="24"/>
        </w:rPr>
        <w:t>五、技改项目实施</w:t>
      </w:r>
    </w:p>
    <w:p>
      <w:pPr>
        <w:adjustRightInd w:val="0"/>
        <w:snapToGrid w:val="0"/>
        <w:spacing w:line="360" w:lineRule="auto"/>
        <w:rPr>
          <w:rFonts w:ascii="宋体" w:hAnsi="宋体" w:cs="宋体"/>
          <w:sz w:val="24"/>
          <w:szCs w:val="24"/>
        </w:rPr>
      </w:pPr>
      <w:r>
        <w:rPr>
          <w:rFonts w:hint="eastAsia" w:ascii="宋体" w:hAnsi="宋体" w:cs="宋体"/>
          <w:sz w:val="24"/>
          <w:szCs w:val="24"/>
        </w:rPr>
        <w:t>1、合同签订后15个工作日内乙方应对所有实施路段编制改造方案，并报甲方审核，经甲方确认同意后方可实施，要求改造后灯型与灯杆造型相协调，并要求达到节电率技改目标。</w:t>
      </w:r>
    </w:p>
    <w:p>
      <w:pPr>
        <w:adjustRightInd w:val="0"/>
        <w:snapToGrid w:val="0"/>
        <w:spacing w:line="360" w:lineRule="auto"/>
        <w:rPr>
          <w:rFonts w:ascii="宋体" w:hAnsi="宋体" w:cs="宋体"/>
          <w:sz w:val="24"/>
          <w:szCs w:val="24"/>
        </w:rPr>
      </w:pPr>
      <w:r>
        <w:rPr>
          <w:rFonts w:hint="eastAsia" w:ascii="宋体" w:hAnsi="宋体" w:cs="宋体"/>
          <w:sz w:val="24"/>
          <w:szCs w:val="24"/>
        </w:rPr>
        <w:t>2、安装过程应该遵守国家、省级、乌兰察布市的相关法律法规及制度要求；采取必要的安全防护措施，消除隐患；因投标单位管理或安全辅助措施不力造成周边环境破坏或事故的责任和因此发生的费用，由投标单位自行承担。</w:t>
      </w:r>
    </w:p>
    <w:p>
      <w:pPr>
        <w:adjustRightInd w:val="0"/>
        <w:snapToGrid w:val="0"/>
        <w:spacing w:line="360" w:lineRule="auto"/>
        <w:rPr>
          <w:rFonts w:ascii="宋体" w:hAnsi="宋体" w:cs="宋体"/>
          <w:sz w:val="24"/>
          <w:szCs w:val="24"/>
        </w:rPr>
      </w:pPr>
      <w:r>
        <w:rPr>
          <w:rFonts w:hint="eastAsia" w:ascii="宋体" w:hAnsi="宋体" w:cs="宋体"/>
          <w:sz w:val="24"/>
          <w:szCs w:val="24"/>
        </w:rPr>
        <w:t>3、安装过程中必须保证更换的灯具亮灯率不低于98%（非乙方原因除外），每低于一个百分点，每天按1000元从当年的分成收益中扣除，不足部分从后续一年分成收益中扣除。</w:t>
      </w:r>
    </w:p>
    <w:p>
      <w:pPr>
        <w:adjustRightInd w:val="0"/>
        <w:snapToGrid w:val="0"/>
        <w:spacing w:line="360" w:lineRule="auto"/>
        <w:rPr>
          <w:rFonts w:ascii="宋体" w:hAnsi="宋体" w:cs="宋体"/>
          <w:sz w:val="24"/>
          <w:szCs w:val="24"/>
        </w:rPr>
      </w:pPr>
      <w:r>
        <w:rPr>
          <w:rFonts w:hint="eastAsia" w:ascii="宋体" w:hAnsi="宋体" w:cs="宋体"/>
          <w:sz w:val="24"/>
          <w:szCs w:val="24"/>
        </w:rPr>
        <w:t>4、所有改造路灯单灯控制器须接入单灯控制平台，实现统一控制和管理，单灯控制器上线率不低于98%（非中标单位原因除外），每低于一个百分点，每天按1000元从当年的分成收益中扣除，不足部分从后续一年分成收益中扣除。</w:t>
      </w:r>
    </w:p>
    <w:p>
      <w:pPr>
        <w:adjustRightInd w:val="0"/>
        <w:snapToGrid w:val="0"/>
        <w:spacing w:line="360" w:lineRule="auto"/>
        <w:rPr>
          <w:rFonts w:ascii="宋体" w:hAnsi="宋体" w:cs="宋体"/>
          <w:sz w:val="24"/>
          <w:szCs w:val="24"/>
        </w:rPr>
      </w:pPr>
      <w:r>
        <w:rPr>
          <w:rFonts w:hint="eastAsia" w:ascii="宋体" w:hAnsi="宋体" w:cs="宋体"/>
          <w:sz w:val="24"/>
          <w:szCs w:val="24"/>
        </w:rPr>
        <w:t>5、乙方改造前先进行设备调查，如发现控制箱等无法满足新LED灯具使用，可向甲方提交申请，经甲方确认后，由甲方组织人员进行更换；改造过程中造成LED灯具、灯杆线路等其他设备损坏，均由乙方负责。</w:t>
      </w:r>
    </w:p>
    <w:p>
      <w:pPr>
        <w:adjustRightInd w:val="0"/>
        <w:snapToGrid w:val="0"/>
        <w:spacing w:line="360" w:lineRule="auto"/>
        <w:rPr>
          <w:rFonts w:ascii="宋体" w:hAnsi="宋体" w:cs="宋体"/>
          <w:sz w:val="24"/>
          <w:szCs w:val="24"/>
        </w:rPr>
      </w:pPr>
      <w:r>
        <w:rPr>
          <w:rFonts w:hint="eastAsia" w:ascii="宋体" w:hAnsi="宋体" w:cs="宋体"/>
          <w:sz w:val="24"/>
          <w:szCs w:val="24"/>
        </w:rPr>
        <w:t>6、依据甲方指定的第三方检测机构（相关检测费用由乙方承担）对路灯节能改造项目路段路灯的照度、均匀度、用电计量测试等情况进行统计，将改造后新LED路灯与现有传统钠灯光源路灯及老旧LED路灯对比测试数据及节电率作为基础，以上检测数据及综合节电率必须符合招标文件要求及投标文件承诺。</w:t>
      </w:r>
    </w:p>
    <w:p>
      <w:pPr>
        <w:adjustRightInd w:val="0"/>
        <w:snapToGrid w:val="0"/>
        <w:spacing w:line="360" w:lineRule="auto"/>
        <w:rPr>
          <w:rFonts w:ascii="宋体" w:hAnsi="宋体" w:cs="宋体"/>
          <w:sz w:val="24"/>
          <w:szCs w:val="24"/>
        </w:rPr>
      </w:pPr>
      <w:r>
        <w:rPr>
          <w:rFonts w:hint="eastAsia" w:ascii="宋体" w:hAnsi="宋体" w:cs="宋体"/>
          <w:sz w:val="24"/>
          <w:szCs w:val="24"/>
        </w:rPr>
        <w:t>7、道路照明各项指标测试按照国家技术监督局批准的《照明测量方法》GB/T 5700-2008执行，现场采用“中心布点法”测量；功率采用智能电量测试仪对原有的同种功率灯具选取8条代表路段（若不足8条则以实际条数计）分别随机检测5套取平均值。</w:t>
      </w:r>
    </w:p>
    <w:p>
      <w:pPr>
        <w:adjustRightInd w:val="0"/>
        <w:snapToGrid w:val="0"/>
        <w:spacing w:line="360" w:lineRule="auto"/>
        <w:rPr>
          <w:rFonts w:ascii="宋体" w:hAnsi="宋体" w:cs="宋体"/>
          <w:sz w:val="24"/>
          <w:szCs w:val="24"/>
        </w:rPr>
      </w:pPr>
      <w:r>
        <w:rPr>
          <w:rFonts w:hint="eastAsia" w:ascii="宋体" w:hAnsi="宋体" w:cs="宋体"/>
          <w:sz w:val="24"/>
          <w:szCs w:val="24"/>
        </w:rPr>
        <w:t>8、合同期内LED照明光衰每年不超过3%，各级别道路初始平均照度必须满足招标文件、投标文件技术要求及国家/省相关规范要求；改造后的城市道路照度必须满足招标文件、投标文件承诺（使用产品不得低于投标文件提供的产品技术要求，无法达到要求的，甲方有权终止合同）。</w:t>
      </w:r>
    </w:p>
    <w:p>
      <w:pPr>
        <w:adjustRightInd w:val="0"/>
        <w:snapToGrid w:val="0"/>
        <w:spacing w:line="360" w:lineRule="auto"/>
        <w:rPr>
          <w:rFonts w:ascii="宋体" w:hAnsi="宋体" w:cs="宋体"/>
          <w:sz w:val="24"/>
          <w:szCs w:val="24"/>
        </w:rPr>
      </w:pPr>
      <w:r>
        <w:rPr>
          <w:rFonts w:hint="eastAsia" w:ascii="宋体" w:hAnsi="宋体" w:cs="宋体"/>
          <w:sz w:val="24"/>
          <w:szCs w:val="24"/>
        </w:rPr>
        <w:t>9、根据《城市道路照明设计标准》CJJ45-2015等规范要求，测量灯具各项指标情况，做好原始记录备查，如果低于上述标准时，乙方按照招标文件要求及时予以更换；属于产品质量问题的，乙方必须无条件进行更换。</w:t>
      </w:r>
    </w:p>
    <w:p>
      <w:pPr>
        <w:adjustRightInd w:val="0"/>
        <w:snapToGrid w:val="0"/>
        <w:spacing w:line="360" w:lineRule="auto"/>
        <w:rPr>
          <w:rFonts w:ascii="宋体" w:hAnsi="宋体" w:cs="宋体"/>
          <w:sz w:val="24"/>
          <w:szCs w:val="24"/>
        </w:rPr>
      </w:pPr>
      <w:r>
        <w:rPr>
          <w:rFonts w:hint="eastAsia" w:ascii="宋体" w:hAnsi="宋体" w:cs="宋体"/>
          <w:sz w:val="24"/>
          <w:szCs w:val="24"/>
        </w:rPr>
        <w:t>10、合同期间，甲方有权对产品及照度、节能率等相关数据聘请第三方进行检测，如发现有质量问题及不满足招标文件、投标文件和最新国家相关标准要求的将对乙方进行相关处罚，当检测路面平均照度、均匀度等数值低于以上文件要求，乙方须更换该不合格路段全部灯具（以单个控制箱带灯范围为准），更换所涉费用以及相关不合格报告的检测费用由乙方承担，如情节严重，甲方有权与乙方解除合同并要求乙方赔偿损失。</w:t>
      </w:r>
    </w:p>
    <w:p>
      <w:pPr>
        <w:adjustRightInd w:val="0"/>
        <w:snapToGrid w:val="0"/>
        <w:spacing w:line="360" w:lineRule="auto"/>
        <w:rPr>
          <w:rFonts w:ascii="宋体" w:hAnsi="宋体" w:cs="宋体"/>
          <w:sz w:val="24"/>
          <w:szCs w:val="24"/>
        </w:rPr>
      </w:pPr>
      <w:r>
        <w:rPr>
          <w:rFonts w:hint="eastAsia" w:ascii="宋体" w:hAnsi="宋体" w:cs="宋体"/>
          <w:sz w:val="24"/>
          <w:szCs w:val="24"/>
        </w:rPr>
        <w:t>11、技改项目全部完成后，乙方提交经过甲方及其委托方确认的投入及拆除设施清单、节能技改工程节电检测报告等相关资料；甲方接到资料核实无误后15个日历天内组织竣工验收，验收合格次日项目进入运行阶段；</w:t>
      </w:r>
    </w:p>
    <w:p>
      <w:pPr>
        <w:adjustRightInd w:val="0"/>
        <w:snapToGrid w:val="0"/>
        <w:spacing w:line="360" w:lineRule="auto"/>
        <w:rPr>
          <w:rFonts w:ascii="宋体" w:hAnsi="宋体" w:cs="宋体"/>
          <w:sz w:val="24"/>
          <w:szCs w:val="24"/>
        </w:rPr>
      </w:pPr>
      <w:r>
        <w:rPr>
          <w:rFonts w:hint="eastAsia" w:ascii="宋体" w:hAnsi="宋体" w:cs="宋体"/>
          <w:sz w:val="24"/>
          <w:szCs w:val="24"/>
        </w:rPr>
        <w:t>12、乙方未按投标承诺执行的，甲方有权终止合同，且甲方保留对乙方追偿由此导致的损失的权利。</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六、项目验收：</w:t>
      </w:r>
    </w:p>
    <w:p>
      <w:pPr>
        <w:spacing w:line="360" w:lineRule="auto"/>
        <w:ind w:right="105" w:rightChars="50"/>
        <w:jc w:val="left"/>
        <w:rPr>
          <w:rFonts w:ascii="宋体" w:hAnsi="宋体" w:cs="宋体"/>
          <w:sz w:val="24"/>
          <w:szCs w:val="24"/>
        </w:rPr>
      </w:pPr>
      <w:r>
        <w:rPr>
          <w:rFonts w:hint="eastAsia" w:ascii="宋体" w:hAnsi="宋体" w:cs="宋体"/>
          <w:sz w:val="24"/>
          <w:szCs w:val="24"/>
        </w:rPr>
        <w:t>1、首次安装使用验收</w:t>
      </w:r>
    </w:p>
    <w:p>
      <w:pPr>
        <w:spacing w:line="360" w:lineRule="auto"/>
        <w:ind w:right="105" w:rightChars="50"/>
        <w:jc w:val="left"/>
        <w:rPr>
          <w:rFonts w:ascii="宋体" w:hAnsi="宋体" w:cs="宋体"/>
          <w:sz w:val="24"/>
          <w:szCs w:val="24"/>
        </w:rPr>
      </w:pPr>
      <w:r>
        <w:rPr>
          <w:rFonts w:hint="eastAsia" w:ascii="宋体" w:hAnsi="宋体" w:cs="宋体"/>
          <w:sz w:val="24"/>
          <w:szCs w:val="24"/>
        </w:rPr>
        <w:t>1.1按路段内容采取分路段技术验收方式和在技术验收基础上的一次性工程整体验收方式。</w:t>
      </w:r>
    </w:p>
    <w:p>
      <w:pPr>
        <w:spacing w:line="360" w:lineRule="auto"/>
        <w:ind w:right="105" w:rightChars="50"/>
        <w:jc w:val="left"/>
        <w:rPr>
          <w:rFonts w:ascii="宋体" w:hAnsi="宋体" w:cs="宋体"/>
          <w:sz w:val="24"/>
          <w:szCs w:val="24"/>
        </w:rPr>
      </w:pPr>
      <w:r>
        <w:rPr>
          <w:rFonts w:hint="eastAsia" w:ascii="宋体" w:hAnsi="宋体" w:cs="宋体"/>
          <w:sz w:val="24"/>
          <w:szCs w:val="24"/>
        </w:rPr>
        <w:t>1.2 改造过程中须由第三方检测机构（相关检测费用由乙方承担）对改造路段灯具各项指标、道路照明各项指标进行测试并记录（第三方检测机构及检测路段由甲方指定）；改造后未达到要求的，乙方应及时进行整改；业主指定的样板路实施路段验收通过后才开始进行其他路段的改造；所有道路完成后由甲方指定第三方检测机构对灯具各项指标、道路照明各项指标进行测试并记录；如改造达不到招标文件、投标文件和最新国家相关标准要求，乙方应及时进行整改；整改合格后，由第三方检测机构出具报告，甲乙双方签字确认，作为计算节电收益和确定照明质量基准的依据；乙方提交项目竣工报告，甲方收到项目竣工报告后30天内组织一次性工程整体验收。</w:t>
      </w:r>
    </w:p>
    <w:p>
      <w:pPr>
        <w:spacing w:line="360" w:lineRule="auto"/>
        <w:ind w:right="105" w:rightChars="50"/>
        <w:jc w:val="left"/>
        <w:rPr>
          <w:rFonts w:ascii="宋体" w:hAnsi="宋体" w:cs="宋体"/>
          <w:sz w:val="24"/>
          <w:szCs w:val="24"/>
        </w:rPr>
      </w:pPr>
      <w:r>
        <w:rPr>
          <w:rFonts w:hint="eastAsia" w:ascii="宋体" w:hAnsi="宋体" w:cs="宋体"/>
          <w:sz w:val="24"/>
          <w:szCs w:val="24"/>
        </w:rPr>
        <w:t>1.3道路照明各项指标按照《城市道路照明设计标准》（CJJ45-2015）要求进行测量验收；验收方法：第三方检测机构按照《照明测量方法》（GB/T 5700-2008）现场采用“中心布点法”测量、记录并三方（三方为乙方、甲方、第三方检测机构）签字确认。</w:t>
      </w:r>
    </w:p>
    <w:p>
      <w:pPr>
        <w:spacing w:line="360" w:lineRule="auto"/>
        <w:ind w:right="105" w:rightChars="50"/>
        <w:jc w:val="left"/>
        <w:rPr>
          <w:rFonts w:ascii="宋体" w:hAnsi="宋体" w:cs="宋体"/>
          <w:sz w:val="24"/>
          <w:szCs w:val="24"/>
        </w:rPr>
      </w:pPr>
      <w:r>
        <w:rPr>
          <w:rFonts w:hint="eastAsia" w:ascii="宋体" w:hAnsi="宋体" w:cs="宋体"/>
          <w:sz w:val="24"/>
          <w:szCs w:val="24"/>
        </w:rPr>
        <w:t>1.4 施工安装按照《城市道路照明工程施工及验收规程》（CJJ89-2012）对乙方施工部分进行验收，各项指标符合招标文件、投标文件和最新国家相关标准。</w:t>
      </w:r>
    </w:p>
    <w:p>
      <w:pPr>
        <w:spacing w:line="360" w:lineRule="auto"/>
        <w:jc w:val="left"/>
        <w:rPr>
          <w:rFonts w:ascii="宋体" w:hAnsi="宋体" w:cs="宋体"/>
          <w:sz w:val="24"/>
          <w:szCs w:val="24"/>
        </w:rPr>
      </w:pPr>
      <w:r>
        <w:rPr>
          <w:rFonts w:hint="eastAsia" w:ascii="宋体" w:hAnsi="宋体" w:cs="宋体"/>
          <w:sz w:val="24"/>
          <w:szCs w:val="24"/>
        </w:rPr>
        <w:t xml:space="preserve">1.5整体验收完成后双方共同签署竣工验收报告，同时次日起开始计算投资回报期及质量保证期。 </w:t>
      </w:r>
    </w:p>
    <w:p>
      <w:pPr>
        <w:spacing w:line="360" w:lineRule="auto"/>
        <w:jc w:val="left"/>
        <w:rPr>
          <w:rFonts w:ascii="宋体" w:hAnsi="宋体" w:cs="宋体"/>
          <w:sz w:val="24"/>
          <w:szCs w:val="24"/>
        </w:rPr>
      </w:pPr>
      <w:r>
        <w:rPr>
          <w:rFonts w:hint="eastAsia" w:ascii="宋体" w:hAnsi="宋体" w:cs="宋体"/>
          <w:sz w:val="24"/>
          <w:szCs w:val="24"/>
        </w:rPr>
        <w:t>2、合同期结束移交验收</w:t>
      </w:r>
    </w:p>
    <w:p>
      <w:pPr>
        <w:spacing w:line="360" w:lineRule="auto"/>
        <w:jc w:val="left"/>
        <w:rPr>
          <w:rFonts w:ascii="宋体" w:hAnsi="宋体" w:cs="宋体"/>
          <w:sz w:val="24"/>
          <w:szCs w:val="24"/>
        </w:rPr>
      </w:pPr>
      <w:r>
        <w:rPr>
          <w:rFonts w:hint="eastAsia" w:ascii="宋体" w:hAnsi="宋体" w:cs="宋体"/>
          <w:sz w:val="24"/>
          <w:szCs w:val="24"/>
        </w:rPr>
        <w:t>2.1将投入本项目（包含但不限于节能设施、单灯控制设备等所有软硬件）所有权无偿转移给甲方，日后产生的所有节能收益归甲方所有。</w:t>
      </w:r>
    </w:p>
    <w:p>
      <w:pPr>
        <w:spacing w:line="360" w:lineRule="auto"/>
        <w:jc w:val="left"/>
        <w:rPr>
          <w:rFonts w:ascii="宋体" w:hAnsi="宋体" w:cs="宋体"/>
          <w:sz w:val="24"/>
          <w:szCs w:val="24"/>
        </w:rPr>
      </w:pPr>
      <w:r>
        <w:rPr>
          <w:rFonts w:hint="eastAsia" w:ascii="宋体" w:hAnsi="宋体" w:cs="宋体"/>
          <w:sz w:val="24"/>
          <w:szCs w:val="24"/>
        </w:rPr>
        <w:t>2.2合同期满前15个工作日内，乙方提交书面验收申请，甲方收到申请后15个工作日内应组织整体验收，验收通过后双方共同签署设施移交单。</w:t>
      </w:r>
    </w:p>
    <w:p>
      <w:pPr>
        <w:spacing w:line="360" w:lineRule="auto"/>
        <w:jc w:val="left"/>
        <w:rPr>
          <w:rFonts w:ascii="宋体" w:hAnsi="宋体" w:cs="宋体"/>
          <w:sz w:val="24"/>
          <w:szCs w:val="24"/>
        </w:rPr>
      </w:pPr>
      <w:r>
        <w:rPr>
          <w:rFonts w:hint="eastAsia" w:ascii="宋体" w:hAnsi="宋体" w:cs="宋体"/>
          <w:sz w:val="24"/>
          <w:szCs w:val="24"/>
        </w:rPr>
        <w:t>2.3移交验收时现场亮灯率需达到100%，单灯控制器上线率达到99%以上，实测灯具、道路照明等各项指标符合招标文件、投标文件和最新国家相关标准要求，相关数据由甲方指定第三方（相关检测费用由中标单位承担）检测得出，未达标部分由乙方及时进行整改，整改后再次进行检测，最终结果由三方签字确认。</w:t>
      </w:r>
    </w:p>
    <w:p>
      <w:pPr>
        <w:adjustRightInd w:val="0"/>
        <w:snapToGrid w:val="0"/>
        <w:spacing w:line="360" w:lineRule="auto"/>
        <w:ind w:hanging="1"/>
        <w:jc w:val="left"/>
        <w:rPr>
          <w:rFonts w:ascii="宋体" w:hAnsi="宋体" w:cs="宋体"/>
          <w:sz w:val="24"/>
          <w:szCs w:val="24"/>
        </w:rPr>
      </w:pPr>
      <w:r>
        <w:rPr>
          <w:rFonts w:hint="eastAsia" w:ascii="宋体" w:hAnsi="宋体" w:cs="宋体"/>
          <w:sz w:val="24"/>
          <w:szCs w:val="24"/>
        </w:rPr>
        <w:t>2.4 甲方对现场灯具进行抽样检查，灯具应结构完好，无损伤、变形及严重氧化腐蚀，若有上述情况，乙方应无条件将问题灯具更换为全新灯具。</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七、项目设施运行、维护保修、备品备件提供</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1、LED灯头、相关组件及其他改造设备质量保证期为：从项目验收之日起至投资回报期结束，不低于投资回报期即120个月。</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2、因不可抗力以及产品自身原因产生的更换、更新等费用，由甲乙双方协商决定；因交通事故等第三方责任产生的费用，由乙方自行向责任主体结算，乙方应配合甲方优先无条件修复灯具等设施，确保路灯正常运行。</w:t>
      </w:r>
    </w:p>
    <w:p>
      <w:pPr>
        <w:widowControl/>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3、乙方承担改造施工的全额费用，包含安装和改造费用，并对安装队伍的资质以及安装的质量负责；对产品及工程第三者责任负责。验收合格后的日后正常更换、维护、备品备件免费提供等工作由乙方负责，费用含在项目成本费用中。</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4、在能源管理期间内，LED灯具正常工作一年的损坏率（故障率）不应高于2%，年损坏率（故障率）超出2%部分将按照每套灯500元从乙方近一年收益分成中扣除。</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5、合同期间，因项目灯具的安装或产品质量原因致使人身、财产损害的，乙方应承担损害赔偿等全部责任。</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6、乙方免费提供备品备件，保证确保项目改造后按照项目承诺的服务质量平稳运行。</w:t>
      </w:r>
      <w:bookmarkStart w:id="0" w:name="_Toc357336843"/>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八、节能收益金的付款条件、考核标准</w:t>
      </w:r>
      <w:bookmarkEnd w:id="0"/>
      <w:r>
        <w:rPr>
          <w:rFonts w:hint="eastAsia" w:ascii="宋体" w:hAnsi="宋体" w:cs="宋体"/>
          <w:sz w:val="24"/>
          <w:szCs w:val="24"/>
        </w:rPr>
        <w:t>：</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1、整体道路照明系统改造后的综合节能率为投标节能率。</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2、中标人在节能效益受益期间负责灯具部分和智能控制系统的</w:t>
      </w:r>
      <w:r>
        <w:rPr>
          <w:rFonts w:hint="eastAsia" w:ascii="宋体" w:hAnsi="宋体" w:cs="宋体"/>
          <w:sz w:val="24"/>
          <w:szCs w:val="24"/>
          <w:lang w:val="en-US" w:eastAsia="zh-CN"/>
        </w:rPr>
        <w:t>备品备件，</w:t>
      </w:r>
      <w:r>
        <w:rPr>
          <w:rFonts w:hint="eastAsia" w:ascii="宋体" w:hAnsi="宋体" w:cs="宋体"/>
          <w:sz w:val="24"/>
          <w:szCs w:val="24"/>
        </w:rPr>
        <w:t>保证确保项目改造后按照项目承诺的服务质量平稳运行。</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3、考核得分达90分（含）以上</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考核内容：分为两大项。第一大项为落实工作责任情况（配合甲方工作，管理路灯，24小时响应），第二大项为路灯节能效果总体评价（亮灯率、亮灯时间、节能率、照度标准、智能系统维护、升级）；采取年度考核方式，每年度组织正式考核1次。当年度考核得分达90分（含）以上为达标，不扣罚当年度项目节能效益受益金；得分低于90分，每低1分扣当年度项目节能效益受益金1%。详见《考核标准表》。</w:t>
      </w:r>
    </w:p>
    <w:p>
      <w:pPr>
        <w:tabs>
          <w:tab w:val="left" w:pos="426"/>
        </w:tabs>
        <w:adjustRightInd w:val="0"/>
        <w:snapToGrid w:val="0"/>
        <w:spacing w:line="360" w:lineRule="auto"/>
        <w:ind w:left="-1" w:leftChars="-1" w:hanging="1"/>
        <w:jc w:val="center"/>
        <w:rPr>
          <w:rFonts w:ascii="宋体" w:hAnsi="宋体" w:cs="宋体"/>
          <w:sz w:val="24"/>
          <w:szCs w:val="24"/>
        </w:rPr>
      </w:pPr>
      <w:r>
        <w:rPr>
          <w:rFonts w:hint="eastAsia" w:ascii="宋体" w:hAnsi="宋体" w:cs="宋体"/>
          <w:sz w:val="24"/>
          <w:szCs w:val="24"/>
        </w:rPr>
        <w:t xml:space="preserve"> 考核</w:t>
      </w:r>
      <w:r>
        <w:rPr>
          <w:rFonts w:hint="eastAsia" w:ascii="宋体" w:hAnsi="宋体" w:cs="宋体"/>
          <w:sz w:val="24"/>
          <w:szCs w:val="24"/>
          <w:lang w:val="zh-CN"/>
        </w:rPr>
        <w:t>标准</w:t>
      </w:r>
      <w:r>
        <w:rPr>
          <w:rFonts w:hint="eastAsia" w:ascii="宋体" w:hAnsi="宋体" w:cs="宋体"/>
          <w:sz w:val="24"/>
          <w:szCs w:val="24"/>
        </w:rPr>
        <w:t>表</w:t>
      </w:r>
    </w:p>
    <w:tbl>
      <w:tblPr>
        <w:tblStyle w:val="4"/>
        <w:tblW w:w="9027" w:type="dxa"/>
        <w:jc w:val="center"/>
        <w:tblLayout w:type="fixed"/>
        <w:tblCellMar>
          <w:top w:w="15" w:type="dxa"/>
          <w:left w:w="15" w:type="dxa"/>
          <w:bottom w:w="15" w:type="dxa"/>
          <w:right w:w="15" w:type="dxa"/>
        </w:tblCellMar>
      </w:tblPr>
      <w:tblGrid>
        <w:gridCol w:w="942"/>
        <w:gridCol w:w="1815"/>
        <w:gridCol w:w="2490"/>
        <w:gridCol w:w="708"/>
        <w:gridCol w:w="3072"/>
      </w:tblGrid>
      <w:tr>
        <w:tblPrEx>
          <w:tblCellMar>
            <w:top w:w="15" w:type="dxa"/>
            <w:left w:w="15" w:type="dxa"/>
            <w:bottom w:w="15" w:type="dxa"/>
            <w:right w:w="15" w:type="dxa"/>
          </w:tblCellMar>
        </w:tblPrEx>
        <w:trPr>
          <w:trHeight w:val="285" w:hRule="atLeast"/>
          <w:jc w:val="center"/>
        </w:trPr>
        <w:tc>
          <w:tcPr>
            <w:tcW w:w="942"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考核内容</w:t>
            </w:r>
          </w:p>
        </w:tc>
        <w:tc>
          <w:tcPr>
            <w:tcW w:w="1815"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项目</w:t>
            </w:r>
          </w:p>
        </w:tc>
        <w:tc>
          <w:tcPr>
            <w:tcW w:w="2490"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详细内容</w:t>
            </w:r>
          </w:p>
        </w:tc>
        <w:tc>
          <w:tcPr>
            <w:tcW w:w="708"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满分</w:t>
            </w:r>
          </w:p>
        </w:tc>
        <w:tc>
          <w:tcPr>
            <w:tcW w:w="3072"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备注</w:t>
            </w:r>
          </w:p>
        </w:tc>
      </w:tr>
      <w:tr>
        <w:tblPrEx>
          <w:tblCellMar>
            <w:top w:w="15" w:type="dxa"/>
            <w:left w:w="15" w:type="dxa"/>
            <w:bottom w:w="15" w:type="dxa"/>
            <w:right w:w="15" w:type="dxa"/>
          </w:tblCellMar>
        </w:tblPrEx>
        <w:trPr>
          <w:trHeight w:val="363" w:hRule="atLeast"/>
          <w:jc w:val="center"/>
        </w:trPr>
        <w:tc>
          <w:tcPr>
            <w:tcW w:w="942" w:type="dxa"/>
            <w:vMerge w:val="restart"/>
            <w:tcBorders>
              <w:top w:val="single" w:color="000000" w:sz="4" w:space="0"/>
              <w:left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一、路灯节能效果（50分）</w:t>
            </w:r>
          </w:p>
        </w:tc>
        <w:tc>
          <w:tcPr>
            <w:tcW w:w="1815"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亮灯率</w:t>
            </w:r>
          </w:p>
          <w:p>
            <w:pPr>
              <w:textAlignment w:val="baseline"/>
              <w:rPr>
                <w:rFonts w:ascii="宋体" w:hAnsi="宋体" w:cs="宋体"/>
                <w:sz w:val="24"/>
                <w:szCs w:val="24"/>
              </w:rPr>
            </w:pPr>
            <w:r>
              <w:rPr>
                <w:rFonts w:hint="eastAsia" w:ascii="宋体" w:hAnsi="宋体" w:cs="宋体"/>
                <w:sz w:val="24"/>
                <w:szCs w:val="24"/>
              </w:rPr>
              <w:t>（满分10分）</w:t>
            </w:r>
          </w:p>
        </w:tc>
        <w:tc>
          <w:tcPr>
            <w:tcW w:w="2490"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亮灯率达95%-98%以上</w:t>
            </w:r>
          </w:p>
        </w:tc>
        <w:tc>
          <w:tcPr>
            <w:tcW w:w="708"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10</w:t>
            </w:r>
          </w:p>
        </w:tc>
        <w:tc>
          <w:tcPr>
            <w:tcW w:w="3072"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第一次发现亮灯率未达到要求甲方对乙方进行批评通报，且乙方须在24小时内维修或更换好。</w:t>
            </w:r>
          </w:p>
          <w:p>
            <w:pPr>
              <w:textAlignment w:val="baseline"/>
              <w:rPr>
                <w:rFonts w:ascii="宋体" w:hAnsi="宋体" w:cs="宋体"/>
                <w:sz w:val="24"/>
                <w:szCs w:val="24"/>
              </w:rPr>
            </w:pPr>
            <w:r>
              <w:rPr>
                <w:rFonts w:hint="eastAsia" w:ascii="宋体" w:hAnsi="宋体" w:cs="宋体"/>
                <w:sz w:val="24"/>
                <w:szCs w:val="24"/>
              </w:rPr>
              <w:t>再发现第二次亮灯率未达到要求，直接扣5分，且乙方须在24小时内维修或更换好。</w:t>
            </w:r>
          </w:p>
          <w:p>
            <w:pPr>
              <w:textAlignment w:val="baseline"/>
              <w:rPr>
                <w:rFonts w:ascii="宋体" w:hAnsi="宋体" w:cs="宋体"/>
                <w:sz w:val="24"/>
                <w:szCs w:val="24"/>
              </w:rPr>
            </w:pPr>
            <w:r>
              <w:rPr>
                <w:rFonts w:hint="eastAsia" w:ascii="宋体" w:hAnsi="宋体" w:cs="宋体"/>
                <w:sz w:val="24"/>
                <w:szCs w:val="24"/>
              </w:rPr>
              <w:t>再发现第三次亮灯率未达到要求，直接扣10分，且乙方须在24小时内维修或更换好。</w:t>
            </w:r>
          </w:p>
          <w:p>
            <w:pPr>
              <w:textAlignment w:val="baseline"/>
              <w:rPr>
                <w:rFonts w:ascii="宋体" w:hAnsi="宋体" w:cs="宋体"/>
                <w:sz w:val="24"/>
                <w:szCs w:val="24"/>
              </w:rPr>
            </w:pPr>
            <w:r>
              <w:rPr>
                <w:rFonts w:hint="eastAsia" w:ascii="宋体" w:hAnsi="宋体" w:cs="宋体"/>
                <w:sz w:val="24"/>
                <w:szCs w:val="24"/>
              </w:rPr>
              <w:t>再发现第四次亮灯率未达到要求，直接从考核总分扣20分，且乙方须在24小时内维修或更换好。</w:t>
            </w:r>
          </w:p>
          <w:p>
            <w:pPr>
              <w:textAlignment w:val="baseline"/>
              <w:rPr>
                <w:rFonts w:ascii="宋体" w:hAnsi="宋体" w:cs="宋体"/>
                <w:sz w:val="24"/>
                <w:szCs w:val="24"/>
              </w:rPr>
            </w:pPr>
            <w:r>
              <w:rPr>
                <w:rFonts w:hint="eastAsia" w:ascii="宋体" w:hAnsi="宋体" w:cs="宋体"/>
                <w:sz w:val="24"/>
                <w:szCs w:val="24"/>
              </w:rPr>
              <w:t>注：以上考核非灯具故障原因除外。</w:t>
            </w:r>
          </w:p>
        </w:tc>
      </w:tr>
      <w:tr>
        <w:tblPrEx>
          <w:tblCellMar>
            <w:top w:w="15" w:type="dxa"/>
            <w:left w:w="15" w:type="dxa"/>
            <w:bottom w:w="15" w:type="dxa"/>
            <w:right w:w="15" w:type="dxa"/>
          </w:tblCellMar>
        </w:tblPrEx>
        <w:trPr>
          <w:trHeight w:val="1015" w:hRule="atLeast"/>
          <w:jc w:val="center"/>
        </w:trPr>
        <w:tc>
          <w:tcPr>
            <w:tcW w:w="942" w:type="dxa"/>
            <w:vMerge w:val="continue"/>
            <w:tcBorders>
              <w:left w:val="single" w:color="000000" w:sz="4" w:space="0"/>
              <w:right w:val="single" w:color="000000" w:sz="4" w:space="0"/>
            </w:tcBorders>
            <w:vAlign w:val="center"/>
          </w:tcPr>
          <w:p>
            <w:pPr>
              <w:textAlignment w:val="baseline"/>
              <w:rPr>
                <w:rFonts w:ascii="宋体" w:hAnsi="宋体" w:cs="宋体"/>
                <w:sz w:val="24"/>
                <w:szCs w:val="24"/>
              </w:rPr>
            </w:pPr>
          </w:p>
        </w:tc>
        <w:tc>
          <w:tcPr>
            <w:tcW w:w="1815"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left"/>
              <w:textAlignment w:val="baseline"/>
              <w:rPr>
                <w:rFonts w:ascii="宋体" w:hAnsi="宋体" w:cs="宋体"/>
                <w:sz w:val="24"/>
                <w:szCs w:val="24"/>
              </w:rPr>
            </w:pPr>
            <w:r>
              <w:rPr>
                <w:rFonts w:hint="eastAsia" w:ascii="宋体" w:hAnsi="宋体" w:cs="宋体"/>
                <w:sz w:val="24"/>
                <w:szCs w:val="24"/>
              </w:rPr>
              <w:t>节能率        （满分20分）</w:t>
            </w:r>
          </w:p>
        </w:tc>
        <w:tc>
          <w:tcPr>
            <w:tcW w:w="2490"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节能率不低于投标时计算的节能率</w:t>
            </w:r>
          </w:p>
        </w:tc>
        <w:tc>
          <w:tcPr>
            <w:tcW w:w="708"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20</w:t>
            </w:r>
          </w:p>
        </w:tc>
        <w:tc>
          <w:tcPr>
            <w:tcW w:w="3072"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节能率每低于1%扣1分</w:t>
            </w:r>
          </w:p>
        </w:tc>
      </w:tr>
      <w:tr>
        <w:tblPrEx>
          <w:tblCellMar>
            <w:top w:w="15" w:type="dxa"/>
            <w:left w:w="15" w:type="dxa"/>
            <w:bottom w:w="15" w:type="dxa"/>
            <w:right w:w="15" w:type="dxa"/>
          </w:tblCellMar>
        </w:tblPrEx>
        <w:trPr>
          <w:trHeight w:val="454" w:hRule="atLeast"/>
          <w:jc w:val="center"/>
        </w:trPr>
        <w:tc>
          <w:tcPr>
            <w:tcW w:w="942" w:type="dxa"/>
            <w:vMerge w:val="continue"/>
            <w:tcBorders>
              <w:left w:val="single" w:color="000000" w:sz="4" w:space="0"/>
              <w:right w:val="single" w:color="000000" w:sz="4" w:space="0"/>
            </w:tcBorders>
            <w:vAlign w:val="center"/>
          </w:tcPr>
          <w:p>
            <w:pPr>
              <w:textAlignment w:val="baseline"/>
              <w:rPr>
                <w:rFonts w:ascii="宋体" w:hAnsi="宋体" w:cs="宋体"/>
                <w:sz w:val="24"/>
                <w:szCs w:val="24"/>
              </w:rPr>
            </w:pPr>
          </w:p>
        </w:tc>
        <w:tc>
          <w:tcPr>
            <w:tcW w:w="1815" w:type="dxa"/>
            <w:tcBorders>
              <w:top w:val="single" w:color="auto"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智能系统维护、  升级（10分）</w:t>
            </w:r>
          </w:p>
        </w:tc>
        <w:tc>
          <w:tcPr>
            <w:tcW w:w="2490" w:type="dxa"/>
            <w:tcBorders>
              <w:top w:val="single" w:color="auto"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进行定期试验、检测、维护工作</w:t>
            </w:r>
          </w:p>
        </w:tc>
        <w:tc>
          <w:tcPr>
            <w:tcW w:w="708" w:type="dxa"/>
            <w:tcBorders>
              <w:top w:val="single" w:color="auto"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10</w:t>
            </w:r>
          </w:p>
        </w:tc>
        <w:tc>
          <w:tcPr>
            <w:tcW w:w="3072" w:type="dxa"/>
            <w:tcBorders>
              <w:top w:val="single" w:color="auto"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未达到要求的一次扣0.5分</w:t>
            </w:r>
          </w:p>
        </w:tc>
      </w:tr>
      <w:tr>
        <w:tblPrEx>
          <w:tblCellMar>
            <w:top w:w="15" w:type="dxa"/>
            <w:left w:w="15" w:type="dxa"/>
            <w:bottom w:w="15" w:type="dxa"/>
            <w:right w:w="15" w:type="dxa"/>
          </w:tblCellMar>
        </w:tblPrEx>
        <w:trPr>
          <w:trHeight w:val="454" w:hRule="atLeast"/>
          <w:jc w:val="center"/>
        </w:trPr>
        <w:tc>
          <w:tcPr>
            <w:tcW w:w="942" w:type="dxa"/>
            <w:vMerge w:val="continue"/>
            <w:tcBorders>
              <w:left w:val="single" w:color="000000" w:sz="4" w:space="0"/>
              <w:right w:val="single" w:color="000000" w:sz="4" w:space="0"/>
            </w:tcBorders>
            <w:vAlign w:val="center"/>
          </w:tcPr>
          <w:p>
            <w:pPr>
              <w:textAlignment w:val="baseline"/>
              <w:rPr>
                <w:rFonts w:ascii="宋体" w:hAnsi="宋体" w:cs="宋体"/>
                <w:sz w:val="24"/>
                <w:szCs w:val="24"/>
              </w:rPr>
            </w:pPr>
          </w:p>
        </w:tc>
        <w:tc>
          <w:tcPr>
            <w:tcW w:w="1815" w:type="dxa"/>
            <w:tcBorders>
              <w:top w:val="single" w:color="auto"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照度标准</w:t>
            </w:r>
          </w:p>
          <w:p>
            <w:pPr>
              <w:textAlignment w:val="baseline"/>
              <w:rPr>
                <w:rFonts w:ascii="宋体" w:hAnsi="宋体" w:cs="宋体"/>
                <w:sz w:val="24"/>
                <w:szCs w:val="24"/>
              </w:rPr>
            </w:pPr>
            <w:r>
              <w:rPr>
                <w:rFonts w:hint="eastAsia" w:ascii="宋体" w:hAnsi="宋体" w:cs="宋体"/>
                <w:sz w:val="24"/>
                <w:szCs w:val="24"/>
              </w:rPr>
              <w:t>（满分10分）</w:t>
            </w:r>
          </w:p>
        </w:tc>
        <w:tc>
          <w:tcPr>
            <w:tcW w:w="2490" w:type="dxa"/>
            <w:tcBorders>
              <w:top w:val="single" w:color="auto"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符合国标</w:t>
            </w:r>
          </w:p>
        </w:tc>
        <w:tc>
          <w:tcPr>
            <w:tcW w:w="708" w:type="dxa"/>
            <w:tcBorders>
              <w:top w:val="single" w:color="auto"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10</w:t>
            </w:r>
          </w:p>
        </w:tc>
        <w:tc>
          <w:tcPr>
            <w:tcW w:w="3072" w:type="dxa"/>
            <w:tcBorders>
              <w:top w:val="single" w:color="auto"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如达不到照明标准扣1个路段扣0.5分</w:t>
            </w:r>
          </w:p>
        </w:tc>
      </w:tr>
      <w:tr>
        <w:tblPrEx>
          <w:tblCellMar>
            <w:top w:w="15" w:type="dxa"/>
            <w:left w:w="15" w:type="dxa"/>
            <w:bottom w:w="15" w:type="dxa"/>
            <w:right w:w="15" w:type="dxa"/>
          </w:tblCellMar>
        </w:tblPrEx>
        <w:trPr>
          <w:trHeight w:val="855" w:hRule="atLeast"/>
          <w:jc w:val="center"/>
        </w:trPr>
        <w:tc>
          <w:tcPr>
            <w:tcW w:w="942" w:type="dxa"/>
            <w:vMerge w:val="restart"/>
            <w:tcBorders>
              <w:top w:val="single" w:color="000000" w:sz="4" w:space="0"/>
              <w:left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二、工作责任情况（50分）</w:t>
            </w:r>
          </w:p>
        </w:tc>
        <w:tc>
          <w:tcPr>
            <w:tcW w:w="1815"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配合甲方工作  （10分）</w:t>
            </w:r>
          </w:p>
        </w:tc>
        <w:tc>
          <w:tcPr>
            <w:tcW w:w="2490"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积极响应甲方要求</w:t>
            </w:r>
          </w:p>
        </w:tc>
        <w:tc>
          <w:tcPr>
            <w:tcW w:w="708"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10</w:t>
            </w:r>
          </w:p>
        </w:tc>
        <w:tc>
          <w:tcPr>
            <w:tcW w:w="3072"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未达到要求扣10分</w:t>
            </w:r>
          </w:p>
        </w:tc>
      </w:tr>
      <w:tr>
        <w:tblPrEx>
          <w:tblCellMar>
            <w:top w:w="15" w:type="dxa"/>
            <w:left w:w="15" w:type="dxa"/>
            <w:bottom w:w="15" w:type="dxa"/>
            <w:right w:w="15" w:type="dxa"/>
          </w:tblCellMar>
        </w:tblPrEx>
        <w:trPr>
          <w:trHeight w:val="1095" w:hRule="atLeast"/>
          <w:jc w:val="center"/>
        </w:trPr>
        <w:tc>
          <w:tcPr>
            <w:tcW w:w="942" w:type="dxa"/>
            <w:vMerge w:val="continue"/>
            <w:tcBorders>
              <w:left w:val="single" w:color="000000" w:sz="4" w:space="0"/>
              <w:right w:val="single" w:color="000000" w:sz="4" w:space="0"/>
            </w:tcBorders>
            <w:vAlign w:val="center"/>
          </w:tcPr>
          <w:p>
            <w:pPr>
              <w:textAlignment w:val="baseline"/>
              <w:rPr>
                <w:rFonts w:ascii="宋体" w:hAnsi="宋体" w:cs="宋体"/>
                <w:sz w:val="24"/>
                <w:szCs w:val="24"/>
              </w:rPr>
            </w:pPr>
          </w:p>
        </w:tc>
        <w:tc>
          <w:tcPr>
            <w:tcW w:w="1815"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及时修复</w:t>
            </w:r>
          </w:p>
          <w:p>
            <w:pPr>
              <w:textAlignment w:val="baseline"/>
              <w:rPr>
                <w:rFonts w:ascii="宋体" w:hAnsi="宋体" w:cs="宋体"/>
                <w:sz w:val="24"/>
                <w:szCs w:val="24"/>
              </w:rPr>
            </w:pPr>
            <w:r>
              <w:rPr>
                <w:rFonts w:hint="eastAsia" w:ascii="宋体" w:hAnsi="宋体" w:cs="宋体"/>
                <w:sz w:val="24"/>
                <w:szCs w:val="24"/>
              </w:rPr>
              <w:t>（满分10分）</w:t>
            </w:r>
          </w:p>
        </w:tc>
        <w:tc>
          <w:tcPr>
            <w:tcW w:w="2490"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一般故障问题必须在24小时内解决，出现大面积灭灯情况，应在24小时内应急抢修</w:t>
            </w:r>
          </w:p>
        </w:tc>
        <w:tc>
          <w:tcPr>
            <w:tcW w:w="708"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10</w:t>
            </w:r>
          </w:p>
        </w:tc>
        <w:tc>
          <w:tcPr>
            <w:tcW w:w="3072"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未达到要求一次扣1分</w:t>
            </w:r>
          </w:p>
        </w:tc>
      </w:tr>
      <w:tr>
        <w:tblPrEx>
          <w:tblCellMar>
            <w:top w:w="15" w:type="dxa"/>
            <w:left w:w="15" w:type="dxa"/>
            <w:bottom w:w="15" w:type="dxa"/>
            <w:right w:w="15" w:type="dxa"/>
          </w:tblCellMar>
        </w:tblPrEx>
        <w:trPr>
          <w:trHeight w:val="870" w:hRule="atLeast"/>
          <w:jc w:val="center"/>
        </w:trPr>
        <w:tc>
          <w:tcPr>
            <w:tcW w:w="942" w:type="dxa"/>
            <w:vMerge w:val="continue"/>
            <w:tcBorders>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p>
        </w:tc>
        <w:tc>
          <w:tcPr>
            <w:tcW w:w="1815"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设施完好率</w:t>
            </w:r>
          </w:p>
          <w:p>
            <w:pPr>
              <w:textAlignment w:val="baseline"/>
              <w:rPr>
                <w:rFonts w:ascii="宋体" w:hAnsi="宋体" w:cs="宋体"/>
                <w:sz w:val="24"/>
                <w:szCs w:val="24"/>
              </w:rPr>
            </w:pPr>
            <w:r>
              <w:rPr>
                <w:rFonts w:hint="eastAsia" w:ascii="宋体" w:hAnsi="宋体" w:cs="宋体"/>
                <w:sz w:val="24"/>
                <w:szCs w:val="24"/>
              </w:rPr>
              <w:t>（满分20分）</w:t>
            </w:r>
          </w:p>
        </w:tc>
        <w:tc>
          <w:tcPr>
            <w:tcW w:w="2490"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LED灯具设施完好，无断裂、脱焊及严重腐蚀</w:t>
            </w:r>
          </w:p>
        </w:tc>
        <w:tc>
          <w:tcPr>
            <w:tcW w:w="708"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20</w:t>
            </w:r>
          </w:p>
        </w:tc>
        <w:tc>
          <w:tcPr>
            <w:tcW w:w="3072"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发现一处扣1分</w:t>
            </w:r>
          </w:p>
        </w:tc>
      </w:tr>
      <w:tr>
        <w:tblPrEx>
          <w:tblCellMar>
            <w:top w:w="15" w:type="dxa"/>
            <w:left w:w="15" w:type="dxa"/>
            <w:bottom w:w="15" w:type="dxa"/>
            <w:right w:w="15" w:type="dxa"/>
          </w:tblCellMar>
        </w:tblPrEx>
        <w:trPr>
          <w:trHeight w:val="870" w:hRule="atLeast"/>
          <w:jc w:val="center"/>
        </w:trPr>
        <w:tc>
          <w:tcPr>
            <w:tcW w:w="942" w:type="dxa"/>
            <w:vMerge w:val="continue"/>
            <w:tcBorders>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p>
        </w:tc>
        <w:tc>
          <w:tcPr>
            <w:tcW w:w="1815"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安全文明施工</w:t>
            </w:r>
          </w:p>
          <w:p>
            <w:pPr>
              <w:textAlignment w:val="baseline"/>
              <w:rPr>
                <w:rFonts w:ascii="宋体" w:hAnsi="宋体" w:cs="宋体"/>
                <w:sz w:val="24"/>
                <w:szCs w:val="24"/>
              </w:rPr>
            </w:pPr>
            <w:r>
              <w:rPr>
                <w:rFonts w:hint="eastAsia" w:ascii="宋体" w:hAnsi="宋体" w:cs="宋体"/>
                <w:sz w:val="24"/>
                <w:szCs w:val="24"/>
              </w:rPr>
              <w:t>（满分10分）</w:t>
            </w:r>
          </w:p>
        </w:tc>
        <w:tc>
          <w:tcPr>
            <w:tcW w:w="2490"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按照安全生产要求组织施工，做到文明施工，现场工料清清场净</w:t>
            </w:r>
          </w:p>
        </w:tc>
        <w:tc>
          <w:tcPr>
            <w:tcW w:w="708"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10</w:t>
            </w:r>
          </w:p>
        </w:tc>
        <w:tc>
          <w:tcPr>
            <w:tcW w:w="3072" w:type="dxa"/>
            <w:tcBorders>
              <w:top w:val="single" w:color="000000" w:sz="4" w:space="0"/>
              <w:left w:val="single" w:color="000000" w:sz="4" w:space="0"/>
              <w:bottom w:val="single" w:color="000000" w:sz="4" w:space="0"/>
              <w:right w:val="single" w:color="000000" w:sz="4" w:space="0"/>
            </w:tcBorders>
            <w:vAlign w:val="center"/>
          </w:tcPr>
          <w:p>
            <w:pPr>
              <w:textAlignment w:val="baseline"/>
              <w:rPr>
                <w:rFonts w:ascii="宋体" w:hAnsi="宋体" w:cs="宋体"/>
                <w:sz w:val="24"/>
                <w:szCs w:val="24"/>
              </w:rPr>
            </w:pPr>
            <w:r>
              <w:rPr>
                <w:rFonts w:hint="eastAsia" w:ascii="宋体" w:hAnsi="宋体" w:cs="宋体"/>
                <w:sz w:val="24"/>
                <w:szCs w:val="24"/>
              </w:rPr>
              <w:t>发现施工现场乱抛现象的扣5分，未按建设工期完成施工的扣5分</w:t>
            </w:r>
          </w:p>
        </w:tc>
      </w:tr>
    </w:tbl>
    <w:p>
      <w:pPr>
        <w:adjustRightInd w:val="0"/>
        <w:snapToGrid w:val="0"/>
        <w:spacing w:line="360" w:lineRule="auto"/>
        <w:ind w:left="-1" w:leftChars="-1" w:hanging="1"/>
        <w:jc w:val="left"/>
        <w:rPr>
          <w:rFonts w:ascii="宋体" w:hAnsi="宋体" w:cs="宋体"/>
          <w:sz w:val="24"/>
          <w:szCs w:val="24"/>
        </w:rPr>
      </w:pP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九、节能收益计算及支付</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1、投资回报期：固定为120个月。</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2、功率差额：</w:t>
      </w:r>
      <w:r>
        <w:rPr>
          <w:rFonts w:hint="eastAsia" w:ascii="宋体" w:hAnsi="宋体" w:cs="宋体"/>
          <w:bCs/>
          <w:sz w:val="24"/>
          <w:szCs w:val="24"/>
        </w:rPr>
        <w:t>各类功率灯具改造前后功率差额</w:t>
      </w:r>
      <w:r>
        <w:rPr>
          <w:rFonts w:hint="eastAsia" w:ascii="宋体" w:hAnsi="宋体" w:cs="宋体"/>
          <w:sz w:val="24"/>
          <w:szCs w:val="24"/>
        </w:rPr>
        <w:t>（第三方检测机构随机抽取部分路段进行检测并在此基础上计算功率下降值，详见招标文件相关具体要求）。</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3、</w:t>
      </w:r>
      <w:r>
        <w:rPr>
          <w:rFonts w:hint="eastAsia" w:ascii="宋体" w:hAnsi="宋体" w:cs="宋体"/>
          <w:bCs/>
          <w:sz w:val="24"/>
          <w:szCs w:val="24"/>
        </w:rPr>
        <w:t>灯具年运行时间：从现有运行的路灯控制系统中导出了近一年的全夜亮灯总时间，作为合同期计算节能收益的基准时间，全夜灯全年亮灯时间为4015小时。</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4、电费单价：</w:t>
      </w:r>
      <w:r>
        <w:rPr>
          <w:rFonts w:hint="eastAsia" w:ascii="宋体" w:hAnsi="宋体" w:cs="宋体"/>
          <w:bCs/>
          <w:sz w:val="24"/>
          <w:szCs w:val="24"/>
        </w:rPr>
        <w:t>合同签订时统一按2022年12月不满1千伏电费单价（0.52元/千瓦时）计算，</w:t>
      </w:r>
      <w:r>
        <w:rPr>
          <w:rFonts w:hint="eastAsia" w:ascii="宋体" w:hAnsi="宋体" w:cs="宋体"/>
          <w:bCs/>
          <w:sz w:val="24"/>
        </w:rPr>
        <w:t>如遇电费调整，则每年按上一年度12月份执行的电费单价进行调整，存在潜在的因电价差产生的收益差风险由中标单位承担</w:t>
      </w:r>
      <w:r>
        <w:rPr>
          <w:rFonts w:hint="eastAsia" w:ascii="宋体" w:hAnsi="宋体" w:cs="宋体"/>
          <w:sz w:val="24"/>
          <w:szCs w:val="24"/>
        </w:rPr>
        <w:t>。</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5、投资收益：120个月的收益分享期内，</w:t>
      </w:r>
      <w:r>
        <w:rPr>
          <w:rFonts w:hint="eastAsia" w:ascii="宋体" w:hAnsi="宋体" w:cs="宋体"/>
          <w:sz w:val="24"/>
          <w:szCs w:val="24"/>
          <w:lang w:val="en-US" w:eastAsia="zh-CN"/>
        </w:rPr>
        <w:t>招标人分享</w:t>
      </w:r>
      <w:r>
        <w:rPr>
          <w:rFonts w:hint="eastAsia" w:ascii="宋体" w:hAnsi="宋体" w:cs="宋体"/>
          <w:sz w:val="24"/>
          <w:szCs w:val="24"/>
        </w:rPr>
        <w:t>节能收益</w:t>
      </w:r>
      <w:r>
        <w:rPr>
          <w:rFonts w:hint="eastAsia" w:ascii="宋体" w:hAnsi="宋体" w:cs="宋体"/>
          <w:sz w:val="24"/>
          <w:szCs w:val="24"/>
          <w:lang w:val="en-US" w:eastAsia="zh-CN"/>
        </w:rPr>
        <w:t>的20%，</w:t>
      </w:r>
      <w:r>
        <w:rPr>
          <w:rFonts w:hint="eastAsia" w:ascii="宋体" w:hAnsi="宋体" w:cs="宋体"/>
          <w:sz w:val="24"/>
          <w:szCs w:val="24"/>
        </w:rPr>
        <w:t>乙方</w:t>
      </w:r>
      <w:r>
        <w:rPr>
          <w:rFonts w:hint="eastAsia" w:ascii="宋体" w:hAnsi="宋体" w:cs="宋体"/>
          <w:sz w:val="24"/>
          <w:szCs w:val="24"/>
          <w:lang w:val="en-US" w:eastAsia="zh-CN"/>
        </w:rPr>
        <w:t>为8</w:t>
      </w:r>
      <w:r>
        <w:rPr>
          <w:rFonts w:hint="eastAsia" w:ascii="宋体" w:hAnsi="宋体" w:cs="宋体"/>
          <w:sz w:val="24"/>
          <w:szCs w:val="24"/>
        </w:rPr>
        <w:t>0%。</w:t>
      </w:r>
    </w:p>
    <w:p>
      <w:pPr>
        <w:tabs>
          <w:tab w:val="left" w:pos="426"/>
        </w:tabs>
        <w:adjustRightInd w:val="0"/>
        <w:snapToGrid w:val="0"/>
        <w:spacing w:line="360" w:lineRule="auto"/>
        <w:ind w:left="-1" w:leftChars="-1" w:hanging="1"/>
        <w:jc w:val="left"/>
        <w:rPr>
          <w:rFonts w:ascii="宋体" w:hAnsi="宋体" w:cs="宋体"/>
          <w:bCs/>
          <w:sz w:val="24"/>
          <w:szCs w:val="24"/>
        </w:rPr>
      </w:pPr>
      <w:r>
        <w:rPr>
          <w:rFonts w:hint="eastAsia" w:ascii="宋体" w:hAnsi="宋体" w:cs="宋体"/>
          <w:sz w:val="24"/>
          <w:szCs w:val="24"/>
        </w:rPr>
        <w:t>6、节能收益计算：</w:t>
      </w:r>
      <w:r>
        <w:rPr>
          <w:rFonts w:hint="eastAsia" w:ascii="宋体" w:hAnsi="宋体" w:cs="宋体"/>
          <w:bCs/>
          <w:sz w:val="24"/>
          <w:szCs w:val="24"/>
        </w:rPr>
        <w:t>乙方年度收益=(各类功率灯具改造前后功率差额×各类灯具数量)之和×全年全夜开灯时间×电费单价</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7、所有实施路灯节能收益总合计即为项目每年总节能收益。</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8、甲方后期对部分灯具部分时间段进行功率调整所产生的节能收益归甲方所有，不计入乙方节能收益；如遇政府规划、建设调整、供电不正常等及不可抗力等因素，造成灯具不能正常工作或提前拆除且不恢复情况，该部分灯具节能收益仍归乙方所有。</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9、投资收益结算及节能款的支付：自竣工验收合格次日起每月结算一次投资收益，乙方根据计算的节能收益向甲方发出书面付款要求，经甲方审核确认后十五个工作日内支付给乙方。节能收益计算以理论计算为准。最后一次的投资收益在合同期满完成所有移交手续后3个月内付清。</w:t>
      </w:r>
    </w:p>
    <w:p>
      <w:pPr>
        <w:tabs>
          <w:tab w:val="left" w:pos="426"/>
        </w:tabs>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10、乙方凭以下文件申请支付款项：</w:t>
      </w:r>
    </w:p>
    <w:p>
      <w:pPr>
        <w:adjustRightInd w:val="0"/>
        <w:snapToGrid w:val="0"/>
        <w:spacing w:line="360" w:lineRule="auto"/>
        <w:ind w:right="-99" w:rightChars="-47" w:firstLine="480" w:firstLineChars="200"/>
        <w:jc w:val="left"/>
        <w:rPr>
          <w:rFonts w:ascii="宋体" w:hAnsi="宋体" w:cs="宋体"/>
          <w:sz w:val="24"/>
          <w:szCs w:val="24"/>
        </w:rPr>
      </w:pPr>
      <w:r>
        <w:rPr>
          <w:rFonts w:hint="eastAsia" w:ascii="宋体" w:hAnsi="宋体" w:cs="宋体"/>
          <w:sz w:val="24"/>
          <w:szCs w:val="24"/>
        </w:rPr>
        <w:t>甲方向乙方支付每项款项前，乙方应向甲方开具等额正式发票；未按时开具的，甲方有权延期付款。</w:t>
      </w:r>
    </w:p>
    <w:p>
      <w:pPr>
        <w:adjustRightInd w:val="0"/>
        <w:snapToGrid w:val="0"/>
        <w:spacing w:line="360" w:lineRule="auto"/>
        <w:ind w:left="-1" w:leftChars="-1" w:hanging="1"/>
        <w:jc w:val="left"/>
        <w:rPr>
          <w:rFonts w:ascii="宋体" w:hAnsi="宋体" w:cs="宋体"/>
          <w:bCs/>
          <w:sz w:val="24"/>
          <w:szCs w:val="24"/>
        </w:rPr>
      </w:pPr>
      <w:r>
        <w:rPr>
          <w:rFonts w:hint="eastAsia" w:ascii="宋体" w:hAnsi="宋体" w:cs="宋体"/>
          <w:sz w:val="24"/>
          <w:szCs w:val="24"/>
        </w:rPr>
        <w:t>11、付款方式：转账或电汇。</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十、技改投资</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1、技改投资：节能技改乙完成，项目灯具等其他设备的采购、运输、拆除、安装、节能技术和技改费用以及项目质量保证期内的服务、备品备件等费用全部由乙方投入。</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2、在本项目运行期间，乙方有权为优化项目方案、提高节能收益对项目进行改造，包括但不限于对相关灯具或设施进行添加、替换、改造，或者是对相关操作、服务、质保程序和方法进行修改；乙方应当预先将项目改造方案提交甲方审核，甲方审核通过后方可进行，所有的改造费用由乙方承担，并不能负面影响项目功能。</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十一、产权归属</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1、项目节能改造设施安装竣工验收后，合同期内项目设施所有权归乙方所有，合同期满无偿转交给甲方所有。</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2、项目财产的所有权由乙方移交给甲方时，应同时移交本项目继续运行所必需的资料。如</w:t>
      </w:r>
      <w:r>
        <w:rPr>
          <w:rFonts w:hint="eastAsia" w:ascii="宋体" w:hAnsi="宋体" w:cs="宋体"/>
          <w:color w:val="000000"/>
          <w:kern w:val="0"/>
          <w:sz w:val="24"/>
          <w:szCs w:val="24"/>
          <w:lang w:bidi="ar"/>
        </w:rPr>
        <w:t>该项目财产的继续使用需要乙方的相关技术和相关知识产权的授权，乙方应当无偿向甲方提供该等授权。如</w:t>
      </w:r>
      <w:r>
        <w:rPr>
          <w:rFonts w:hint="eastAsia" w:ascii="宋体" w:hAnsi="宋体" w:cs="宋体"/>
          <w:sz w:val="24"/>
          <w:szCs w:val="24"/>
        </w:rPr>
        <w:t>该项目财产的继续使用涉及第三方的服务和相关知识产权的授权，该服务和授权费用由乙方承担。</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十二、违约责任</w:t>
      </w:r>
    </w:p>
    <w:p>
      <w:pPr>
        <w:adjustRightInd w:val="0"/>
        <w:snapToGrid w:val="0"/>
        <w:spacing w:line="360" w:lineRule="auto"/>
        <w:ind w:left="237" w:leftChars="113" w:firstLine="237" w:firstLineChars="99"/>
        <w:jc w:val="left"/>
        <w:rPr>
          <w:rFonts w:ascii="宋体" w:hAnsi="宋体" w:cs="宋体"/>
          <w:sz w:val="24"/>
          <w:szCs w:val="24"/>
        </w:rPr>
      </w:pPr>
      <w:r>
        <w:rPr>
          <w:rFonts w:hint="eastAsia" w:ascii="宋体" w:hAnsi="宋体" w:cs="宋体"/>
          <w:sz w:val="24"/>
          <w:szCs w:val="24"/>
        </w:rPr>
        <w:t xml:space="preserve">1、本合同生效后，项目验收之前，如甲方反悔不履行合同，应按项目设 </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 xml:space="preserve">计的节能效益收益总额的 20%向乙方支付违约金，并赔偿乙方为实施项目产生的实际损失，该项损失包括但不限于设备价款、运输费、安装费、能源审计费、律师费等，本合同方能解除。 </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如果项目安装调试完毕乙方通知甲方验收，甲方无故拖延验收，每拖延一日， </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甲方应向乙方支付违约金</w:t>
      </w:r>
      <w:r>
        <w:rPr>
          <w:rFonts w:hint="eastAsia" w:ascii="宋体" w:hAnsi="宋体" w:cs="宋体"/>
          <w:sz w:val="24"/>
          <w:szCs w:val="24"/>
          <w:u w:val="single"/>
        </w:rPr>
        <w:t xml:space="preserve">       </w:t>
      </w:r>
      <w:r>
        <w:rPr>
          <w:rFonts w:hint="eastAsia" w:ascii="宋体" w:hAnsi="宋体" w:cs="宋体"/>
          <w:sz w:val="24"/>
          <w:szCs w:val="24"/>
        </w:rPr>
        <w:t xml:space="preserve">元人民币，直至验收为止，相应的节能效益分 </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 xml:space="preserve">享日期顺延。 </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2、如果甲方未按本合同规定的期限和数额向乙方或乙方的受让人的指定 </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 xml:space="preserve">账户支付节能效益分享款，应当按照应付未付金额每日万分之五向乙方支付违约金，直至付清为止。如果经乙方催告，甲方在 30 天内支付了相应的款项，则不视为违约。 </w:t>
      </w:r>
    </w:p>
    <w:p>
      <w:pPr>
        <w:adjustRightInd w:val="0"/>
        <w:snapToGrid w:val="0"/>
        <w:spacing w:line="360" w:lineRule="auto"/>
        <w:ind w:left="237" w:leftChars="113" w:firstLine="237" w:firstLineChars="99"/>
        <w:jc w:val="left"/>
        <w:rPr>
          <w:rFonts w:ascii="宋体" w:hAnsi="宋体" w:cs="宋体"/>
          <w:sz w:val="24"/>
          <w:szCs w:val="24"/>
        </w:rPr>
      </w:pPr>
      <w:r>
        <w:rPr>
          <w:rFonts w:hint="eastAsia" w:ascii="宋体" w:hAnsi="宋体" w:cs="宋体"/>
          <w:sz w:val="24"/>
          <w:szCs w:val="24"/>
        </w:rPr>
        <w:t xml:space="preserve">3、如果乙方延误时间完成项目的建设，则应当根据延误的天数按照甲方 </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 xml:space="preserve">应当分享的节能效益比例，向甲方支付违约金。但是由于不可抗力或者甲方的过 </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 xml:space="preserve">错导致延误乙方不承担责任。 </w:t>
      </w:r>
    </w:p>
    <w:p>
      <w:pPr>
        <w:adjustRightInd w:val="0"/>
        <w:snapToGrid w:val="0"/>
        <w:spacing w:line="360" w:lineRule="auto"/>
        <w:ind w:left="237" w:leftChars="113" w:firstLine="237" w:firstLineChars="99"/>
        <w:jc w:val="left"/>
        <w:rPr>
          <w:rFonts w:ascii="宋体" w:hAnsi="宋体" w:cs="宋体"/>
          <w:sz w:val="24"/>
          <w:szCs w:val="24"/>
        </w:rPr>
      </w:pPr>
      <w:r>
        <w:rPr>
          <w:rFonts w:hint="eastAsia" w:ascii="宋体" w:hAnsi="宋体" w:cs="宋体"/>
          <w:sz w:val="24"/>
          <w:szCs w:val="24"/>
        </w:rPr>
        <w:t xml:space="preserve">4、设备安装完毕满 60 天仍不能正常运行或正常运行后连续 90 天达不到 </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 xml:space="preserve">预期的节能效果，视为乙方违约，甲方有权要求乙方赔偿项目建设所造成的损失， </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并可以解除本合同。</w:t>
      </w:r>
    </w:p>
    <w:p>
      <w:pPr>
        <w:adjustRightInd w:val="0"/>
        <w:snapToGrid w:val="0"/>
        <w:spacing w:line="360" w:lineRule="auto"/>
        <w:ind w:left="-1" w:leftChars="-1" w:hanging="1"/>
        <w:jc w:val="left"/>
        <w:rPr>
          <w:rFonts w:ascii="宋体" w:hAnsi="宋体" w:cs="宋体"/>
          <w:sz w:val="24"/>
          <w:szCs w:val="24"/>
        </w:rPr>
      </w:pP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十三、不可抗力</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1、一方因为不可抗力的出现而无法继续履行本合同的，应于不可抗力事件发生起十五个工作日内向另一方发出书面通知，通知中应说明事件为不可抗力事件。</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2、因不可抗力事件导致本合同不能继续履行或迟缓履行的，不构成违约，也不发生损失、损害或赔偿主张。在此情形下，遭受不可抗力的一方面应采取合理的措施尽可能的减少不可抗力事故所造成的损失。</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十四、争议解决：在执行合同过程中，双方未尽事宜可另行协商后书面补充。双方发生争议时可先协商。协商未果，可向甲方所在的当地人民法院提起诉讼。</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十五、其它：招标文件及其附件、乙方投标文件、乙方在招投标过程中所作的其它承诺、声明、书面澄清等及本合同的附件均为合同不可分割的组成部分，与本合同具有同等法律效力；本合同及附件之间规定不一致时，以规定详细或要求较高的为准。</w:t>
      </w:r>
    </w:p>
    <w:p>
      <w:pPr>
        <w:adjustRightInd w:val="0"/>
        <w:snapToGrid w:val="0"/>
        <w:spacing w:line="360" w:lineRule="auto"/>
        <w:ind w:left="-1" w:leftChars="-1" w:hanging="1"/>
        <w:jc w:val="left"/>
        <w:rPr>
          <w:rFonts w:ascii="宋体" w:hAnsi="宋体" w:cs="宋体"/>
          <w:kern w:val="0"/>
          <w:sz w:val="24"/>
          <w:szCs w:val="24"/>
        </w:rPr>
      </w:pPr>
      <w:r>
        <w:rPr>
          <w:rFonts w:hint="eastAsia" w:ascii="宋体" w:hAnsi="宋体" w:cs="宋体"/>
          <w:sz w:val="24"/>
          <w:szCs w:val="24"/>
        </w:rPr>
        <w:t>十六、合同的生效：</w:t>
      </w:r>
      <w:r>
        <w:rPr>
          <w:rFonts w:hint="eastAsia" w:ascii="宋体" w:hAnsi="宋体" w:cs="宋体"/>
          <w:kern w:val="0"/>
          <w:sz w:val="24"/>
          <w:szCs w:val="24"/>
        </w:rPr>
        <w:t>本合同经招标代理机构加盖骑缝章，甲乙双方签字盖章后生效，</w:t>
      </w:r>
      <w:r>
        <w:rPr>
          <w:rFonts w:hint="eastAsia" w:ascii="宋体" w:hAnsi="宋体" w:cs="宋体"/>
          <w:sz w:val="24"/>
          <w:szCs w:val="24"/>
        </w:rPr>
        <w:t>生效合同自签订之日起2个工作日内上网备案</w:t>
      </w:r>
      <w:r>
        <w:rPr>
          <w:rFonts w:hint="eastAsia" w:ascii="宋体" w:hAnsi="宋体" w:cs="宋体"/>
          <w:kern w:val="0"/>
          <w:sz w:val="24"/>
          <w:szCs w:val="24"/>
        </w:rPr>
        <w:t>。</w:t>
      </w:r>
    </w:p>
    <w:p>
      <w:pPr>
        <w:autoSpaceDE w:val="0"/>
        <w:autoSpaceDN w:val="0"/>
        <w:adjustRightInd w:val="0"/>
        <w:snapToGrid w:val="0"/>
        <w:spacing w:line="360" w:lineRule="auto"/>
        <w:ind w:left="-1" w:leftChars="-1" w:hanging="1"/>
        <w:jc w:val="left"/>
        <w:rPr>
          <w:rFonts w:ascii="宋体" w:hAnsi="宋体" w:cs="宋体"/>
          <w:bCs/>
          <w:sz w:val="24"/>
          <w:szCs w:val="24"/>
          <w:lang w:val="zh-CN"/>
        </w:rPr>
      </w:pPr>
      <w:r>
        <w:rPr>
          <w:rFonts w:hint="eastAsia" w:ascii="宋体" w:hAnsi="宋体" w:cs="宋体"/>
          <w:bCs/>
          <w:sz w:val="24"/>
          <w:szCs w:val="24"/>
          <w:lang w:val="zh-CN"/>
        </w:rPr>
        <w:t>十七、附则</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1、合同份数：本合同一式陆份，甲、乙双方各执贰份，招标机构、政府采购管理部门各执壹份。</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2、本合同文件使用中文书写、解释和说明。</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3、本合同履行过程中产生的纪要、合同以及中标通知书、投标文件和招标文件为本合同的附件，与合同具有同等效力。</w:t>
      </w:r>
    </w:p>
    <w:p>
      <w:pPr>
        <w:adjustRightInd w:val="0"/>
        <w:snapToGrid w:val="0"/>
        <w:spacing w:line="360" w:lineRule="auto"/>
        <w:ind w:left="-1" w:leftChars="-1" w:hanging="1"/>
        <w:jc w:val="left"/>
        <w:rPr>
          <w:rFonts w:ascii="宋体" w:hAnsi="宋体" w:cs="宋体"/>
          <w:sz w:val="24"/>
          <w:szCs w:val="24"/>
        </w:rPr>
      </w:pPr>
      <w:r>
        <w:rPr>
          <w:rFonts w:hint="eastAsia" w:ascii="宋体" w:hAnsi="宋体" w:cs="宋体"/>
          <w:sz w:val="24"/>
          <w:szCs w:val="24"/>
        </w:rPr>
        <w:t>4、未尽事宜：本合同未尽事宜应按照《中华人民共和国民法典》、《中华人民共和国政府采购法》之规定解释。</w:t>
      </w:r>
    </w:p>
    <w:p>
      <w:pPr>
        <w:autoSpaceDE w:val="0"/>
        <w:autoSpaceDN w:val="0"/>
        <w:adjustRightInd w:val="0"/>
        <w:snapToGrid w:val="0"/>
        <w:spacing w:line="360" w:lineRule="auto"/>
        <w:ind w:left="-1" w:leftChars="-1" w:hanging="1"/>
        <w:jc w:val="left"/>
        <w:rPr>
          <w:rFonts w:ascii="宋体" w:hAnsi="宋体" w:cs="宋体"/>
          <w:bCs/>
          <w:sz w:val="24"/>
          <w:szCs w:val="24"/>
          <w:lang w:val="zh-CN"/>
        </w:rPr>
      </w:pPr>
      <w:r>
        <w:rPr>
          <w:rFonts w:hint="eastAsia" w:ascii="宋体" w:hAnsi="宋体" w:cs="宋体"/>
          <w:bCs/>
          <w:sz w:val="24"/>
          <w:szCs w:val="24"/>
          <w:lang w:val="zh-CN"/>
        </w:rPr>
        <w:t>十八、合同附件</w:t>
      </w:r>
    </w:p>
    <w:p>
      <w:pPr>
        <w:numPr>
          <w:ilvl w:val="0"/>
          <w:numId w:val="1"/>
        </w:numPr>
        <w:autoSpaceDE w:val="0"/>
        <w:autoSpaceDN w:val="0"/>
        <w:adjustRightInd w:val="0"/>
        <w:snapToGrid w:val="0"/>
        <w:spacing w:line="360" w:lineRule="auto"/>
        <w:jc w:val="left"/>
        <w:rPr>
          <w:rFonts w:ascii="宋体" w:hAnsi="宋体" w:cs="宋体"/>
          <w:bCs/>
          <w:sz w:val="24"/>
          <w:szCs w:val="24"/>
          <w:lang w:val="zh-CN"/>
        </w:rPr>
      </w:pPr>
      <w:r>
        <w:rPr>
          <w:rFonts w:hint="eastAsia" w:ascii="宋体" w:hAnsi="宋体" w:cs="宋体"/>
          <w:bCs/>
          <w:sz w:val="24"/>
          <w:szCs w:val="24"/>
          <w:lang w:val="zh-CN"/>
        </w:rPr>
        <w:t>项目安全协议书</w:t>
      </w:r>
    </w:p>
    <w:p>
      <w:pPr>
        <w:ind w:firstLine="562" w:firstLineChars="200"/>
        <w:jc w:val="center"/>
        <w:rPr>
          <w:rFonts w:ascii="宋体" w:hAnsi="宋体" w:cs="宋体"/>
          <w:b/>
          <w:bCs/>
          <w:sz w:val="28"/>
          <w:szCs w:val="28"/>
        </w:rPr>
      </w:pPr>
      <w:r>
        <w:rPr>
          <w:rFonts w:hint="eastAsia" w:ascii="宋体" w:hAnsi="宋体" w:cs="宋体"/>
          <w:b/>
          <w:bCs/>
          <w:sz w:val="28"/>
          <w:szCs w:val="28"/>
        </w:rPr>
        <w:t>项目安全协议书</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甲方：               </w:t>
      </w:r>
    </w:p>
    <w:p>
      <w:pPr>
        <w:spacing w:line="360" w:lineRule="auto"/>
        <w:ind w:firstLine="480" w:firstLineChars="200"/>
        <w:rPr>
          <w:rFonts w:ascii="宋体" w:hAnsi="宋体" w:cs="宋体"/>
          <w:sz w:val="24"/>
          <w:szCs w:val="24"/>
        </w:rPr>
      </w:pPr>
      <w:r>
        <w:rPr>
          <w:rFonts w:hint="eastAsia" w:ascii="宋体" w:hAnsi="宋体" w:cs="宋体"/>
          <w:sz w:val="24"/>
          <w:szCs w:val="24"/>
        </w:rPr>
        <w:t>乙方:</w:t>
      </w:r>
      <w:r>
        <w:rPr>
          <w:rFonts w:hint="eastAsia" w:ascii="宋体" w:hAnsi="宋体" w:cs="宋体"/>
          <w:b/>
          <w:bCs/>
          <w:sz w:val="24"/>
          <w:szCs w:val="24"/>
        </w:rPr>
        <w:t xml:space="preserve">  </w:t>
      </w: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为贯彻国家安全生产法律、法规、条例、规章以及“安全第一，预防为主，综合治理”的安全生产方针，明确甲乙双方的安全生产管理目标及责任，确保项目安全，杜绝安全事故发生，双方本着平等、自愿、公平和诚实信用的原则协商一致，同意在签订项目合同时，签订《项目安全协议书》连同有关专业作业规范指导意见书（视同专业安全责任清单），作为甲乙双方承发包合同附件。</w:t>
      </w:r>
    </w:p>
    <w:p>
      <w:pPr>
        <w:spacing w:line="360" w:lineRule="auto"/>
        <w:rPr>
          <w:rFonts w:ascii="宋体" w:hAnsi="宋体" w:cs="宋体"/>
          <w:sz w:val="24"/>
          <w:szCs w:val="24"/>
        </w:rPr>
      </w:pPr>
      <w:r>
        <w:rPr>
          <w:rFonts w:hint="eastAsia" w:ascii="宋体" w:hAnsi="宋体" w:cs="宋体"/>
          <w:sz w:val="24"/>
          <w:szCs w:val="24"/>
        </w:rPr>
        <w:t>一、项目名称：</w:t>
      </w:r>
      <w:r>
        <w:rPr>
          <w:rFonts w:hint="eastAsia" w:ascii="宋体" w:hAnsi="宋体" w:cs="宋体"/>
          <w:sz w:val="24"/>
          <w:szCs w:val="24"/>
          <w:u w:val="single"/>
        </w:rPr>
        <w:t xml:space="preserve">_                            </w:t>
      </w:r>
    </w:p>
    <w:p>
      <w:pPr>
        <w:spacing w:line="360" w:lineRule="auto"/>
        <w:rPr>
          <w:rFonts w:ascii="宋体" w:hAnsi="宋体" w:cs="宋体"/>
          <w:sz w:val="24"/>
          <w:szCs w:val="24"/>
        </w:rPr>
      </w:pPr>
      <w:r>
        <w:rPr>
          <w:rFonts w:hint="eastAsia" w:ascii="宋体" w:hAnsi="宋体" w:cs="宋体"/>
          <w:sz w:val="24"/>
          <w:szCs w:val="24"/>
        </w:rPr>
        <w:t>二、项目概况：见甲乙双方承发包合同。</w:t>
      </w:r>
    </w:p>
    <w:p>
      <w:pPr>
        <w:spacing w:line="360" w:lineRule="auto"/>
        <w:rPr>
          <w:rFonts w:ascii="宋体" w:hAnsi="宋体" w:cs="宋体"/>
          <w:sz w:val="24"/>
          <w:szCs w:val="24"/>
        </w:rPr>
      </w:pPr>
      <w:r>
        <w:rPr>
          <w:rFonts w:hint="eastAsia" w:ascii="宋体" w:hAnsi="宋体" w:cs="宋体"/>
          <w:sz w:val="24"/>
          <w:szCs w:val="24"/>
        </w:rPr>
        <w:t>三、安全生产目标：安全生产无事故</w:t>
      </w:r>
    </w:p>
    <w:p>
      <w:pPr>
        <w:spacing w:line="360" w:lineRule="auto"/>
        <w:rPr>
          <w:rFonts w:ascii="宋体" w:hAnsi="宋体" w:cs="宋体"/>
          <w:sz w:val="24"/>
          <w:szCs w:val="24"/>
        </w:rPr>
      </w:pPr>
      <w:r>
        <w:rPr>
          <w:rFonts w:hint="eastAsia" w:ascii="宋体" w:hAnsi="宋体" w:cs="宋体"/>
          <w:sz w:val="24"/>
          <w:szCs w:val="24"/>
        </w:rPr>
        <w:t>四、 项目现场管理人员</w:t>
      </w:r>
    </w:p>
    <w:p>
      <w:pPr>
        <w:spacing w:line="360" w:lineRule="auto"/>
        <w:rPr>
          <w:rFonts w:ascii="宋体" w:hAnsi="宋体" w:cs="宋体"/>
          <w:sz w:val="24"/>
          <w:szCs w:val="24"/>
        </w:rPr>
      </w:pPr>
      <w:r>
        <w:rPr>
          <w:rFonts w:hint="eastAsia" w:ascii="宋体" w:hAnsi="宋体" w:cs="宋体"/>
          <w:sz w:val="24"/>
          <w:szCs w:val="24"/>
        </w:rPr>
        <w:t>为保证项目安全管理与明确安全责任，现场管理人员明确如下：</w:t>
      </w:r>
    </w:p>
    <w:p>
      <w:pPr>
        <w:spacing w:line="360" w:lineRule="auto"/>
        <w:rPr>
          <w:rFonts w:ascii="宋体" w:hAnsi="宋体" w:cs="宋体"/>
          <w:sz w:val="24"/>
          <w:szCs w:val="24"/>
        </w:rPr>
      </w:pPr>
      <w:r>
        <w:rPr>
          <w:rFonts w:hint="eastAsia" w:ascii="宋体" w:hAnsi="宋体" w:cs="宋体"/>
          <w:sz w:val="24"/>
          <w:szCs w:val="24"/>
        </w:rPr>
        <w:t>1．甲方人员：</w:t>
      </w:r>
      <w:r>
        <w:rPr>
          <w:rFonts w:hint="eastAsia" w:ascii="宋体" w:hAnsi="宋体" w:cs="宋体"/>
          <w:sz w:val="24"/>
          <w:szCs w:val="24"/>
          <w:u w:val="single"/>
        </w:rPr>
        <w:t xml:space="preserve">                  </w:t>
      </w:r>
    </w:p>
    <w:p>
      <w:pPr>
        <w:spacing w:line="360" w:lineRule="auto"/>
        <w:ind w:firstLine="360" w:firstLineChars="150"/>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u w:val="single"/>
        </w:rPr>
        <w:t xml:space="preserve">__                </w:t>
      </w:r>
    </w:p>
    <w:p>
      <w:pPr>
        <w:spacing w:line="360" w:lineRule="auto"/>
        <w:rPr>
          <w:rFonts w:ascii="宋体" w:hAnsi="宋体" w:cs="宋体"/>
          <w:sz w:val="24"/>
          <w:szCs w:val="24"/>
        </w:rPr>
      </w:pPr>
      <w:r>
        <w:rPr>
          <w:rFonts w:hint="eastAsia" w:ascii="宋体" w:hAnsi="宋体" w:cs="宋体"/>
          <w:sz w:val="24"/>
          <w:szCs w:val="24"/>
        </w:rPr>
        <w:t>2．乙方人员：</w:t>
      </w:r>
      <w:r>
        <w:rPr>
          <w:rFonts w:hint="eastAsia" w:ascii="宋体" w:hAnsi="宋体" w:cs="宋体"/>
          <w:sz w:val="24"/>
          <w:szCs w:val="24"/>
          <w:u w:val="single"/>
        </w:rPr>
        <w:t xml:space="preserve">                  </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u w:val="single"/>
        </w:rPr>
        <w:t>_                _</w:t>
      </w:r>
    </w:p>
    <w:p>
      <w:pPr>
        <w:spacing w:line="360" w:lineRule="auto"/>
        <w:rPr>
          <w:rFonts w:ascii="宋体" w:hAnsi="宋体" w:cs="宋体"/>
          <w:sz w:val="24"/>
          <w:szCs w:val="24"/>
        </w:rPr>
      </w:pPr>
      <w:r>
        <w:rPr>
          <w:rFonts w:hint="eastAsia" w:ascii="宋体" w:hAnsi="宋体" w:cs="宋体"/>
          <w:sz w:val="24"/>
          <w:szCs w:val="24"/>
        </w:rPr>
        <w:t>五、甲方安全责任</w:t>
      </w:r>
    </w:p>
    <w:p>
      <w:pPr>
        <w:spacing w:line="360" w:lineRule="auto"/>
        <w:rPr>
          <w:rFonts w:ascii="宋体" w:hAnsi="宋体" w:cs="宋体"/>
          <w:sz w:val="24"/>
          <w:szCs w:val="24"/>
        </w:rPr>
      </w:pPr>
      <w:r>
        <w:rPr>
          <w:rFonts w:hint="eastAsia" w:ascii="宋体" w:hAnsi="宋体" w:cs="宋体"/>
          <w:sz w:val="24"/>
          <w:szCs w:val="24"/>
        </w:rPr>
        <w:t>1．甲方（或委托监理单位）有权检查乙方项目实施的安全及文明现场管理工作。</w:t>
      </w:r>
    </w:p>
    <w:p>
      <w:pPr>
        <w:spacing w:line="360" w:lineRule="auto"/>
        <w:rPr>
          <w:rFonts w:ascii="宋体" w:hAnsi="宋体" w:cs="宋体"/>
          <w:sz w:val="24"/>
          <w:szCs w:val="24"/>
        </w:rPr>
      </w:pPr>
      <w:r>
        <w:rPr>
          <w:rFonts w:hint="eastAsia" w:ascii="宋体" w:hAnsi="宋体" w:cs="宋体"/>
          <w:sz w:val="24"/>
          <w:szCs w:val="24"/>
        </w:rPr>
        <w:t>2．甲方有权对乙方在项目中履行安全生产主体责任情况检查督促，对乙方在项目中不履行安全生产主体责任的有关事实、有关人员违章作业等行为进行制止、纠正并发出安全整改通知书、处罚通知书，直至清退出场，解除合同。</w:t>
      </w:r>
    </w:p>
    <w:p>
      <w:pPr>
        <w:spacing w:line="360" w:lineRule="auto"/>
        <w:rPr>
          <w:rFonts w:ascii="宋体" w:hAnsi="宋体" w:cs="宋体"/>
          <w:sz w:val="24"/>
          <w:szCs w:val="24"/>
        </w:rPr>
      </w:pPr>
      <w:r>
        <w:rPr>
          <w:rFonts w:hint="eastAsia" w:ascii="宋体" w:hAnsi="宋体" w:cs="宋体"/>
          <w:sz w:val="24"/>
          <w:szCs w:val="24"/>
        </w:rPr>
        <w:t>六、乙方安全责任</w:t>
      </w:r>
    </w:p>
    <w:p>
      <w:pPr>
        <w:spacing w:line="360" w:lineRule="auto"/>
        <w:rPr>
          <w:rFonts w:ascii="宋体" w:hAnsi="宋体" w:cs="宋体"/>
          <w:sz w:val="24"/>
          <w:szCs w:val="24"/>
        </w:rPr>
      </w:pPr>
      <w:r>
        <w:rPr>
          <w:rFonts w:hint="eastAsia" w:ascii="宋体" w:hAnsi="宋体" w:cs="宋体"/>
          <w:sz w:val="24"/>
          <w:szCs w:val="24"/>
        </w:rPr>
        <w:t>1、乙方作为项目的承包单位负有安全生产主体责任，对项目客体安全隐患导致的事故，以及所发生的任何人员、财产安全事故负有直接责任，并应承担全部经济赔偿责任、全部法律责任。</w:t>
      </w:r>
    </w:p>
    <w:p>
      <w:pPr>
        <w:spacing w:line="360" w:lineRule="auto"/>
        <w:rPr>
          <w:rFonts w:ascii="宋体" w:hAnsi="宋体" w:cs="宋体"/>
          <w:sz w:val="24"/>
          <w:szCs w:val="24"/>
        </w:rPr>
      </w:pPr>
      <w:r>
        <w:rPr>
          <w:rFonts w:hint="eastAsia" w:ascii="宋体" w:hAnsi="宋体" w:cs="宋体"/>
          <w:sz w:val="24"/>
          <w:szCs w:val="24"/>
        </w:rPr>
        <w:t>2、乙方应切实履行以下安全保障义务责任：</w:t>
      </w:r>
    </w:p>
    <w:p>
      <w:pPr>
        <w:spacing w:line="360" w:lineRule="auto"/>
        <w:rPr>
          <w:rFonts w:ascii="宋体" w:hAnsi="宋体" w:cs="宋体"/>
          <w:sz w:val="24"/>
          <w:szCs w:val="24"/>
        </w:rPr>
      </w:pPr>
      <w:r>
        <w:rPr>
          <w:rFonts w:hint="eastAsia" w:ascii="宋体" w:hAnsi="宋体" w:cs="宋体"/>
          <w:sz w:val="24"/>
          <w:szCs w:val="24"/>
        </w:rPr>
        <w:t>2.1乙方所提供的项目要求的相关资质证明材料应真实、合法、有效。</w:t>
      </w:r>
    </w:p>
    <w:p>
      <w:pPr>
        <w:spacing w:line="360" w:lineRule="auto"/>
        <w:rPr>
          <w:rFonts w:ascii="宋体" w:hAnsi="宋体" w:cs="宋体"/>
          <w:sz w:val="24"/>
          <w:szCs w:val="24"/>
        </w:rPr>
      </w:pPr>
      <w:r>
        <w:rPr>
          <w:rFonts w:hint="eastAsia" w:ascii="宋体" w:hAnsi="宋体" w:cs="宋体"/>
          <w:sz w:val="24"/>
          <w:szCs w:val="24"/>
        </w:rPr>
        <w:t>2.2乙方必须严格执行《中华人民共和国安全生产法》、项目安全相关的国家有关法律法规，以及政府有关部门对项目有关的安全生产行政指令（一般以文件形式）。乙方还应遵守《作业规范指导意见书》有关规定。</w:t>
      </w:r>
    </w:p>
    <w:p>
      <w:pPr>
        <w:spacing w:line="360" w:lineRule="auto"/>
        <w:rPr>
          <w:rFonts w:ascii="宋体" w:hAnsi="宋体" w:cs="宋体"/>
          <w:sz w:val="24"/>
          <w:szCs w:val="24"/>
        </w:rPr>
      </w:pPr>
      <w:r>
        <w:rPr>
          <w:rFonts w:hint="eastAsia" w:ascii="宋体" w:hAnsi="宋体" w:cs="宋体"/>
          <w:sz w:val="24"/>
          <w:szCs w:val="24"/>
        </w:rPr>
        <w:t>2.3乙方必须制定相应的安全管理制度，建立安全生产管理小组，项目经理为安全生产责任人。安全生产管理小组应根据项目大小确保每日有1-3名安全管理人员巡视项目现场。</w:t>
      </w:r>
    </w:p>
    <w:p>
      <w:pPr>
        <w:spacing w:line="360" w:lineRule="auto"/>
        <w:rPr>
          <w:rFonts w:ascii="宋体" w:hAnsi="宋体" w:cs="宋体"/>
          <w:sz w:val="24"/>
          <w:szCs w:val="24"/>
        </w:rPr>
      </w:pPr>
      <w:r>
        <w:rPr>
          <w:rFonts w:hint="eastAsia" w:ascii="宋体" w:hAnsi="宋体" w:cs="宋体"/>
          <w:sz w:val="24"/>
          <w:szCs w:val="24"/>
        </w:rPr>
        <w:t>2.4乙方项目实施，应遵守国家和地方关于劳动安全，劳务用工法律法规及规章制度，保证项目用工的合法性。</w:t>
      </w:r>
    </w:p>
    <w:p>
      <w:pPr>
        <w:spacing w:line="360" w:lineRule="auto"/>
        <w:rPr>
          <w:rFonts w:ascii="宋体" w:hAnsi="宋体" w:cs="宋体"/>
          <w:sz w:val="24"/>
          <w:szCs w:val="24"/>
        </w:rPr>
      </w:pPr>
      <w:r>
        <w:rPr>
          <w:rFonts w:hint="eastAsia" w:ascii="宋体" w:hAnsi="宋体" w:cs="宋体"/>
          <w:sz w:val="24"/>
          <w:szCs w:val="24"/>
        </w:rPr>
        <w:t>2.5乙方必须按国家有关规定，购买足额的人身险、意外险、雇主责任险等保险，为项目人员配备足够数量的、合格有效的安全防护用品、安全用具。</w:t>
      </w:r>
    </w:p>
    <w:p>
      <w:pPr>
        <w:spacing w:line="360" w:lineRule="auto"/>
        <w:rPr>
          <w:rFonts w:ascii="宋体" w:hAnsi="宋体" w:cs="宋体"/>
          <w:sz w:val="24"/>
          <w:szCs w:val="24"/>
        </w:rPr>
      </w:pPr>
      <w:r>
        <w:rPr>
          <w:rFonts w:hint="eastAsia" w:ascii="宋体" w:hAnsi="宋体" w:cs="宋体"/>
          <w:sz w:val="24"/>
          <w:szCs w:val="24"/>
        </w:rPr>
        <w:t>2.6项目实施前，乙方须组织全体人员进行安全教育，未接受教育的，不得上岗作业。特种作业人员必须持有《中华人民共和国特种作业操作证》，且不超过国家法定退休年龄。</w:t>
      </w:r>
    </w:p>
    <w:p>
      <w:pPr>
        <w:spacing w:line="360" w:lineRule="auto"/>
        <w:rPr>
          <w:rFonts w:ascii="宋体" w:hAnsi="宋体" w:cs="宋体"/>
          <w:sz w:val="24"/>
          <w:szCs w:val="24"/>
        </w:rPr>
      </w:pPr>
      <w:r>
        <w:rPr>
          <w:rFonts w:hint="eastAsia" w:ascii="宋体" w:hAnsi="宋体" w:cs="宋体"/>
          <w:sz w:val="24"/>
          <w:szCs w:val="24"/>
        </w:rPr>
        <w:t>2.7项目开始前，乙方应对项目安全情况摸底后向现场工作人员交底并形成书面记录，并按规定制定各类安全方案（措施）报甲方备案。</w:t>
      </w:r>
    </w:p>
    <w:p>
      <w:pPr>
        <w:spacing w:line="360" w:lineRule="auto"/>
        <w:rPr>
          <w:rFonts w:ascii="宋体" w:hAnsi="宋体" w:cs="宋体"/>
          <w:sz w:val="24"/>
          <w:szCs w:val="24"/>
        </w:rPr>
      </w:pPr>
      <w:r>
        <w:rPr>
          <w:rFonts w:hint="eastAsia" w:ascii="宋体" w:hAnsi="宋体" w:cs="宋体"/>
          <w:sz w:val="24"/>
          <w:szCs w:val="24"/>
        </w:rPr>
        <w:t>2.8乙方必须接受甲方（或委托的第三方单位）的监督、检查，对甲方提出的安全整改意见必须及时整改。</w:t>
      </w:r>
    </w:p>
    <w:p>
      <w:pPr>
        <w:spacing w:line="360" w:lineRule="auto"/>
        <w:rPr>
          <w:rFonts w:ascii="宋体" w:hAnsi="宋体" w:cs="宋体"/>
          <w:sz w:val="24"/>
          <w:szCs w:val="24"/>
        </w:rPr>
      </w:pPr>
      <w:r>
        <w:rPr>
          <w:rFonts w:hint="eastAsia" w:ascii="宋体" w:hAnsi="宋体" w:cs="宋体"/>
          <w:sz w:val="24"/>
          <w:szCs w:val="24"/>
        </w:rPr>
        <w:t>2.9乙方必须正确使用甲方提供各种设施设备（或有），采取安全防范措施，防止现场的安全防护设施，警示标志、材料、机械设备以及消防器材等被偷盗、挪用、破坏。若有失窃或被损坏的，负责及时补齐，若不补齐的，甲方对乙方加倍处罚。</w:t>
      </w:r>
    </w:p>
    <w:p>
      <w:pPr>
        <w:spacing w:line="360" w:lineRule="auto"/>
        <w:rPr>
          <w:rFonts w:ascii="宋体" w:hAnsi="宋体" w:cs="宋体"/>
          <w:sz w:val="24"/>
          <w:szCs w:val="24"/>
        </w:rPr>
      </w:pPr>
      <w:r>
        <w:rPr>
          <w:rFonts w:hint="eastAsia" w:ascii="宋体" w:hAnsi="宋体" w:cs="宋体"/>
          <w:sz w:val="24"/>
          <w:szCs w:val="24"/>
        </w:rPr>
        <w:t>2.10项目发生安全事件的，乙方须立即采取措施挽救生命，做好现场保护防范次生灾害发生，并立即向甲方报告；事发后，要立即组织成立安全事故（事件）应急处置工作组，积极做好处置工作，防止事态扩大引发舆情；要配合有关方面调查，未了结之前，工作组不解散；事故了结后，应将调查报告及乙方事故处理意见提交甲方备案。（四不放过原则）</w:t>
      </w:r>
    </w:p>
    <w:p>
      <w:pPr>
        <w:spacing w:line="360" w:lineRule="auto"/>
        <w:rPr>
          <w:rFonts w:ascii="宋体" w:hAnsi="宋体" w:cs="宋体"/>
          <w:sz w:val="24"/>
          <w:szCs w:val="24"/>
        </w:rPr>
      </w:pPr>
      <w:r>
        <w:rPr>
          <w:rFonts w:hint="eastAsia" w:ascii="宋体" w:hAnsi="宋体" w:cs="宋体"/>
          <w:sz w:val="24"/>
          <w:szCs w:val="24"/>
        </w:rPr>
        <w:t>2.11乙方应严格遵循、执行对应项目的安全作业手册或安全作业标准或安全作业规范。乙方违反安全作业手册或安全作业标准或安全作业规范任一要求的，构成过错，属于违约，应承担违约赔偿责任。</w:t>
      </w:r>
    </w:p>
    <w:p>
      <w:pPr>
        <w:spacing w:line="360" w:lineRule="auto"/>
        <w:rPr>
          <w:rFonts w:ascii="宋体" w:hAnsi="宋体" w:cs="宋体"/>
          <w:sz w:val="24"/>
          <w:szCs w:val="24"/>
        </w:rPr>
      </w:pPr>
      <w:r>
        <w:rPr>
          <w:rFonts w:hint="eastAsia" w:ascii="宋体" w:hAnsi="宋体" w:cs="宋体"/>
          <w:sz w:val="24"/>
          <w:szCs w:val="24"/>
        </w:rPr>
        <w:t>七、项目有关责任</w:t>
      </w:r>
    </w:p>
    <w:p>
      <w:pPr>
        <w:spacing w:line="360" w:lineRule="auto"/>
        <w:rPr>
          <w:rFonts w:ascii="宋体" w:hAnsi="宋体" w:cs="宋体"/>
          <w:sz w:val="24"/>
          <w:szCs w:val="24"/>
        </w:rPr>
      </w:pPr>
      <w:r>
        <w:rPr>
          <w:rFonts w:hint="eastAsia" w:ascii="宋体" w:hAnsi="宋体" w:cs="宋体"/>
          <w:sz w:val="24"/>
          <w:szCs w:val="24"/>
        </w:rPr>
        <w:t>1．项目发生安全事故的，由乙方依法承担责任，并赔偿受害方（包括甲方）因此造成的人身和/或财产损失。</w:t>
      </w:r>
    </w:p>
    <w:p>
      <w:pPr>
        <w:spacing w:line="360" w:lineRule="auto"/>
        <w:rPr>
          <w:rFonts w:ascii="宋体" w:hAnsi="宋体" w:cs="宋体"/>
          <w:sz w:val="24"/>
          <w:szCs w:val="24"/>
        </w:rPr>
      </w:pPr>
      <w:r>
        <w:rPr>
          <w:rFonts w:hint="eastAsia" w:ascii="宋体" w:hAnsi="宋体" w:cs="宋体"/>
          <w:sz w:val="24"/>
          <w:szCs w:val="24"/>
        </w:rPr>
        <w:t>2．发现乙方提供有关资料无效的，甲方有权解除合同，并由乙方承担由此造成的一切损失。</w:t>
      </w:r>
    </w:p>
    <w:p>
      <w:pPr>
        <w:spacing w:line="360" w:lineRule="auto"/>
        <w:rPr>
          <w:rFonts w:ascii="宋体" w:hAnsi="宋体" w:cs="宋体"/>
          <w:sz w:val="24"/>
          <w:szCs w:val="24"/>
        </w:rPr>
      </w:pPr>
      <w:r>
        <w:rPr>
          <w:rFonts w:hint="eastAsia" w:ascii="宋体" w:hAnsi="宋体" w:cs="宋体"/>
          <w:sz w:val="24"/>
          <w:szCs w:val="24"/>
        </w:rPr>
        <w:t>3．发现乙方实施项目有违章行为的，甲方有权对乙方作出惩罚性扣款处理。发现乙方首起违章行为的，甲方扣款1000元；第二起违章行为的，甲方扣款2000元；第三起违章行为的，甲方扣款3000元。以后再有发现的，累计累算翻倍扣款。违章行为应以次计，而不论违章行为是否重复、相同或同类。</w:t>
      </w:r>
    </w:p>
    <w:p>
      <w:pPr>
        <w:spacing w:line="360" w:lineRule="auto"/>
        <w:rPr>
          <w:rFonts w:ascii="宋体" w:hAnsi="宋体" w:cs="宋体"/>
          <w:sz w:val="24"/>
          <w:szCs w:val="24"/>
        </w:rPr>
      </w:pPr>
      <w:r>
        <w:rPr>
          <w:rFonts w:hint="eastAsia" w:ascii="宋体" w:hAnsi="宋体" w:cs="宋体"/>
          <w:sz w:val="24"/>
          <w:szCs w:val="24"/>
        </w:rPr>
        <w:t>八、经济赔偿责任</w:t>
      </w:r>
    </w:p>
    <w:p>
      <w:pPr>
        <w:spacing w:line="360" w:lineRule="auto"/>
        <w:rPr>
          <w:rFonts w:ascii="宋体" w:hAnsi="宋体" w:cs="宋体"/>
          <w:sz w:val="24"/>
          <w:szCs w:val="24"/>
        </w:rPr>
      </w:pPr>
      <w:r>
        <w:rPr>
          <w:rFonts w:hint="eastAsia" w:ascii="宋体" w:hAnsi="宋体" w:cs="宋体"/>
          <w:sz w:val="24"/>
          <w:szCs w:val="24"/>
        </w:rPr>
        <w:t>1．乙方承担项目安全生产主体责任，项目发生事故的，由乙方承担全部经济赔偿责任。乙方在此承诺：乙方将确保甲方不因任何类型的安全事故而遭受任何损失；甲方若因安全事故而不得不对外支付或承担赔偿责任的，乙方应在接到甲方通知后3个工作日内按照甲方的支付或承担金额全额支付给甲方。</w:t>
      </w:r>
    </w:p>
    <w:p>
      <w:pPr>
        <w:spacing w:line="360" w:lineRule="auto"/>
        <w:rPr>
          <w:rFonts w:ascii="宋体" w:hAnsi="宋体" w:cs="宋体"/>
          <w:sz w:val="24"/>
          <w:szCs w:val="24"/>
        </w:rPr>
      </w:pPr>
      <w:r>
        <w:rPr>
          <w:rFonts w:hint="eastAsia" w:ascii="宋体" w:hAnsi="宋体" w:cs="宋体"/>
          <w:sz w:val="24"/>
          <w:szCs w:val="24"/>
        </w:rPr>
        <w:t>2．为确保社会稳定，乙方负有经济赔偿兜底责任。</w:t>
      </w:r>
    </w:p>
    <w:p>
      <w:pPr>
        <w:spacing w:line="360" w:lineRule="auto"/>
        <w:rPr>
          <w:rFonts w:ascii="宋体" w:hAnsi="宋体" w:cs="宋体"/>
          <w:sz w:val="24"/>
          <w:szCs w:val="24"/>
        </w:rPr>
      </w:pPr>
      <w:r>
        <w:rPr>
          <w:rFonts w:hint="eastAsia" w:ascii="宋体" w:hAnsi="宋体" w:cs="宋体"/>
          <w:sz w:val="24"/>
          <w:szCs w:val="24"/>
        </w:rPr>
        <w:t>九、协议订立地位于：丰镇市。</w:t>
      </w:r>
    </w:p>
    <w:p>
      <w:pPr>
        <w:spacing w:line="360" w:lineRule="auto"/>
        <w:rPr>
          <w:rFonts w:ascii="宋体" w:hAnsi="宋体" w:cs="宋体"/>
          <w:sz w:val="24"/>
          <w:szCs w:val="24"/>
        </w:rPr>
      </w:pPr>
      <w:r>
        <w:rPr>
          <w:rFonts w:hint="eastAsia" w:ascii="宋体" w:hAnsi="宋体" w:cs="宋体"/>
          <w:sz w:val="24"/>
          <w:szCs w:val="24"/>
        </w:rPr>
        <w:t>十、甲乙双方必须严格执行本协议，本协议法律效率独立于主合同。本协议在履行过程中发生的争议，由双方当事人协商解决，协商不成的，甲乙双方均须向甲方所在地法院提起诉讼。</w:t>
      </w:r>
    </w:p>
    <w:p>
      <w:pPr>
        <w:spacing w:line="360" w:lineRule="auto"/>
        <w:rPr>
          <w:rFonts w:ascii="宋体" w:hAnsi="宋体" w:cs="宋体"/>
          <w:sz w:val="24"/>
          <w:szCs w:val="24"/>
        </w:rPr>
      </w:pPr>
      <w:r>
        <w:rPr>
          <w:rFonts w:hint="eastAsia" w:ascii="宋体" w:hAnsi="宋体" w:cs="宋体"/>
          <w:sz w:val="24"/>
          <w:szCs w:val="24"/>
        </w:rPr>
        <w:t>十一、本协议包括《承包单位安全生产主体责任清单（通用）》，经双方法定代表人签字并加盖公章后生效。</w:t>
      </w: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十二、本合同一式 </w:t>
      </w:r>
      <w:r>
        <w:rPr>
          <w:rFonts w:hint="eastAsia" w:ascii="宋体" w:hAnsi="宋体" w:cs="宋体"/>
          <w:bCs/>
          <w:sz w:val="24"/>
          <w:szCs w:val="24"/>
          <w:u w:val="single"/>
        </w:rPr>
        <w:t>捌</w:t>
      </w:r>
      <w:r>
        <w:rPr>
          <w:rFonts w:hint="eastAsia" w:ascii="宋体" w:hAnsi="宋体" w:cs="宋体"/>
          <w:sz w:val="24"/>
          <w:szCs w:val="24"/>
        </w:rPr>
        <w:t xml:space="preserve"> 份，均具有同等法律效力，发包人执 </w:t>
      </w:r>
      <w:r>
        <w:rPr>
          <w:rFonts w:hint="eastAsia" w:ascii="宋体" w:hAnsi="宋体" w:cs="宋体"/>
          <w:sz w:val="24"/>
          <w:szCs w:val="24"/>
          <w:u w:val="single"/>
        </w:rPr>
        <w:t>肆</w:t>
      </w:r>
      <w:r>
        <w:rPr>
          <w:rFonts w:hint="eastAsia" w:ascii="宋体" w:hAnsi="宋体" w:cs="宋体"/>
          <w:sz w:val="24"/>
          <w:szCs w:val="24"/>
        </w:rPr>
        <w:t xml:space="preserve"> 份，承包人执 </w:t>
      </w:r>
      <w:r>
        <w:rPr>
          <w:rFonts w:hint="eastAsia" w:ascii="宋体" w:hAnsi="宋体" w:cs="宋体"/>
          <w:sz w:val="24"/>
          <w:szCs w:val="24"/>
          <w:u w:val="single"/>
        </w:rPr>
        <w:t>贰</w:t>
      </w:r>
      <w:r>
        <w:rPr>
          <w:rFonts w:hint="eastAsia" w:ascii="宋体" w:hAnsi="宋体" w:cs="宋体"/>
          <w:sz w:val="24"/>
          <w:szCs w:val="24"/>
        </w:rPr>
        <w:t xml:space="preserve"> 份，</w:t>
      </w:r>
      <w:r>
        <w:rPr>
          <w:rFonts w:hint="eastAsia" w:ascii="宋体" w:hAnsi="宋体" w:cs="宋体"/>
          <w:bCs/>
          <w:sz w:val="24"/>
          <w:szCs w:val="24"/>
        </w:rPr>
        <w:t>采购代理机构</w:t>
      </w:r>
      <w:r>
        <w:rPr>
          <w:rFonts w:hint="eastAsia" w:ascii="宋体" w:hAnsi="宋体" w:cs="宋体"/>
          <w:bCs/>
          <w:sz w:val="24"/>
          <w:szCs w:val="24"/>
          <w:u w:val="single"/>
        </w:rPr>
        <w:t xml:space="preserve"> 壹 </w:t>
      </w:r>
      <w:r>
        <w:rPr>
          <w:rFonts w:hint="eastAsia" w:ascii="宋体" w:hAnsi="宋体" w:cs="宋体"/>
          <w:bCs/>
          <w:sz w:val="24"/>
          <w:szCs w:val="24"/>
        </w:rPr>
        <w:t>份，政府采购合同备案部门</w:t>
      </w:r>
      <w:r>
        <w:rPr>
          <w:rFonts w:hint="eastAsia" w:ascii="宋体" w:hAnsi="宋体" w:cs="宋体"/>
          <w:bCs/>
          <w:sz w:val="24"/>
          <w:szCs w:val="24"/>
          <w:u w:val="single"/>
        </w:rPr>
        <w:t xml:space="preserve"> 壹 </w:t>
      </w:r>
      <w:r>
        <w:rPr>
          <w:rFonts w:hint="eastAsia" w:ascii="宋体" w:hAnsi="宋体" w:cs="宋体"/>
          <w:bCs/>
          <w:sz w:val="24"/>
          <w:szCs w:val="24"/>
        </w:rPr>
        <w:t>份</w:t>
      </w:r>
      <w:r>
        <w:rPr>
          <w:rFonts w:hint="eastAsia" w:ascii="宋体" w:hAnsi="宋体" w:cs="宋体"/>
          <w:sz w:val="24"/>
          <w:szCs w:val="24"/>
        </w:rPr>
        <w:t>。</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甲方：（签章）___________________</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乙方：（签章）___________________ </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w:t>
      </w:r>
    </w:p>
    <w:p>
      <w:pPr>
        <w:pStyle w:val="3"/>
        <w:ind w:left="-2"/>
        <w:rPr>
          <w:rFonts w:ascii="宋体" w:hAnsi="宋体" w:cs="宋体"/>
        </w:rPr>
      </w:pPr>
    </w:p>
    <w:p>
      <w:pPr>
        <w:pStyle w:val="3"/>
        <w:ind w:left="-2"/>
        <w:rPr>
          <w:rFonts w:ascii="宋体" w:hAnsi="宋体" w:cs="宋体"/>
        </w:rPr>
      </w:pPr>
    </w:p>
    <w:p>
      <w:pPr>
        <w:pStyle w:val="3"/>
        <w:ind w:left="-2"/>
        <w:rPr>
          <w:rFonts w:ascii="宋体" w:hAnsi="宋体" w:cs="宋体"/>
        </w:rPr>
      </w:pPr>
    </w:p>
    <w:p>
      <w:pPr>
        <w:pStyle w:val="3"/>
        <w:ind w:left="-2"/>
        <w:rPr>
          <w:rFonts w:ascii="宋体" w:hAnsi="宋体" w:cs="宋体"/>
        </w:rPr>
      </w:pPr>
    </w:p>
    <w:p>
      <w:pPr>
        <w:pStyle w:val="6"/>
        <w:rPr>
          <w:rFonts w:ascii="宋体" w:hAnsi="宋体" w:cs="宋体"/>
          <w:sz w:val="24"/>
        </w:rPr>
      </w:pPr>
    </w:p>
    <w:p>
      <w:pPr>
        <w:ind w:firstLine="562" w:firstLineChars="200"/>
        <w:jc w:val="center"/>
        <w:rPr>
          <w:rFonts w:ascii="宋体" w:hAnsi="宋体" w:cs="宋体"/>
          <w:b/>
          <w:bCs/>
          <w:sz w:val="28"/>
          <w:szCs w:val="28"/>
        </w:rPr>
      </w:pPr>
      <w:r>
        <w:rPr>
          <w:rFonts w:hint="eastAsia" w:ascii="宋体" w:hAnsi="宋体" w:cs="宋体"/>
          <w:b/>
          <w:bCs/>
          <w:sz w:val="28"/>
          <w:szCs w:val="28"/>
        </w:rPr>
        <w:t>承包单位安全生产主体责任清单（通用）</w:t>
      </w:r>
    </w:p>
    <w:p>
      <w:pPr>
        <w:spacing w:line="360" w:lineRule="auto"/>
        <w:ind w:firstLine="480"/>
        <w:rPr>
          <w:rFonts w:ascii="宋体" w:hAnsi="宋体" w:cs="宋体"/>
          <w:sz w:val="24"/>
          <w:szCs w:val="24"/>
        </w:rPr>
      </w:pPr>
      <w:r>
        <w:rPr>
          <w:rFonts w:hint="eastAsia" w:ascii="宋体" w:hAnsi="宋体" w:cs="宋体"/>
          <w:sz w:val="24"/>
          <w:szCs w:val="24"/>
        </w:rPr>
        <w:t>注：本主体责任清单项下的“生产”为广义，包括且不限于责任主体的各类生产、经营、建设、施工、作业等活动。</w:t>
      </w:r>
    </w:p>
    <w:tbl>
      <w:tblPr>
        <w:tblStyle w:val="4"/>
        <w:tblW w:w="5000" w:type="pct"/>
        <w:tblInd w:w="0" w:type="dxa"/>
        <w:tblLayout w:type="fixed"/>
        <w:tblCellMar>
          <w:top w:w="0" w:type="dxa"/>
          <w:left w:w="108" w:type="dxa"/>
          <w:bottom w:w="0" w:type="dxa"/>
          <w:right w:w="108" w:type="dxa"/>
        </w:tblCellMar>
      </w:tblPr>
      <w:tblGrid>
        <w:gridCol w:w="1003"/>
        <w:gridCol w:w="598"/>
        <w:gridCol w:w="1278"/>
        <w:gridCol w:w="5643"/>
      </w:tblGrid>
      <w:tr>
        <w:tblPrEx>
          <w:tblCellMar>
            <w:top w:w="0" w:type="dxa"/>
            <w:left w:w="108" w:type="dxa"/>
            <w:bottom w:w="0" w:type="dxa"/>
            <w:right w:w="108" w:type="dxa"/>
          </w:tblCellMar>
        </w:tblPrEx>
        <w:trPr>
          <w:trHeight w:val="454" w:hRule="atLeast"/>
          <w:tblHeader/>
        </w:trPr>
        <w:tc>
          <w:tcPr>
            <w:tcW w:w="58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4"/>
                <w:szCs w:val="24"/>
              </w:rPr>
            </w:pPr>
            <w:r>
              <w:rPr>
                <w:rFonts w:hint="eastAsia" w:ascii="宋体" w:hAnsi="宋体" w:cs="宋体"/>
                <w:b/>
                <w:kern w:val="0"/>
                <w:sz w:val="24"/>
                <w:szCs w:val="24"/>
              </w:rPr>
              <w:t>责任  类别</w:t>
            </w:r>
          </w:p>
        </w:tc>
        <w:tc>
          <w:tcPr>
            <w:tcW w:w="35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kern w:val="0"/>
                <w:sz w:val="24"/>
                <w:szCs w:val="24"/>
              </w:rPr>
            </w:pPr>
            <w:r>
              <w:rPr>
                <w:rFonts w:hint="eastAsia" w:ascii="宋体" w:hAnsi="宋体" w:cs="宋体"/>
                <w:b/>
                <w:kern w:val="0"/>
                <w:sz w:val="24"/>
                <w:szCs w:val="24"/>
              </w:rPr>
              <w:t>序号</w:t>
            </w:r>
          </w:p>
        </w:tc>
        <w:tc>
          <w:tcPr>
            <w:tcW w:w="750"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kern w:val="0"/>
                <w:sz w:val="24"/>
                <w:szCs w:val="24"/>
              </w:rPr>
            </w:pPr>
            <w:r>
              <w:rPr>
                <w:rFonts w:hint="eastAsia" w:ascii="宋体" w:hAnsi="宋体" w:cs="宋体"/>
                <w:b/>
                <w:kern w:val="0"/>
                <w:sz w:val="24"/>
                <w:szCs w:val="24"/>
              </w:rPr>
              <w:t>责任要点</w:t>
            </w:r>
          </w:p>
        </w:tc>
        <w:tc>
          <w:tcPr>
            <w:tcW w:w="331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kern w:val="0"/>
                <w:sz w:val="24"/>
                <w:szCs w:val="24"/>
              </w:rPr>
            </w:pPr>
            <w:r>
              <w:rPr>
                <w:rFonts w:hint="eastAsia" w:ascii="宋体" w:hAnsi="宋体" w:cs="宋体"/>
                <w:b/>
                <w:kern w:val="0"/>
                <w:sz w:val="24"/>
                <w:szCs w:val="24"/>
              </w:rPr>
              <w:t>责任内容</w:t>
            </w:r>
          </w:p>
        </w:tc>
      </w:tr>
      <w:tr>
        <w:tblPrEx>
          <w:tblCellMar>
            <w:top w:w="0" w:type="dxa"/>
            <w:left w:w="108" w:type="dxa"/>
            <w:bottom w:w="0" w:type="dxa"/>
            <w:right w:w="108" w:type="dxa"/>
          </w:tblCellMar>
        </w:tblPrEx>
        <w:trPr>
          <w:trHeight w:val="454" w:hRule="atLeast"/>
        </w:trPr>
        <w:tc>
          <w:tcPr>
            <w:tcW w:w="588"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严格落实第一责任人责任</w:t>
            </w:r>
          </w:p>
        </w:tc>
        <w:tc>
          <w:tcPr>
            <w:tcW w:w="3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750"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承包单位法定代表人和实际控制人切实履行第一责任</w:t>
            </w:r>
          </w:p>
        </w:tc>
        <w:tc>
          <w:tcPr>
            <w:tcW w:w="3311"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承包单位董事长、总经理等法定代表人和实际控制人是安全生产第一责任人，对本项目的安全生产工作全面负责，应亲自推动安全生产制度的建立，经常深入一线检查安全生产工作，监督安全生产制度落实，研究解决安全生产突出问题。</w:t>
            </w:r>
          </w:p>
        </w:tc>
      </w:tr>
      <w:tr>
        <w:tblPrEx>
          <w:tblCellMar>
            <w:top w:w="0" w:type="dxa"/>
            <w:left w:w="108" w:type="dxa"/>
            <w:bottom w:w="0" w:type="dxa"/>
            <w:right w:w="108" w:type="dxa"/>
          </w:tblCellMar>
        </w:tblPrEx>
        <w:trPr>
          <w:trHeight w:val="454" w:hRule="atLeast"/>
        </w:trPr>
        <w:tc>
          <w:tcPr>
            <w:tcW w:w="58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3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750"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坚持依法生产经营、建设施工等活动</w:t>
            </w:r>
          </w:p>
        </w:tc>
        <w:tc>
          <w:tcPr>
            <w:tcW w:w="3311"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承包单位必须牢固树立法治观念，从事生产经营、建设施工等活动应依法取得安全生产相关证照和许可，符合法律法规、国家和地方标准或者行业标准规定的安全生产条件，及时主动获取并严格执行与安全生产相关的法律法规标准，依法健全完善安全生产规章规程和安全防范措施，严禁使用国家和政府行业主管部门明令淘汰的危及生产安全的设备及工艺，及时淘汰更新陈旧落后的设备及工艺。</w:t>
            </w:r>
          </w:p>
        </w:tc>
      </w:tr>
      <w:tr>
        <w:tblPrEx>
          <w:tblCellMar>
            <w:top w:w="0" w:type="dxa"/>
            <w:left w:w="108" w:type="dxa"/>
            <w:bottom w:w="0" w:type="dxa"/>
            <w:right w:w="108" w:type="dxa"/>
          </w:tblCellMar>
        </w:tblPrEx>
        <w:trPr>
          <w:trHeight w:val="454" w:hRule="atLeast"/>
        </w:trPr>
        <w:tc>
          <w:tcPr>
            <w:tcW w:w="588"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严格落实第一责任人责任</w:t>
            </w:r>
          </w:p>
        </w:tc>
        <w:tc>
          <w:tcPr>
            <w:tcW w:w="3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750"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加强安全管理机构和人员配备</w:t>
            </w:r>
          </w:p>
        </w:tc>
        <w:tc>
          <w:tcPr>
            <w:tcW w:w="3311"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承包单位应依法依规设置安全生产、建设施工等管理机构或者配备专（兼）职安全生产管理人员，企业主要负责人、分管安全生产负责人、安全总监、安全生产管理人员，应具备与本单位所从事的生产经营、建设施工等活动相适应的安全生产知识和管理能力。项目金额达到2000万元及以上的承包单位，或者，从业人员在100人及以上或年主营业务收入2000万元及以上的矿山、建筑、交通运输、危险化学品、金属冶炼等行业，以及粉尘涉爆、涉氨制冷、船舶修造等领域的承包单位应配备安全总监、注册安全工程师。</w:t>
            </w:r>
          </w:p>
        </w:tc>
      </w:tr>
      <w:tr>
        <w:tblPrEx>
          <w:tblCellMar>
            <w:top w:w="0" w:type="dxa"/>
            <w:left w:w="108" w:type="dxa"/>
            <w:bottom w:w="0" w:type="dxa"/>
            <w:right w:w="108" w:type="dxa"/>
          </w:tblCellMar>
        </w:tblPrEx>
        <w:trPr>
          <w:trHeight w:val="454" w:hRule="atLeast"/>
        </w:trPr>
        <w:tc>
          <w:tcPr>
            <w:tcW w:w="58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3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750"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加大安全生产经费投入</w:t>
            </w:r>
          </w:p>
        </w:tc>
        <w:tc>
          <w:tcPr>
            <w:tcW w:w="3311"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承包单位应将本项目安全生产投入纳入计划和财务预算，足额提取并按规定使用安全生产费用，保障安全生产设备设施、风险辨识管控、隐患排查整治、设备维修保养、安全教育培训、劳动防护用品配备、保险、应急演练、事故救援等安全生产支出。</w:t>
            </w:r>
          </w:p>
        </w:tc>
      </w:tr>
      <w:tr>
        <w:tblPrEx>
          <w:tblCellMar>
            <w:top w:w="0" w:type="dxa"/>
            <w:left w:w="108" w:type="dxa"/>
            <w:bottom w:w="0" w:type="dxa"/>
            <w:right w:w="108" w:type="dxa"/>
          </w:tblCellMar>
        </w:tblPrEx>
        <w:trPr>
          <w:trHeight w:val="454" w:hRule="atLeast"/>
        </w:trPr>
        <w:tc>
          <w:tcPr>
            <w:tcW w:w="58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3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750"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开展安全生产标准化建设</w:t>
            </w:r>
          </w:p>
        </w:tc>
        <w:tc>
          <w:tcPr>
            <w:tcW w:w="3311"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承包单位应按照法律法规和国家标准、行业标准，健全安全生产标准化工作体系和运行机制，积极开展以岗位达标、专业达标和标准化创建等为内容的安全生产标准化建设，建立完善本单位安全生产例会、例检、隐患排查治理等各项安全生产制度和操作规程，落实强制性安全生产标准规范，确保本项目安全生产环节和相关岗位工作符合法律、法规、标准、规程要求，实现安全行为规范化。</w:t>
            </w:r>
          </w:p>
        </w:tc>
      </w:tr>
      <w:tr>
        <w:tblPrEx>
          <w:tblCellMar>
            <w:top w:w="0" w:type="dxa"/>
            <w:left w:w="108" w:type="dxa"/>
            <w:bottom w:w="0" w:type="dxa"/>
            <w:right w:w="108" w:type="dxa"/>
          </w:tblCellMar>
        </w:tblPrEx>
        <w:trPr>
          <w:trHeight w:val="454" w:hRule="atLeast"/>
        </w:trPr>
        <w:tc>
          <w:tcPr>
            <w:tcW w:w="588"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严格落实全员岗位责任</w:t>
            </w:r>
          </w:p>
        </w:tc>
        <w:tc>
          <w:tcPr>
            <w:tcW w:w="3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750"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建立健全全员安全生产责任制</w:t>
            </w:r>
          </w:p>
        </w:tc>
        <w:tc>
          <w:tcPr>
            <w:tcW w:w="3311"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承包单位应根据项目各工作岗位的性质、特点和内容，明确各岗位的责任人员、责任范围、责任清单，制定从承包单位主要负责人到一线从业人员的安全生产职责，细化通俗易懂、便于操作的从业人员安全生产责任，实现承包单位安全生产责任全员全岗位全覆盖、安全生产责任全过程追溯。承包单位应加强安全文化建设，将安全文化阵地向一线班组和工作现场延伸，强化员工安全生产意识。</w:t>
            </w:r>
          </w:p>
        </w:tc>
      </w:tr>
      <w:tr>
        <w:tblPrEx>
          <w:tblCellMar>
            <w:top w:w="0" w:type="dxa"/>
            <w:left w:w="108" w:type="dxa"/>
            <w:bottom w:w="0" w:type="dxa"/>
            <w:right w:w="108" w:type="dxa"/>
          </w:tblCellMar>
        </w:tblPrEx>
        <w:trPr>
          <w:trHeight w:val="454" w:hRule="atLeast"/>
        </w:trPr>
        <w:tc>
          <w:tcPr>
            <w:tcW w:w="58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3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750"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开展安全生产教育培训</w:t>
            </w:r>
          </w:p>
        </w:tc>
        <w:tc>
          <w:tcPr>
            <w:tcW w:w="3311"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承包单位应严格按照国家安全培训规定要求，采取“送出去学、请进来教”等形式，加强本项目从业人员的安全生产理论教学与实践技能培训，并记入教育培训考核档案。还应抓好在岗员工安全技能提升培训、新上岗员工安全技能培训、班组长安全技能提升培训等。通过经常性的教育培训，使本项目安全生产管理人员具备与岗位相适应的安全生产知识和管理能力，使特种作业人员具备特种岗位作业的专业技能，使安全管理人员具备一线岗位安全管理的知识和能力，使一线从业人员具备本岗位安全生产和应急处置的基本知识和安全操作技能。未经安全生产教育培训合格的从业人员，不得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pct"/>
            <w:vMerge w:val="restart"/>
            <w:vAlign w:val="center"/>
          </w:tcPr>
          <w:p>
            <w:pPr>
              <w:widowControl/>
              <w:jc w:val="center"/>
              <w:rPr>
                <w:rFonts w:ascii="宋体" w:hAnsi="宋体" w:cs="宋体"/>
                <w:kern w:val="0"/>
                <w:sz w:val="24"/>
                <w:szCs w:val="24"/>
              </w:rPr>
            </w:pPr>
            <w:r>
              <w:rPr>
                <w:rFonts w:hint="eastAsia" w:ascii="宋体" w:hAnsi="宋体" w:cs="宋体"/>
                <w:kern w:val="0"/>
                <w:sz w:val="24"/>
                <w:szCs w:val="24"/>
              </w:rPr>
              <w:t>严格落实安全防控责任</w:t>
            </w:r>
          </w:p>
        </w:tc>
        <w:tc>
          <w:tcPr>
            <w:tcW w:w="351" w:type="pct"/>
            <w:noWrap/>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750" w:type="pct"/>
            <w:noWrap/>
            <w:vAlign w:val="center"/>
          </w:tcPr>
          <w:p>
            <w:pPr>
              <w:widowControl/>
              <w:rPr>
                <w:rFonts w:ascii="宋体" w:hAnsi="宋体" w:cs="宋体"/>
                <w:kern w:val="0"/>
                <w:sz w:val="24"/>
                <w:szCs w:val="24"/>
              </w:rPr>
            </w:pPr>
            <w:r>
              <w:rPr>
                <w:rFonts w:hint="eastAsia" w:ascii="宋体" w:hAnsi="宋体" w:cs="宋体"/>
                <w:kern w:val="0"/>
                <w:sz w:val="24"/>
                <w:szCs w:val="24"/>
              </w:rPr>
              <w:t>加强安全风险辨识管控</w:t>
            </w:r>
          </w:p>
        </w:tc>
        <w:tc>
          <w:tcPr>
            <w:tcW w:w="3311" w:type="pct"/>
            <w:noWrap/>
            <w:vAlign w:val="center"/>
          </w:tcPr>
          <w:p>
            <w:pPr>
              <w:widowControl/>
              <w:rPr>
                <w:rFonts w:ascii="宋体" w:hAnsi="宋体" w:cs="宋体"/>
                <w:kern w:val="0"/>
                <w:sz w:val="24"/>
                <w:szCs w:val="24"/>
              </w:rPr>
            </w:pPr>
            <w:r>
              <w:rPr>
                <w:rFonts w:hint="eastAsia" w:ascii="宋体" w:hAnsi="宋体" w:cs="宋体"/>
                <w:kern w:val="0"/>
                <w:sz w:val="24"/>
                <w:szCs w:val="24"/>
              </w:rPr>
              <w:t>承包单位应严格落实安全风险分级管控和主动报告制度，定期排查、全面辨识、动态更新、严格管控作业工艺、设施设备、作业环境、人员行为和管理体系等方面存在的安全风险，并依据事故发生概率和可能后果，按照有关标准评估确定风险等级，针对不同等级的安全风险制定相应安全管控措施，逐一明确具体的责任部门、责任人，确保风险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pct"/>
            <w:vMerge w:val="continue"/>
            <w:vAlign w:val="center"/>
          </w:tcPr>
          <w:p>
            <w:pPr>
              <w:widowControl/>
              <w:jc w:val="left"/>
              <w:rPr>
                <w:rFonts w:ascii="宋体" w:hAnsi="宋体" w:cs="宋体"/>
                <w:kern w:val="0"/>
                <w:sz w:val="24"/>
                <w:szCs w:val="24"/>
              </w:rPr>
            </w:pPr>
          </w:p>
        </w:tc>
        <w:tc>
          <w:tcPr>
            <w:tcW w:w="351" w:type="pct"/>
            <w:noWrap/>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750" w:type="pct"/>
            <w:noWrap/>
            <w:vAlign w:val="center"/>
          </w:tcPr>
          <w:p>
            <w:pPr>
              <w:widowControl/>
              <w:rPr>
                <w:rFonts w:ascii="宋体" w:hAnsi="宋体" w:cs="宋体"/>
                <w:kern w:val="0"/>
                <w:sz w:val="24"/>
                <w:szCs w:val="24"/>
              </w:rPr>
            </w:pPr>
            <w:r>
              <w:rPr>
                <w:rFonts w:hint="eastAsia" w:ascii="宋体" w:hAnsi="宋体" w:cs="宋体"/>
                <w:kern w:val="0"/>
                <w:sz w:val="24"/>
                <w:szCs w:val="24"/>
              </w:rPr>
              <w:t>加强事故隐患排查治理</w:t>
            </w:r>
          </w:p>
        </w:tc>
        <w:tc>
          <w:tcPr>
            <w:tcW w:w="3311" w:type="pct"/>
            <w:noWrap/>
            <w:vAlign w:val="center"/>
          </w:tcPr>
          <w:p>
            <w:pPr>
              <w:widowControl/>
              <w:rPr>
                <w:rFonts w:ascii="宋体" w:hAnsi="宋体" w:cs="宋体"/>
                <w:kern w:val="0"/>
                <w:sz w:val="24"/>
                <w:szCs w:val="24"/>
              </w:rPr>
            </w:pPr>
            <w:r>
              <w:rPr>
                <w:rFonts w:hint="eastAsia" w:ascii="宋体" w:hAnsi="宋体" w:cs="宋体"/>
                <w:kern w:val="0"/>
                <w:sz w:val="24"/>
                <w:szCs w:val="24"/>
              </w:rPr>
              <w:t>承包单位应牢固树立“隐患无处不在、成绩每天归零”的意识，视隐患为事故，建立全员参与、全岗位覆盖、全过程衔接的隐患排查机制和清单管理、动态更新、闭环整改的动态调整机制，持续组织开展事故隐患排查治理；对动态排查出来以及甲方通知整改的安全隐患，应逐条落实整改措施、责任、资金、时限和事故应急预案。完善举报奖励制度，发动并激励员工主动排查、发现举报事故隐患。自身安全管理力量不足的承包单位，应按照国家有关安全规范，定期组织专家或委托有资质的第三方安全技术服务机构开展安全检测和隐患排查治理。</w:t>
            </w:r>
          </w:p>
        </w:tc>
      </w:tr>
      <w:tr>
        <w:tblPrEx>
          <w:tblCellMar>
            <w:top w:w="0" w:type="dxa"/>
            <w:left w:w="108" w:type="dxa"/>
            <w:bottom w:w="0" w:type="dxa"/>
            <w:right w:w="108" w:type="dxa"/>
          </w:tblCellMar>
        </w:tblPrEx>
        <w:trPr>
          <w:trHeight w:val="454" w:hRule="atLeast"/>
        </w:trPr>
        <w:tc>
          <w:tcPr>
            <w:tcW w:w="588"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严格落实安全防控责任</w:t>
            </w:r>
          </w:p>
        </w:tc>
        <w:tc>
          <w:tcPr>
            <w:tcW w:w="3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750"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加强各类危险源、危化品使用安全管理</w:t>
            </w:r>
          </w:p>
        </w:tc>
        <w:tc>
          <w:tcPr>
            <w:tcW w:w="3311"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承包单位应对重大危险源、危化品使用进行登记和建档，采用先进技术手段对重大危险源实施现场动态监控，定期检测评估，制定应急预案，完善控制措施，按照有关规定建立健全安全监测监控系统并与负有安全生产监督管理职责的部门进行联网。对具有较大或以上危险因素的生产经营、建设施工等场所和有关设施设备，应建立运行、巡检、维修、保养的专项安全管理制度，安排专人负责管理，并设置明显的安全警示标志和事故应急处置卡，配备消防、防雷、通讯、照明等应急器材和设施，根据生产经营、建设施工等设施的承载负荷或者生产经营、建设施工等场所核定的人数控制人员进入。定期组织对安全设施设备进行体检式安全评估，确保始终处于安全可靠状态。</w:t>
            </w:r>
          </w:p>
        </w:tc>
      </w:tr>
      <w:tr>
        <w:tblPrEx>
          <w:tblCellMar>
            <w:top w:w="0" w:type="dxa"/>
            <w:left w:w="108" w:type="dxa"/>
            <w:bottom w:w="0" w:type="dxa"/>
            <w:right w:w="108" w:type="dxa"/>
          </w:tblCellMar>
        </w:tblPrEx>
        <w:trPr>
          <w:trHeight w:val="454" w:hRule="atLeast"/>
        </w:trPr>
        <w:tc>
          <w:tcPr>
            <w:tcW w:w="58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35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750"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加强危险作业安全管理</w:t>
            </w:r>
          </w:p>
        </w:tc>
        <w:tc>
          <w:tcPr>
            <w:tcW w:w="3311" w:type="pct"/>
            <w:tcBorders>
              <w:top w:val="nil"/>
              <w:left w:val="nil"/>
              <w:bottom w:val="single" w:color="auto" w:sz="4" w:space="0"/>
              <w:right w:val="single" w:color="auto" w:sz="4" w:space="0"/>
            </w:tcBorders>
            <w:noWrap/>
            <w:vAlign w:val="center"/>
          </w:tcPr>
          <w:p>
            <w:pPr>
              <w:widowControl/>
              <w:rPr>
                <w:rFonts w:ascii="宋体" w:hAnsi="宋体" w:cs="宋体"/>
                <w:kern w:val="0"/>
                <w:sz w:val="24"/>
                <w:szCs w:val="24"/>
              </w:rPr>
            </w:pPr>
            <w:r>
              <w:rPr>
                <w:rFonts w:hint="eastAsia" w:ascii="宋体" w:hAnsi="宋体" w:cs="宋体"/>
                <w:kern w:val="0"/>
                <w:sz w:val="24"/>
                <w:szCs w:val="24"/>
              </w:rPr>
              <w:t>承包单位应加强对爆破、吊装、动火、进入受限空间、登高，设备大修、危险装置设备试生产、建筑物或者构筑物拆除、油罐清洗、临时用电、涂装、危险品装卸，以及涉及重大危险源、油气管道、临近高压输电线路等危险作业的安全管理，制定专项安全管理制度措施，安排专门人员进行现场安全管理，监督危险作业人员严格按照操作规程进行操作，及时采取措施排除事故隐患、纠正违规行为。现场管理人员不得擅离职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pct"/>
            <w:vMerge w:val="restart"/>
            <w:vAlign w:val="center"/>
          </w:tcPr>
          <w:p>
            <w:pPr>
              <w:widowControl/>
              <w:jc w:val="center"/>
              <w:rPr>
                <w:rFonts w:ascii="宋体" w:hAnsi="宋体" w:cs="宋体"/>
                <w:kern w:val="0"/>
                <w:sz w:val="24"/>
                <w:szCs w:val="24"/>
              </w:rPr>
            </w:pPr>
            <w:r>
              <w:rPr>
                <w:rFonts w:hint="eastAsia" w:ascii="宋体" w:hAnsi="宋体" w:cs="宋体"/>
                <w:kern w:val="0"/>
                <w:sz w:val="24"/>
                <w:szCs w:val="24"/>
              </w:rPr>
              <w:t>严格落实基础管理责任</w:t>
            </w:r>
          </w:p>
        </w:tc>
        <w:tc>
          <w:tcPr>
            <w:tcW w:w="351" w:type="pct"/>
            <w:noWrap/>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750" w:type="pct"/>
            <w:noWrap/>
            <w:vAlign w:val="center"/>
          </w:tcPr>
          <w:p>
            <w:pPr>
              <w:widowControl/>
              <w:rPr>
                <w:rFonts w:ascii="宋体" w:hAnsi="宋体" w:cs="宋体"/>
                <w:kern w:val="0"/>
                <w:sz w:val="24"/>
                <w:szCs w:val="24"/>
              </w:rPr>
            </w:pPr>
            <w:r>
              <w:rPr>
                <w:rFonts w:hint="eastAsia" w:ascii="宋体" w:hAnsi="宋体" w:cs="宋体"/>
                <w:kern w:val="0"/>
                <w:sz w:val="24"/>
                <w:szCs w:val="24"/>
              </w:rPr>
              <w:t>认真执行安全生产“三同时”制度</w:t>
            </w:r>
          </w:p>
        </w:tc>
        <w:tc>
          <w:tcPr>
            <w:tcW w:w="3311" w:type="pct"/>
            <w:noWrap/>
            <w:vAlign w:val="center"/>
          </w:tcPr>
          <w:p>
            <w:pPr>
              <w:widowControl/>
              <w:rPr>
                <w:rFonts w:ascii="宋体" w:hAnsi="宋体" w:cs="宋体"/>
                <w:kern w:val="0"/>
                <w:sz w:val="24"/>
                <w:szCs w:val="24"/>
              </w:rPr>
            </w:pPr>
            <w:r>
              <w:rPr>
                <w:rFonts w:hint="eastAsia" w:ascii="宋体" w:hAnsi="宋体" w:cs="宋体"/>
                <w:kern w:val="0"/>
                <w:sz w:val="24"/>
                <w:szCs w:val="24"/>
              </w:rPr>
              <w:t>承包单位实施本项目相关的安全设施投资，应纳入项目预算。安全设施与项目实施方案应同时计划、同时设计（含评审）、同时投入使用。涉及高危作业的项目应依法进行安全评价，安全设施未经依法评审不得建设，未经验收合格不得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pct"/>
            <w:vMerge w:val="continue"/>
            <w:vAlign w:val="center"/>
          </w:tcPr>
          <w:p>
            <w:pPr>
              <w:widowControl/>
              <w:jc w:val="left"/>
              <w:rPr>
                <w:rFonts w:ascii="宋体" w:hAnsi="宋体" w:cs="宋体"/>
                <w:kern w:val="0"/>
                <w:sz w:val="24"/>
                <w:szCs w:val="24"/>
              </w:rPr>
            </w:pPr>
          </w:p>
        </w:tc>
        <w:tc>
          <w:tcPr>
            <w:tcW w:w="351" w:type="pct"/>
            <w:noWrap/>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750" w:type="pct"/>
            <w:noWrap/>
            <w:vAlign w:val="center"/>
          </w:tcPr>
          <w:p>
            <w:pPr>
              <w:widowControl/>
              <w:rPr>
                <w:rFonts w:ascii="宋体" w:hAnsi="宋体" w:cs="宋体"/>
                <w:kern w:val="0"/>
                <w:sz w:val="24"/>
                <w:szCs w:val="24"/>
              </w:rPr>
            </w:pPr>
            <w:r>
              <w:rPr>
                <w:rFonts w:hint="eastAsia" w:ascii="宋体" w:hAnsi="宋体" w:cs="宋体"/>
                <w:kern w:val="0"/>
                <w:sz w:val="24"/>
                <w:szCs w:val="24"/>
              </w:rPr>
              <w:t>加强从业人员安全防护管理</w:t>
            </w:r>
          </w:p>
        </w:tc>
        <w:tc>
          <w:tcPr>
            <w:tcW w:w="3311" w:type="pct"/>
            <w:noWrap/>
            <w:vAlign w:val="center"/>
          </w:tcPr>
          <w:p>
            <w:pPr>
              <w:widowControl/>
              <w:rPr>
                <w:rFonts w:ascii="宋体" w:hAnsi="宋体" w:cs="宋体"/>
                <w:kern w:val="0"/>
                <w:sz w:val="24"/>
                <w:szCs w:val="24"/>
              </w:rPr>
            </w:pPr>
            <w:r>
              <w:rPr>
                <w:rFonts w:hint="eastAsia" w:ascii="宋体" w:hAnsi="宋体" w:cs="宋体"/>
                <w:kern w:val="0"/>
                <w:sz w:val="24"/>
                <w:szCs w:val="24"/>
              </w:rPr>
              <w:t>承包单位应按规定开展从业人员身体健康检查，定期为从业人员无偿提供和更新符合国家标准或者行业标准的劳动防护用品，督促、教育从业人员正确佩戴、使用，并如实记录购买和发放劳动防护用品情况。劳动防护用品不得以货币或者其他物品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pct"/>
            <w:vMerge w:val="continue"/>
            <w:vAlign w:val="center"/>
          </w:tcPr>
          <w:p>
            <w:pPr>
              <w:widowControl/>
              <w:jc w:val="left"/>
              <w:rPr>
                <w:rFonts w:ascii="宋体" w:hAnsi="宋体" w:cs="宋体"/>
                <w:kern w:val="0"/>
                <w:sz w:val="24"/>
                <w:szCs w:val="24"/>
              </w:rPr>
            </w:pPr>
          </w:p>
        </w:tc>
        <w:tc>
          <w:tcPr>
            <w:tcW w:w="351" w:type="pct"/>
            <w:noWrap/>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c>
          <w:tcPr>
            <w:tcW w:w="750" w:type="pct"/>
            <w:noWrap/>
            <w:vAlign w:val="center"/>
          </w:tcPr>
          <w:p>
            <w:pPr>
              <w:widowControl/>
              <w:rPr>
                <w:rFonts w:ascii="宋体" w:hAnsi="宋体" w:cs="宋体"/>
                <w:kern w:val="0"/>
                <w:sz w:val="24"/>
                <w:szCs w:val="24"/>
              </w:rPr>
            </w:pPr>
            <w:r>
              <w:rPr>
                <w:rFonts w:hint="eastAsia" w:ascii="宋体" w:hAnsi="宋体" w:cs="宋体"/>
                <w:kern w:val="0"/>
                <w:sz w:val="24"/>
                <w:szCs w:val="24"/>
              </w:rPr>
              <w:t>加强外包等业务安全管理</w:t>
            </w:r>
          </w:p>
        </w:tc>
        <w:tc>
          <w:tcPr>
            <w:tcW w:w="3311" w:type="pct"/>
            <w:noWrap/>
            <w:vAlign w:val="center"/>
          </w:tcPr>
          <w:p>
            <w:pPr>
              <w:widowControl/>
              <w:rPr>
                <w:rFonts w:ascii="宋体" w:hAnsi="宋体" w:cs="宋体"/>
                <w:kern w:val="0"/>
                <w:sz w:val="24"/>
                <w:szCs w:val="24"/>
              </w:rPr>
            </w:pPr>
            <w:r>
              <w:rPr>
                <w:rFonts w:hint="eastAsia" w:ascii="宋体" w:hAnsi="宋体" w:cs="宋体"/>
                <w:kern w:val="0"/>
                <w:sz w:val="24"/>
                <w:szCs w:val="24"/>
              </w:rPr>
              <w:t>承包单位应依法分包，严格审查分包单位的资质，并对分包单位的安全生产经营、建设施工等活动的安全做出严格要求、并实施严格监管。承包单位委托其他具有专业资质的单位进行危险作业的，应在作业前与受托方签订安全生产经营和/或建设施工管理协议，告知其作业现场存在的危险因素和防范措施，明确各自的安全生产职责。应与该单位签订专门的安全生产管理协议，约定有关的安全生产管理事项。承包单位应对分包单位、分包人员造成的安全责任、人身损害责任、财产损害责任等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pct"/>
            <w:vMerge w:val="restart"/>
            <w:vAlign w:val="center"/>
          </w:tcPr>
          <w:p>
            <w:pPr>
              <w:jc w:val="center"/>
              <w:rPr>
                <w:rFonts w:ascii="宋体" w:hAnsi="宋体" w:cs="宋体"/>
                <w:kern w:val="0"/>
                <w:sz w:val="24"/>
                <w:szCs w:val="24"/>
              </w:rPr>
            </w:pPr>
            <w:r>
              <w:rPr>
                <w:rFonts w:hint="eastAsia" w:ascii="宋体" w:hAnsi="宋体" w:cs="宋体"/>
                <w:kern w:val="0"/>
                <w:sz w:val="24"/>
                <w:szCs w:val="24"/>
              </w:rPr>
              <w:t>严格落实基础管理责任</w:t>
            </w:r>
          </w:p>
        </w:tc>
        <w:tc>
          <w:tcPr>
            <w:tcW w:w="351" w:type="pct"/>
            <w:noWrap/>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750" w:type="pct"/>
            <w:noWrap/>
            <w:vAlign w:val="center"/>
          </w:tcPr>
          <w:p>
            <w:pPr>
              <w:widowControl/>
              <w:rPr>
                <w:rFonts w:ascii="宋体" w:hAnsi="宋体" w:cs="宋体"/>
                <w:kern w:val="0"/>
                <w:sz w:val="24"/>
                <w:szCs w:val="24"/>
              </w:rPr>
            </w:pPr>
            <w:r>
              <w:rPr>
                <w:rFonts w:hint="eastAsia" w:ascii="宋体" w:hAnsi="宋体" w:cs="宋体"/>
                <w:kern w:val="0"/>
                <w:sz w:val="24"/>
                <w:szCs w:val="24"/>
              </w:rPr>
              <w:t>加强复工安全管理</w:t>
            </w:r>
          </w:p>
        </w:tc>
        <w:tc>
          <w:tcPr>
            <w:tcW w:w="3311" w:type="pct"/>
            <w:noWrap/>
            <w:vAlign w:val="center"/>
          </w:tcPr>
          <w:p>
            <w:pPr>
              <w:widowControl/>
              <w:rPr>
                <w:rFonts w:ascii="宋体" w:hAnsi="宋体" w:cs="宋体"/>
                <w:kern w:val="0"/>
                <w:sz w:val="24"/>
                <w:szCs w:val="24"/>
              </w:rPr>
            </w:pPr>
            <w:r>
              <w:rPr>
                <w:rFonts w:hint="eastAsia" w:ascii="宋体" w:hAnsi="宋体" w:cs="宋体"/>
                <w:kern w:val="0"/>
                <w:sz w:val="24"/>
                <w:szCs w:val="24"/>
              </w:rPr>
              <w:t>承包单位复工前，应严格按照国家及行业有关标准和规定，制定复工方案，组织对安全生产相关设备设施进行全面检查，确保安全方可复工使用。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pct"/>
            <w:vMerge w:val="continue"/>
            <w:vAlign w:val="center"/>
          </w:tcPr>
          <w:p>
            <w:pPr>
              <w:widowControl/>
              <w:jc w:val="center"/>
              <w:rPr>
                <w:rFonts w:ascii="宋体" w:hAnsi="宋体" w:cs="宋体"/>
                <w:kern w:val="0"/>
                <w:sz w:val="24"/>
                <w:szCs w:val="24"/>
              </w:rPr>
            </w:pPr>
          </w:p>
        </w:tc>
        <w:tc>
          <w:tcPr>
            <w:tcW w:w="351" w:type="pct"/>
            <w:noWrap/>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750" w:type="pct"/>
            <w:noWrap/>
            <w:vAlign w:val="center"/>
          </w:tcPr>
          <w:p>
            <w:pPr>
              <w:widowControl/>
              <w:rPr>
                <w:rFonts w:ascii="宋体" w:hAnsi="宋体" w:cs="宋体"/>
                <w:kern w:val="0"/>
                <w:sz w:val="24"/>
                <w:szCs w:val="24"/>
              </w:rPr>
            </w:pPr>
            <w:r>
              <w:rPr>
                <w:rFonts w:hint="eastAsia" w:ascii="宋体" w:hAnsi="宋体" w:cs="宋体"/>
                <w:kern w:val="0"/>
                <w:sz w:val="24"/>
                <w:szCs w:val="24"/>
              </w:rPr>
              <w:t>强化应急救援能力建设</w:t>
            </w:r>
          </w:p>
        </w:tc>
        <w:tc>
          <w:tcPr>
            <w:tcW w:w="3311" w:type="pct"/>
            <w:noWrap/>
            <w:vAlign w:val="center"/>
          </w:tcPr>
          <w:p>
            <w:pPr>
              <w:widowControl/>
              <w:rPr>
                <w:rFonts w:ascii="宋体" w:hAnsi="宋体" w:cs="宋体"/>
                <w:kern w:val="0"/>
                <w:sz w:val="24"/>
                <w:szCs w:val="24"/>
              </w:rPr>
            </w:pPr>
            <w:r>
              <w:rPr>
                <w:rFonts w:hint="eastAsia" w:ascii="宋体" w:hAnsi="宋体" w:cs="宋体"/>
                <w:kern w:val="0"/>
                <w:sz w:val="24"/>
                <w:szCs w:val="24"/>
              </w:rPr>
              <w:t>承包单位应针对项目可能发生的生产安全事故特点及危害，制定相应的应急救援预案。建立专职或兼职人员组成的应急救援队伍，配备与项目实施风险等级相适应的应急救援器材、设备和装备等物资，定期组织应急救援实战演练和人员避险自救训练，使各级各类人员熟悉应急救援预案，熟记岗位职责和应急处置要点，熟练操作应急救援器材和设备、装备，提高现场应应急救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pct"/>
            <w:vMerge w:val="continue"/>
            <w:vAlign w:val="center"/>
          </w:tcPr>
          <w:p>
            <w:pPr>
              <w:widowControl/>
              <w:jc w:val="left"/>
              <w:rPr>
                <w:rFonts w:ascii="宋体" w:hAnsi="宋体" w:cs="宋体"/>
                <w:kern w:val="0"/>
                <w:sz w:val="24"/>
                <w:szCs w:val="24"/>
              </w:rPr>
            </w:pPr>
          </w:p>
        </w:tc>
        <w:tc>
          <w:tcPr>
            <w:tcW w:w="351" w:type="pct"/>
            <w:noWrap/>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750" w:type="pct"/>
            <w:noWrap/>
            <w:vAlign w:val="center"/>
          </w:tcPr>
          <w:p>
            <w:pPr>
              <w:widowControl/>
              <w:rPr>
                <w:rFonts w:ascii="宋体" w:hAnsi="宋体" w:cs="宋体"/>
                <w:kern w:val="0"/>
                <w:sz w:val="24"/>
                <w:szCs w:val="24"/>
              </w:rPr>
            </w:pPr>
            <w:r>
              <w:rPr>
                <w:rFonts w:hint="eastAsia" w:ascii="宋体" w:hAnsi="宋体" w:cs="宋体"/>
                <w:kern w:val="0"/>
                <w:sz w:val="24"/>
                <w:szCs w:val="24"/>
              </w:rPr>
              <w:t>严格事故报告和应急处置</w:t>
            </w:r>
          </w:p>
        </w:tc>
        <w:tc>
          <w:tcPr>
            <w:tcW w:w="3311" w:type="pct"/>
            <w:noWrap/>
            <w:vAlign w:val="center"/>
          </w:tcPr>
          <w:p>
            <w:pPr>
              <w:widowControl/>
              <w:rPr>
                <w:rFonts w:ascii="宋体" w:hAnsi="宋体" w:cs="宋体"/>
                <w:kern w:val="0"/>
                <w:sz w:val="24"/>
                <w:szCs w:val="24"/>
              </w:rPr>
            </w:pPr>
            <w:r>
              <w:rPr>
                <w:rFonts w:hint="eastAsia" w:ascii="宋体" w:hAnsi="宋体" w:cs="宋体"/>
                <w:kern w:val="0"/>
                <w:sz w:val="24"/>
                <w:szCs w:val="24"/>
              </w:rPr>
              <w:t>承包单位应严格遵守事故报告有关规定，按照报告时限、内容、方式、对象等要求，及时、完整、客观地向有关部门报告事故，不得瞒报、漏报、谎报、迟报。企业法定代表人、直接负责人和实际控制人应按规定第一时间到达事故现场，立即启动事故应急救援预案，积极采取有效措施组织抢救，防止事故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pct"/>
            <w:vMerge w:val="restart"/>
            <w:vAlign w:val="center"/>
          </w:tcPr>
          <w:p>
            <w:pPr>
              <w:widowControl/>
              <w:jc w:val="left"/>
              <w:rPr>
                <w:rFonts w:ascii="宋体" w:hAnsi="宋体" w:cs="宋体"/>
                <w:kern w:val="0"/>
                <w:sz w:val="24"/>
                <w:szCs w:val="24"/>
              </w:rPr>
            </w:pPr>
            <w:r>
              <w:rPr>
                <w:rFonts w:hint="eastAsia" w:ascii="宋体" w:hAnsi="宋体" w:cs="宋体"/>
                <w:kern w:val="0"/>
                <w:sz w:val="24"/>
                <w:szCs w:val="24"/>
              </w:rPr>
              <w:t>严格落实基础管理责任</w:t>
            </w:r>
          </w:p>
        </w:tc>
        <w:tc>
          <w:tcPr>
            <w:tcW w:w="351" w:type="pct"/>
            <w:noWrap/>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750" w:type="pct"/>
            <w:noWrap/>
            <w:vAlign w:val="center"/>
          </w:tcPr>
          <w:p>
            <w:pPr>
              <w:widowControl/>
              <w:rPr>
                <w:rFonts w:ascii="宋体" w:hAnsi="宋体" w:cs="宋体"/>
                <w:kern w:val="0"/>
                <w:sz w:val="24"/>
                <w:szCs w:val="24"/>
              </w:rPr>
            </w:pPr>
            <w:r>
              <w:rPr>
                <w:rFonts w:hint="eastAsia" w:ascii="宋体" w:hAnsi="宋体" w:cs="宋体"/>
                <w:kern w:val="0"/>
                <w:sz w:val="24"/>
                <w:szCs w:val="24"/>
              </w:rPr>
              <w:t>强化举一反三整改落实</w:t>
            </w:r>
          </w:p>
        </w:tc>
        <w:tc>
          <w:tcPr>
            <w:tcW w:w="3311" w:type="pct"/>
            <w:noWrap/>
            <w:vAlign w:val="center"/>
          </w:tcPr>
          <w:p>
            <w:pPr>
              <w:widowControl/>
              <w:rPr>
                <w:rFonts w:ascii="宋体" w:hAnsi="宋体" w:cs="宋体"/>
                <w:kern w:val="0"/>
                <w:sz w:val="24"/>
                <w:szCs w:val="24"/>
              </w:rPr>
            </w:pPr>
            <w:r>
              <w:rPr>
                <w:rFonts w:hint="eastAsia" w:ascii="宋体" w:hAnsi="宋体" w:cs="宋体"/>
                <w:kern w:val="0"/>
                <w:sz w:val="24"/>
                <w:szCs w:val="24"/>
              </w:rPr>
              <w:t>承包单位应主动配合有关部门对责任事故的调查处理，妥善做好事故善后工作，深刻吸取事故教训，按照事故调查报告全面落实整改措施，并接受监督检查。重视加强对轻微事故、未遂事故的调查处理及原因分析，研究落实预防改进措施，防范人员伤亡和有较大财产损失的事故发生。建立事故信息共享机制，针对同行业、本地区发生的典型事故，及时组织学习反思、警示教育和自查自纠，有效预防类似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pct"/>
            <w:vMerge w:val="continue"/>
            <w:vAlign w:val="center"/>
          </w:tcPr>
          <w:p>
            <w:pPr>
              <w:widowControl/>
              <w:jc w:val="left"/>
              <w:rPr>
                <w:rFonts w:ascii="宋体" w:hAnsi="宋体" w:cs="宋体"/>
                <w:kern w:val="0"/>
                <w:sz w:val="24"/>
                <w:szCs w:val="24"/>
              </w:rPr>
            </w:pPr>
          </w:p>
        </w:tc>
        <w:tc>
          <w:tcPr>
            <w:tcW w:w="351" w:type="pct"/>
            <w:noWrap/>
            <w:vAlign w:val="center"/>
          </w:tcPr>
          <w:p>
            <w:pPr>
              <w:widowControl/>
              <w:jc w:val="center"/>
              <w:rPr>
                <w:rFonts w:ascii="宋体" w:hAnsi="宋体" w:cs="宋体"/>
                <w:kern w:val="0"/>
                <w:sz w:val="24"/>
                <w:szCs w:val="24"/>
              </w:rPr>
            </w:pPr>
            <w:r>
              <w:rPr>
                <w:rFonts w:hint="eastAsia" w:ascii="宋体" w:hAnsi="宋体" w:cs="宋体"/>
                <w:kern w:val="0"/>
                <w:sz w:val="24"/>
                <w:szCs w:val="24"/>
              </w:rPr>
              <w:t>19</w:t>
            </w:r>
          </w:p>
        </w:tc>
        <w:tc>
          <w:tcPr>
            <w:tcW w:w="750" w:type="pct"/>
            <w:noWrap/>
            <w:vAlign w:val="center"/>
          </w:tcPr>
          <w:p>
            <w:pPr>
              <w:widowControl/>
              <w:rPr>
                <w:rFonts w:ascii="宋体" w:hAnsi="宋体" w:cs="宋体"/>
                <w:kern w:val="0"/>
                <w:sz w:val="24"/>
                <w:szCs w:val="24"/>
              </w:rPr>
            </w:pPr>
            <w:r>
              <w:rPr>
                <w:rFonts w:hint="eastAsia" w:ascii="宋体" w:hAnsi="宋体" w:cs="宋体"/>
                <w:kern w:val="0"/>
                <w:sz w:val="24"/>
                <w:szCs w:val="24"/>
              </w:rPr>
              <w:t>安全值班值守</w:t>
            </w:r>
          </w:p>
        </w:tc>
        <w:tc>
          <w:tcPr>
            <w:tcW w:w="3311" w:type="pct"/>
            <w:noWrap/>
            <w:vAlign w:val="center"/>
          </w:tcPr>
          <w:p>
            <w:pPr>
              <w:widowControl/>
              <w:rPr>
                <w:rFonts w:ascii="宋体" w:hAnsi="宋体" w:cs="宋体"/>
                <w:kern w:val="0"/>
                <w:sz w:val="24"/>
                <w:szCs w:val="24"/>
              </w:rPr>
            </w:pPr>
            <w:r>
              <w:rPr>
                <w:rFonts w:hint="eastAsia" w:ascii="宋体" w:hAnsi="宋体" w:cs="宋体"/>
                <w:kern w:val="0"/>
                <w:sz w:val="24"/>
                <w:szCs w:val="24"/>
              </w:rPr>
              <w:t>承包单位应建立安全值班值守制度，确保项目安全值班值守。按甲方指令做好特殊时期（包括且不限于重大活动、特殊气象条件等）全天候安全相关值班值守。</w:t>
            </w:r>
          </w:p>
        </w:tc>
      </w:tr>
    </w:tbl>
    <w:p>
      <w:pPr>
        <w:autoSpaceDE w:val="0"/>
        <w:autoSpaceDN w:val="0"/>
        <w:adjustRightInd w:val="0"/>
        <w:snapToGrid w:val="0"/>
        <w:jc w:val="left"/>
        <w:rPr>
          <w:rFonts w:ascii="宋体" w:hAnsi="宋体" w:cs="宋体"/>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2285C"/>
    <w:multiLevelType w:val="multilevel"/>
    <w:tmpl w:val="3D02285C"/>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7E4B5CE5"/>
    <w:rsid w:val="7E4B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adjustRightInd w:val="0"/>
      <w:snapToGrid w:val="0"/>
      <w:spacing w:line="440" w:lineRule="exact"/>
      <w:jc w:val="center"/>
      <w:outlineLvl w:val="1"/>
    </w:pPr>
    <w:rPr>
      <w:rFonts w:ascii="宋体" w:hAnsi="宋体"/>
      <w:b/>
      <w:kern w:val="0"/>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Calibri" w:hAnsi="Calibri"/>
      <w:kern w:val="0"/>
      <w:sz w:val="20"/>
      <w:szCs w:val="24"/>
    </w:rPr>
  </w:style>
  <w:style w:type="paragraph" w:customStyle="1" w:styleId="6">
    <w:name w:val="首行缩进"/>
    <w:basedOn w:val="1"/>
    <w:qFormat/>
    <w:uiPriority w:val="0"/>
    <w:pPr>
      <w:ind w:firstLine="48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2023-07-03T23:38:00Z</dcterms:created>
  <dc:creator>℡昂首挺胸向前走i</dc:creator>
  <cp:lastModifiedBy>℡昂首挺胸向前走i</cp:lastModifiedBy>
  <dcterms:modified xsi:type="dcterms:W3CDTF">2023-07-03T23:39:44Z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D4592A23B5134CD79DA93D8BB882F3C3_11</vt:lpwstr>
  </property>
</Properties>
</file>