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464"/>
        <w:tblOverlap w:val="never"/>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11"/>
        <w:gridCol w:w="752"/>
        <w:gridCol w:w="851"/>
        <w:gridCol w:w="5623"/>
        <w:gridCol w:w="488"/>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8" w:type="dxa"/>
            <w:vMerge w:val="restart"/>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711" w:type="dxa"/>
            <w:vMerge w:val="restart"/>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货物名称</w:t>
            </w:r>
          </w:p>
        </w:tc>
        <w:tc>
          <w:tcPr>
            <w:tcW w:w="7226" w:type="dxa"/>
            <w:gridSpan w:val="3"/>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技术要求</w:t>
            </w:r>
          </w:p>
        </w:tc>
        <w:tc>
          <w:tcPr>
            <w:tcW w:w="488" w:type="dxa"/>
            <w:vMerge w:val="restart"/>
            <w:shd w:val="clear" w:color="auto" w:fill="auto"/>
            <w:vAlign w:val="center"/>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单位</w:t>
            </w:r>
          </w:p>
        </w:tc>
        <w:tc>
          <w:tcPr>
            <w:tcW w:w="488" w:type="dxa"/>
            <w:vMerge w:val="restart"/>
            <w:shd w:val="clear" w:color="auto" w:fill="auto"/>
            <w:vAlign w:val="center"/>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88" w:type="dxa"/>
            <w:vMerge w:val="continue"/>
            <w:shd w:val="clear" w:color="auto" w:fill="auto"/>
          </w:tcPr>
          <w:p>
            <w:pPr>
              <w:spacing w:before="234" w:beforeLines="75" w:line="360" w:lineRule="auto"/>
              <w:jc w:val="center"/>
              <w:rPr>
                <w:rFonts w:ascii="宋体" w:hAnsi="宋体" w:eastAsia="宋体" w:cs="宋体"/>
                <w:kern w:val="0"/>
                <w:sz w:val="24"/>
              </w:rPr>
            </w:pPr>
          </w:p>
        </w:tc>
        <w:tc>
          <w:tcPr>
            <w:tcW w:w="711" w:type="dxa"/>
            <w:vMerge w:val="continue"/>
            <w:shd w:val="clear" w:color="auto" w:fill="auto"/>
          </w:tcPr>
          <w:p>
            <w:pPr>
              <w:spacing w:before="234" w:beforeLines="75" w:line="360" w:lineRule="auto"/>
              <w:jc w:val="center"/>
              <w:rPr>
                <w:rFonts w:ascii="宋体" w:hAnsi="宋体" w:eastAsia="宋体" w:cs="宋体"/>
                <w:kern w:val="0"/>
                <w:sz w:val="24"/>
              </w:rPr>
            </w:pPr>
          </w:p>
        </w:tc>
        <w:tc>
          <w:tcPr>
            <w:tcW w:w="752" w:type="dxa"/>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项目</w:t>
            </w:r>
          </w:p>
        </w:tc>
        <w:tc>
          <w:tcPr>
            <w:tcW w:w="851" w:type="dxa"/>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编号</w:t>
            </w:r>
          </w:p>
        </w:tc>
        <w:tc>
          <w:tcPr>
            <w:tcW w:w="5623" w:type="dxa"/>
            <w:shd w:val="clear" w:color="auto" w:fill="auto"/>
          </w:tcPr>
          <w:p>
            <w:pPr>
              <w:spacing w:before="234" w:beforeLines="75" w:line="360" w:lineRule="auto"/>
              <w:jc w:val="center"/>
              <w:rPr>
                <w:rFonts w:ascii="宋体" w:hAnsi="宋体" w:eastAsia="宋体" w:cs="宋体"/>
                <w:kern w:val="0"/>
                <w:sz w:val="24"/>
              </w:rPr>
            </w:pPr>
            <w:r>
              <w:rPr>
                <w:rFonts w:hint="eastAsia" w:ascii="宋体" w:hAnsi="宋体" w:eastAsia="宋体" w:cs="宋体"/>
                <w:kern w:val="0"/>
                <w:sz w:val="24"/>
              </w:rPr>
              <w:t>技术参数</w:t>
            </w:r>
          </w:p>
        </w:tc>
        <w:tc>
          <w:tcPr>
            <w:tcW w:w="488" w:type="dxa"/>
            <w:vMerge w:val="continue"/>
            <w:shd w:val="clear" w:color="auto" w:fill="auto"/>
            <w:vAlign w:val="center"/>
          </w:tcPr>
          <w:p>
            <w:pPr>
              <w:spacing w:before="234" w:beforeLines="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234" w:beforeLines="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88"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711"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车厢可卸式垃圾车</w:t>
            </w:r>
          </w:p>
        </w:tc>
        <w:tc>
          <w:tcPr>
            <w:tcW w:w="752" w:type="dxa"/>
            <w:vMerge w:val="restart"/>
            <w:shd w:val="clear" w:color="auto" w:fill="auto"/>
            <w:vAlign w:val="center"/>
          </w:tcPr>
          <w:p>
            <w:pPr>
              <w:spacing w:before="75" w:line="360" w:lineRule="auto"/>
              <w:jc w:val="left"/>
              <w:rPr>
                <w:rFonts w:ascii="宋体" w:hAnsi="宋体" w:eastAsia="宋体" w:cs="宋体"/>
                <w:kern w:val="0"/>
                <w:sz w:val="24"/>
              </w:rPr>
            </w:pPr>
            <w:r>
              <w:rPr>
                <w:rFonts w:hint="eastAsia" w:ascii="宋体" w:hAnsi="宋体" w:eastAsia="宋体" w:cs="宋体"/>
                <w:kern w:val="0"/>
                <w:sz w:val="24"/>
              </w:rPr>
              <w:t>整车要求</w:t>
            </w: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kern w:val="0"/>
                <w:sz w:val="24"/>
                <w:highlight w:val="yellow"/>
              </w:rPr>
            </w:pPr>
            <w:r>
              <w:rPr>
                <w:rFonts w:hint="eastAsia" w:ascii="宋体" w:hAnsi="宋体" w:eastAsia="宋体" w:cs="宋体"/>
                <w:color w:val="000000"/>
                <w:kern w:val="0"/>
                <w:sz w:val="24"/>
                <w:lang w:bidi="ar"/>
              </w:rPr>
              <w:t>可卸式勾臂车由汽车底盘和拉臂钩总成组成。全部作业均由随车发动机通过取力器驱动拉臂钩总成的液压系统完成。配合移动式垃圾压缩转运箱使用，实现与箱体的直接挂接装箱、卸箱、垃圾倾倒等动作。其动作可实现直接在驾驶室内或是室外均能完成操作；</w:t>
            </w:r>
          </w:p>
        </w:tc>
        <w:tc>
          <w:tcPr>
            <w:tcW w:w="488"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台</w:t>
            </w:r>
          </w:p>
        </w:tc>
        <w:tc>
          <w:tcPr>
            <w:tcW w:w="488"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left"/>
              <w:rPr>
                <w:rFonts w:ascii="宋体" w:hAnsi="宋体" w:eastAsia="宋体" w:cs="宋体"/>
                <w:kern w:val="0"/>
                <w:sz w:val="24"/>
              </w:rPr>
            </w:pPr>
          </w:p>
        </w:tc>
        <w:tc>
          <w:tcPr>
            <w:tcW w:w="752" w:type="dxa"/>
            <w:vMerge w:val="continue"/>
            <w:shd w:val="clear" w:color="auto" w:fill="auto"/>
            <w:vAlign w:val="center"/>
          </w:tcPr>
          <w:p>
            <w:pPr>
              <w:spacing w:before="75" w:line="360" w:lineRule="auto"/>
              <w:jc w:val="left"/>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外型尺寸：8250×2500×3050(ｍｍ)≤ 长×宽×高≤8350×2540×3100(ｍｍ)；</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left"/>
              <w:rPr>
                <w:rFonts w:ascii="宋体" w:hAnsi="宋体" w:eastAsia="宋体" w:cs="宋体"/>
                <w:kern w:val="0"/>
                <w:sz w:val="24"/>
              </w:rPr>
            </w:pPr>
          </w:p>
        </w:tc>
        <w:tc>
          <w:tcPr>
            <w:tcW w:w="752" w:type="dxa"/>
            <w:vMerge w:val="continue"/>
            <w:shd w:val="clear" w:color="auto" w:fill="auto"/>
            <w:vAlign w:val="center"/>
          </w:tcPr>
          <w:p>
            <w:pPr>
              <w:spacing w:before="75" w:line="360" w:lineRule="auto"/>
              <w:jc w:val="left"/>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bookmarkStart w:id="0" w:name="_GoBack"/>
            <w:bookmarkEnd w:id="0"/>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最大总质量 ≥25000kg；</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left"/>
              <w:rPr>
                <w:rFonts w:ascii="宋体" w:hAnsi="宋体" w:eastAsia="宋体" w:cs="宋体"/>
                <w:kern w:val="0"/>
                <w:sz w:val="24"/>
              </w:rPr>
            </w:pPr>
          </w:p>
        </w:tc>
        <w:tc>
          <w:tcPr>
            <w:tcW w:w="752" w:type="dxa"/>
            <w:vMerge w:val="continue"/>
            <w:shd w:val="clear" w:color="auto" w:fill="auto"/>
            <w:vAlign w:val="center"/>
          </w:tcPr>
          <w:p>
            <w:pPr>
              <w:spacing w:before="75" w:line="360" w:lineRule="auto"/>
              <w:jc w:val="left"/>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额定装载质量≥13200kg；</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left"/>
              <w:rPr>
                <w:rFonts w:ascii="宋体" w:hAnsi="宋体" w:eastAsia="宋体" w:cs="宋体"/>
                <w:kern w:val="0"/>
                <w:sz w:val="24"/>
              </w:rPr>
            </w:pPr>
          </w:p>
        </w:tc>
        <w:tc>
          <w:tcPr>
            <w:tcW w:w="752" w:type="dxa"/>
            <w:vMerge w:val="continue"/>
            <w:shd w:val="clear" w:color="auto" w:fill="auto"/>
            <w:vAlign w:val="center"/>
          </w:tcPr>
          <w:p>
            <w:pPr>
              <w:spacing w:before="75" w:line="360" w:lineRule="auto"/>
              <w:jc w:val="left"/>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整备质量:≥11380kg；</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left"/>
              <w:rPr>
                <w:rFonts w:ascii="宋体" w:hAnsi="宋体" w:eastAsia="宋体" w:cs="宋体"/>
                <w:kern w:val="0"/>
                <w:sz w:val="24"/>
              </w:rPr>
            </w:pPr>
          </w:p>
        </w:tc>
        <w:tc>
          <w:tcPr>
            <w:tcW w:w="752" w:type="dxa"/>
            <w:vMerge w:val="continue"/>
            <w:shd w:val="clear" w:color="auto" w:fill="auto"/>
            <w:vAlign w:val="center"/>
          </w:tcPr>
          <w:p>
            <w:pPr>
              <w:spacing w:before="75" w:line="360" w:lineRule="auto"/>
              <w:jc w:val="left"/>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发动机额定功率:≥195KW；</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排放标准：国六；</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接近角/离去角：≥17/21°；</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前悬/后悬：≥1400/1100mm</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最高车速：≥89Kｍ/ｈ</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准乘人数：3人</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拉臂钩要求</w:t>
            </w: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吊臂最大提升力：≥ 20t；</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kern w:val="0"/>
                <w:sz w:val="24"/>
                <w:highlight w:val="yellow"/>
              </w:rPr>
            </w:pPr>
            <w:r>
              <w:rPr>
                <w:rFonts w:hint="eastAsia" w:ascii="宋体" w:hAnsi="宋体" w:eastAsia="宋体" w:cs="宋体"/>
                <w:color w:val="000000"/>
                <w:kern w:val="0"/>
                <w:sz w:val="24"/>
                <w:lang w:bidi="ar"/>
              </w:rPr>
              <w:t>操纵方式：自动 +手动；</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kern w:val="0"/>
                <w:sz w:val="24"/>
                <w:highlight w:val="yellow"/>
              </w:rPr>
            </w:pPr>
            <w:r>
              <w:rPr>
                <w:rFonts w:hint="eastAsia" w:ascii="宋体" w:hAnsi="宋体" w:eastAsia="宋体" w:cs="宋体"/>
                <w:color w:val="000000"/>
                <w:kern w:val="0"/>
                <w:sz w:val="24"/>
                <w:lang w:bidi="ar"/>
              </w:rPr>
              <w:t>拉臂动作形式：平移</w:t>
            </w:r>
            <w:r>
              <w:rPr>
                <w:rStyle w:val="7"/>
                <w:rFonts w:eastAsia="宋体"/>
                <w:lang w:bidi="ar"/>
              </w:rPr>
              <w:t>+</w:t>
            </w:r>
            <w:r>
              <w:rPr>
                <w:rStyle w:val="8"/>
                <w:rFonts w:hint="default"/>
                <w:lang w:bidi="ar"/>
              </w:rPr>
              <w:t>翻转；</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Times New Roman" w:hAnsi="Times New Roman" w:eastAsia="宋体" w:cs="Times New Roman"/>
                <w:sz w:val="24"/>
                <w:highlight w:val="yellow"/>
              </w:rPr>
            </w:pPr>
            <w:r>
              <w:rPr>
                <w:rFonts w:hint="eastAsia" w:ascii="宋体" w:hAnsi="宋体" w:eastAsia="宋体" w:cs="宋体"/>
                <w:color w:val="000000"/>
                <w:kern w:val="0"/>
                <w:sz w:val="24"/>
                <w:lang w:bidi="ar"/>
              </w:rPr>
              <w:t>拉臂钩挂接高度标准为</w:t>
            </w:r>
            <w:r>
              <w:rPr>
                <w:rStyle w:val="7"/>
                <w:rFonts w:eastAsia="宋体"/>
                <w:lang w:bidi="ar"/>
              </w:rPr>
              <w:t>1570mm</w:t>
            </w:r>
            <w:r>
              <w:rPr>
                <w:rStyle w:val="8"/>
                <w:rFonts w:hint="default"/>
                <w:lang w:bidi="ar"/>
              </w:rPr>
              <w:t>标准；</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其它要求</w:t>
            </w: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pStyle w:val="9"/>
              <w:ind w:firstLine="0"/>
              <w:rPr>
                <w:rFonts w:eastAsia="宋体" w:cs="宋体"/>
                <w:color w:val="000000"/>
                <w:kern w:val="0"/>
                <w:lang w:bidi="ar"/>
              </w:rPr>
            </w:pPr>
            <w:r>
              <w:rPr>
                <w:rFonts w:hint="eastAsia" w:eastAsia="宋体" w:cs="宋体"/>
                <w:b w:val="0"/>
                <w:color w:val="000000"/>
                <w:kern w:val="0"/>
                <w:lang w:bidi="ar"/>
              </w:rPr>
              <w:t>车辆拉臂结构件采用高强度钢，关键部位采用高强度精铸件，能提高安全性和延长使用寿命。</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pStyle w:val="9"/>
              <w:ind w:firstLine="0"/>
              <w:rPr>
                <w:rFonts w:eastAsia="宋体" w:cs="宋体"/>
                <w:b w:val="0"/>
                <w:color w:val="000000"/>
                <w:kern w:val="0"/>
                <w:lang w:bidi="ar"/>
              </w:rPr>
            </w:pPr>
            <w:r>
              <w:rPr>
                <w:rFonts w:hint="eastAsia" w:eastAsia="宋体" w:cs="宋体"/>
                <w:b w:val="0"/>
                <w:color w:val="000000"/>
                <w:kern w:val="0"/>
                <w:lang w:bidi="ar"/>
              </w:rPr>
              <w:t>要求车辆的液压系统中设置箱体缓冲回落装置，当箱体下降到一定角度后，传感器能触发电信号，电路控制液压系统中有缓冲阀，能使箱体能平缓的下降到车辆上，避免刚性冲击。</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pStyle w:val="9"/>
              <w:ind w:firstLine="0"/>
              <w:rPr>
                <w:rFonts w:eastAsia="宋体" w:cs="宋体"/>
                <w:b w:val="0"/>
                <w:color w:val="000000"/>
                <w:kern w:val="0"/>
                <w:lang w:bidi="ar"/>
              </w:rPr>
            </w:pPr>
            <w:r>
              <w:rPr>
                <w:rFonts w:hint="eastAsia" w:eastAsia="宋体" w:cs="宋体"/>
                <w:b w:val="0"/>
                <w:color w:val="000000"/>
                <w:kern w:val="0"/>
                <w:lang w:bidi="ar"/>
              </w:rPr>
              <w:t>要求车辆尾部安装有后滚轮支撑装置，拉臂车拉满载箱体前，将后滚轮支撑在地面，防止车辆向后倾翻，安全可靠。</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1"/>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车辆必需具有国家工信部规定的合法证明（公告目录），满足落籍要求。</w:t>
            </w: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88"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711"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bCs/>
                <w:szCs w:val="21"/>
                <w:lang w:val="zh-CN"/>
              </w:rPr>
              <w:t>整体式垃圾压缩站</w:t>
            </w:r>
          </w:p>
        </w:tc>
        <w:tc>
          <w:tcPr>
            <w:tcW w:w="752"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整体要求</w:t>
            </w: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整体式垃圾压缩机主要由压缩仓总成、垃圾箱体总成、压头、卸料门、上料机构、电控系统及液压系统等组成：</w:t>
            </w:r>
          </w:p>
        </w:tc>
        <w:tc>
          <w:tcPr>
            <w:tcW w:w="488" w:type="dxa"/>
            <w:vMerge w:val="restart"/>
            <w:shd w:val="clear" w:color="auto" w:fill="auto"/>
            <w:vAlign w:val="center"/>
          </w:tcPr>
          <w:p>
            <w:pPr>
              <w:spacing w:before="75" w:line="360" w:lineRule="auto"/>
              <w:jc w:val="center"/>
              <w:rPr>
                <w:rFonts w:ascii="宋体" w:hAnsi="宋体" w:eastAsia="宋体" w:cs="宋体"/>
                <w:b/>
                <w:kern w:val="0"/>
                <w:sz w:val="24"/>
              </w:rPr>
            </w:pPr>
            <w:r>
              <w:rPr>
                <w:rFonts w:hint="eastAsia" w:ascii="宋体" w:hAnsi="宋体" w:eastAsia="宋体" w:cs="宋体"/>
                <w:b/>
                <w:kern w:val="0"/>
                <w:sz w:val="24"/>
              </w:rPr>
              <w:t>个</w:t>
            </w:r>
          </w:p>
        </w:tc>
        <w:tc>
          <w:tcPr>
            <w:tcW w:w="488"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before="234" w:beforeLines="75" w:line="360" w:lineRule="auto"/>
              <w:jc w:val="left"/>
              <w:rPr>
                <w:rFonts w:ascii="宋体" w:hAnsi="宋体" w:cs="宋体"/>
                <w:kern w:val="0"/>
                <w:sz w:val="24"/>
                <w:highlight w:val="yellow"/>
              </w:rPr>
            </w:pPr>
            <w:r>
              <w:rPr>
                <w:rFonts w:hint="eastAsia" w:ascii="宋体" w:hAnsi="宋体"/>
                <w:color w:val="000000"/>
                <w:sz w:val="24"/>
                <w:lang w:eastAsia="zh-CN"/>
              </w:rPr>
              <w:t>◆</w:t>
            </w:r>
            <w:r>
              <w:rPr>
                <w:rFonts w:hint="eastAsia" w:ascii="宋体" w:hAnsi="宋体"/>
                <w:color w:val="000000"/>
                <w:sz w:val="24"/>
              </w:rPr>
              <w:t>外形尺寸（长×宽×高）≥6390</w:t>
            </w:r>
            <w:r>
              <w:rPr>
                <w:rFonts w:hint="eastAsia" w:ascii="宋体" w:hAnsi="宋体"/>
                <w:color w:val="000000"/>
                <w:sz w:val="24"/>
                <w:lang w:val="zh-CN"/>
              </w:rPr>
              <w:t>×</w:t>
            </w:r>
            <w:r>
              <w:rPr>
                <w:rFonts w:hint="eastAsia" w:ascii="宋体" w:hAnsi="宋体"/>
                <w:color w:val="000000"/>
                <w:sz w:val="24"/>
              </w:rPr>
              <w:t>2500</w:t>
            </w:r>
            <w:r>
              <w:rPr>
                <w:rFonts w:hint="eastAsia" w:ascii="宋体" w:hAnsi="宋体"/>
                <w:color w:val="000000"/>
                <w:sz w:val="24"/>
                <w:lang w:val="zh-CN"/>
              </w:rPr>
              <w:t>×</w:t>
            </w:r>
            <w:r>
              <w:rPr>
                <w:rFonts w:hint="eastAsia" w:ascii="宋体" w:hAnsi="宋体"/>
                <w:color w:val="000000"/>
                <w:sz w:val="24"/>
              </w:rPr>
              <w:t>2630（mm）</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cs="宋体"/>
                <w:kern w:val="0"/>
                <w:sz w:val="24"/>
              </w:rPr>
            </w:pPr>
            <w:r>
              <w:rPr>
                <w:rFonts w:hint="eastAsia" w:ascii="宋体" w:hAnsi="宋体"/>
                <w:color w:val="000000"/>
                <w:sz w:val="24"/>
              </w:rPr>
              <w:t>理论处理垃圾量</w:t>
            </w:r>
            <w:r>
              <w:rPr>
                <w:rFonts w:hint="eastAsia" w:ascii="宋体" w:hAnsi="宋体" w:cs="宋体"/>
                <w:kern w:val="0"/>
                <w:sz w:val="24"/>
              </w:rPr>
              <w:t>≥</w:t>
            </w:r>
            <w:r>
              <w:rPr>
                <w:rFonts w:hint="eastAsia" w:ascii="宋体" w:hAnsi="宋体" w:eastAsia="宋体" w:cs="Times New Roman"/>
                <w:sz w:val="24"/>
              </w:rPr>
              <w:t>18</w:t>
            </w:r>
            <w:r>
              <w:rPr>
                <w:rFonts w:hint="eastAsia" w:ascii="宋体" w:hAnsi="宋体" w:cs="宋体"/>
                <w:kern w:val="0"/>
                <w:sz w:val="24"/>
              </w:rPr>
              <w:t>t/h</w:t>
            </w:r>
            <w:r>
              <w:rPr>
                <w:rFonts w:hint="eastAsia" w:ascii="宋体" w:hAnsi="宋体" w:eastAsia="宋体" w:cs="Times New Roman"/>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eastAsia="宋体" w:cs="宋体"/>
                <w:kern w:val="0"/>
                <w:sz w:val="24"/>
              </w:rPr>
            </w:pPr>
            <w:r>
              <w:rPr>
                <w:rFonts w:hint="eastAsia" w:ascii="宋体" w:hAnsi="宋体" w:cs="宋体"/>
                <w:kern w:val="0"/>
                <w:sz w:val="24"/>
              </w:rPr>
              <w:t>垃圾箱容积≥</w:t>
            </w:r>
            <w:r>
              <w:rPr>
                <w:rFonts w:hint="eastAsia" w:ascii="宋体" w:hAnsi="宋体" w:eastAsia="宋体" w:cs="宋体"/>
                <w:kern w:val="0"/>
                <w:sz w:val="24"/>
              </w:rPr>
              <w:t>17</w:t>
            </w:r>
            <w:r>
              <w:rPr>
                <w:rFonts w:hint="eastAsia" w:ascii="宋体" w:hAnsi="宋体" w:cs="宋体"/>
                <w:kern w:val="0"/>
                <w:sz w:val="24"/>
              </w:rPr>
              <w:t>m</w:t>
            </w:r>
            <w:r>
              <w:rPr>
                <w:rFonts w:hint="eastAsia" w:ascii="宋体" w:hAnsi="宋体" w:cs="宋体"/>
                <w:kern w:val="0"/>
                <w:sz w:val="24"/>
                <w:vertAlign w:val="superscript"/>
              </w:rPr>
              <w:t>3</w:t>
            </w:r>
            <w:r>
              <w:rPr>
                <w:rFonts w:hint="eastAsia" w:ascii="宋体" w:hAnsi="宋体" w:eastAsia="宋体" w:cs="Times New Roman"/>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before="234" w:beforeLines="75" w:line="360" w:lineRule="auto"/>
              <w:jc w:val="left"/>
              <w:rPr>
                <w:rFonts w:ascii="宋体" w:hAnsi="宋体" w:eastAsia="宋体" w:cs="宋体"/>
                <w:kern w:val="0"/>
                <w:sz w:val="24"/>
              </w:rPr>
            </w:pPr>
            <w:r>
              <w:rPr>
                <w:rFonts w:hint="eastAsia" w:ascii="宋体" w:hAnsi="宋体" w:cs="宋体"/>
                <w:kern w:val="0"/>
                <w:sz w:val="24"/>
              </w:rPr>
              <w:t>最大压缩力≥340KN</w:t>
            </w:r>
            <w:r>
              <w:rPr>
                <w:rFonts w:hint="eastAsia" w:ascii="宋体" w:hAnsi="宋体" w:eastAsia="宋体" w:cs="Times New Roman"/>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before="234" w:beforeLines="75" w:line="360" w:lineRule="auto"/>
              <w:jc w:val="left"/>
              <w:rPr>
                <w:rFonts w:ascii="宋体" w:hAnsi="宋体" w:cs="宋体"/>
                <w:kern w:val="0"/>
                <w:sz w:val="24"/>
              </w:rPr>
            </w:pPr>
            <w:r>
              <w:rPr>
                <w:rFonts w:hint="eastAsia" w:ascii="宋体" w:hAnsi="宋体" w:cs="宋体"/>
                <w:kern w:val="0"/>
                <w:sz w:val="24"/>
              </w:rPr>
              <w:t>上料机构最大举升力≥2t</w:t>
            </w:r>
            <w:r>
              <w:rPr>
                <w:rFonts w:hint="eastAsia" w:ascii="宋体" w:hAnsi="宋体" w:eastAsia="宋体" w:cs="Times New Roman"/>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cs="宋体"/>
                <w:kern w:val="0"/>
                <w:sz w:val="24"/>
              </w:rPr>
            </w:pPr>
            <w:r>
              <w:rPr>
                <w:rFonts w:hint="eastAsia" w:ascii="宋体" w:hAnsi="宋体" w:cs="宋体"/>
                <w:kern w:val="0"/>
                <w:sz w:val="24"/>
              </w:rPr>
              <w:t>上料机构循环时间≤</w:t>
            </w:r>
            <w:r>
              <w:rPr>
                <w:rFonts w:hint="eastAsia" w:ascii="宋体" w:hAnsi="宋体" w:eastAsia="宋体" w:cs="宋体"/>
                <w:kern w:val="0"/>
                <w:sz w:val="24"/>
              </w:rPr>
              <w:t>32s；</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cs="宋体"/>
                <w:kern w:val="0"/>
                <w:sz w:val="24"/>
              </w:rPr>
            </w:pPr>
            <w:r>
              <w:rPr>
                <w:rFonts w:hint="eastAsia" w:ascii="宋体" w:hAnsi="宋体" w:eastAsia="宋体" w:cs="宋体"/>
                <w:kern w:val="0"/>
                <w:sz w:val="24"/>
              </w:rPr>
              <w:t>上料斗容积</w:t>
            </w:r>
            <w:r>
              <w:rPr>
                <w:rFonts w:hint="eastAsia" w:ascii="宋体" w:hAnsi="宋体" w:cs="宋体"/>
                <w:kern w:val="0"/>
                <w:sz w:val="24"/>
              </w:rPr>
              <w:t>≥</w:t>
            </w:r>
            <w:r>
              <w:rPr>
                <w:rFonts w:hint="eastAsia" w:ascii="宋体" w:hAnsi="宋体" w:eastAsia="宋体" w:cs="宋体"/>
                <w:kern w:val="0"/>
                <w:sz w:val="24"/>
              </w:rPr>
              <w:t>3.5m</w:t>
            </w:r>
            <w:r>
              <w:rPr>
                <w:rFonts w:hint="eastAsia" w:ascii="宋体" w:hAnsi="宋体" w:eastAsia="宋体" w:cs="宋体"/>
                <w:kern w:val="0"/>
                <w:sz w:val="24"/>
                <w:vertAlign w:val="superscript"/>
              </w:rPr>
              <w:t>3</w:t>
            </w:r>
            <w:r>
              <w:rPr>
                <w:rFonts w:hint="eastAsia" w:ascii="宋体" w:hAnsi="宋体" w:eastAsia="宋体" w:cs="宋体"/>
                <w:kern w:val="0"/>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eastAsia="宋体" w:cs="宋体"/>
                <w:kern w:val="0"/>
                <w:sz w:val="24"/>
              </w:rPr>
            </w:pPr>
            <w:r>
              <w:rPr>
                <w:rFonts w:hint="eastAsia" w:ascii="宋体" w:hAnsi="宋体"/>
                <w:color w:val="000000"/>
                <w:sz w:val="24"/>
              </w:rPr>
              <w:t>压缩仓容积</w:t>
            </w:r>
            <w:r>
              <w:rPr>
                <w:rFonts w:hint="eastAsia" w:ascii="宋体" w:hAnsi="宋体" w:cs="宋体"/>
                <w:kern w:val="0"/>
                <w:sz w:val="24"/>
              </w:rPr>
              <w:t>≥4.5m</w:t>
            </w:r>
            <w:r>
              <w:rPr>
                <w:rFonts w:hint="eastAsia" w:ascii="宋体" w:hAnsi="宋体" w:cs="宋体"/>
                <w:kern w:val="0"/>
                <w:sz w:val="24"/>
                <w:vertAlign w:val="superscript"/>
              </w:rPr>
              <w:t>3</w:t>
            </w:r>
            <w:r>
              <w:rPr>
                <w:rFonts w:hint="eastAsia" w:ascii="宋体" w:hAnsi="宋体" w:cs="宋体"/>
                <w:kern w:val="0"/>
                <w:sz w:val="24"/>
              </w:rPr>
              <w:t>；</w:t>
            </w:r>
            <w:r>
              <w:rPr>
                <w:rFonts w:hint="eastAsia" w:ascii="宋体" w:hAnsi="宋体"/>
                <w:sz w:val="24"/>
              </w:rPr>
              <w:t>（需提供第三方检测机构材料证明）</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before="234" w:beforeLines="75" w:line="360" w:lineRule="auto"/>
              <w:jc w:val="left"/>
              <w:rPr>
                <w:rFonts w:ascii="宋体" w:hAnsi="宋体" w:cs="宋体"/>
                <w:kern w:val="0"/>
                <w:sz w:val="24"/>
              </w:rPr>
            </w:pPr>
            <w:r>
              <w:rPr>
                <w:rFonts w:hint="eastAsia" w:ascii="宋体" w:hAnsi="宋体" w:eastAsia="宋体" w:cs="Times New Roman"/>
                <w:sz w:val="24"/>
              </w:rPr>
              <w:t>垃圾箱整体需为大弧形结构，板材厚度≥</w:t>
            </w:r>
            <w:r>
              <w:rPr>
                <w:rFonts w:ascii="宋体" w:hAnsi="宋体" w:eastAsia="宋体" w:cs="Times New Roman"/>
                <w:sz w:val="24"/>
              </w:rPr>
              <w:t>4mm</w:t>
            </w:r>
            <w:r>
              <w:rPr>
                <w:rFonts w:hint="eastAsia" w:ascii="宋体" w:hAnsi="宋体" w:eastAsia="宋体" w:cs="Times New Roman"/>
                <w:sz w:val="24"/>
              </w:rPr>
              <w:t>,</w:t>
            </w:r>
            <w:r>
              <w:rPr>
                <w:rFonts w:hint="eastAsia" w:ascii="宋体" w:hAnsi="宋体"/>
                <w:sz w:val="24"/>
              </w:rPr>
              <w:t xml:space="preserve"> 材料不低于Q355B；</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sz w:val="24"/>
              </w:rPr>
              <w:t>压头总成的两侧板、底板需采用厚度≥</w:t>
            </w:r>
            <w:r>
              <w:rPr>
                <w:rFonts w:ascii="宋体" w:hAnsi="宋体"/>
                <w:sz w:val="24"/>
              </w:rPr>
              <w:t>8mm</w:t>
            </w:r>
            <w:r>
              <w:rPr>
                <w:rFonts w:hint="eastAsia" w:ascii="宋体" w:hAnsi="宋体"/>
                <w:sz w:val="24"/>
              </w:rPr>
              <w:t>的高强钢焊接而成</w:t>
            </w:r>
            <w:r>
              <w:rPr>
                <w:rFonts w:hint="eastAsia" w:ascii="Arial" w:hAnsi="宋体" w:cs="Arial"/>
                <w:kern w:val="0"/>
                <w:sz w:val="24"/>
              </w:rPr>
              <w:t>，</w:t>
            </w:r>
            <w:r>
              <w:rPr>
                <w:rFonts w:hint="eastAsia" w:ascii="宋体" w:hAnsi="宋体" w:eastAsia="宋体" w:cs="Times New Roman"/>
                <w:sz w:val="24"/>
              </w:rPr>
              <w:t>强度好；</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numPr>
                <w:ilvl w:val="0"/>
                <w:numId w:val="2"/>
              </w:numPr>
              <w:spacing w:before="75" w:line="360" w:lineRule="auto"/>
              <w:jc w:val="center"/>
              <w:rPr>
                <w:rFonts w:ascii="宋体" w:hAnsi="宋体" w:eastAsia="宋体" w:cs="宋体"/>
                <w:kern w:val="0"/>
                <w:sz w:val="24"/>
              </w:rPr>
            </w:pPr>
          </w:p>
        </w:tc>
        <w:tc>
          <w:tcPr>
            <w:tcW w:w="5623" w:type="dxa"/>
            <w:shd w:val="clear" w:color="auto" w:fill="auto"/>
          </w:tcPr>
          <w:p>
            <w:pPr>
              <w:spacing w:line="360" w:lineRule="auto"/>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需具有三相电源的相序换相功能，方便快捷改变电机的相位，无须重新接线；</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line="360" w:lineRule="auto"/>
              <w:jc w:val="center"/>
              <w:rPr>
                <w:rFonts w:ascii="宋体" w:hAnsi="宋体" w:eastAsia="宋体" w:cs="宋体"/>
                <w:kern w:val="0"/>
                <w:sz w:val="24"/>
              </w:rPr>
            </w:pPr>
            <w:r>
              <w:rPr>
                <w:rFonts w:hint="eastAsia" w:ascii="宋体" w:hAnsi="宋体" w:eastAsia="宋体" w:cs="宋体"/>
                <w:kern w:val="0"/>
                <w:sz w:val="24"/>
              </w:rPr>
              <w:t>13</w:t>
            </w:r>
          </w:p>
        </w:tc>
        <w:tc>
          <w:tcPr>
            <w:tcW w:w="5623" w:type="dxa"/>
            <w:shd w:val="clear" w:color="auto" w:fill="auto"/>
          </w:tcPr>
          <w:p>
            <w:pPr>
              <w:spacing w:line="360" w:lineRule="auto"/>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垃圾存储箱部位应带有双层加热结构，可以与车厢可卸式垃圾车的尾气加热装置自动对接，在箱体装车后可对垃圾存储箱部位进行加热，以保证冬季使用；</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14</w:t>
            </w:r>
          </w:p>
        </w:tc>
        <w:tc>
          <w:tcPr>
            <w:tcW w:w="5623" w:type="dxa"/>
            <w:shd w:val="clear" w:color="auto" w:fill="auto"/>
          </w:tcPr>
          <w:p>
            <w:pPr>
              <w:spacing w:before="234" w:beforeLines="75" w:line="360" w:lineRule="auto"/>
              <w:jc w:val="left"/>
              <w:rPr>
                <w:rFonts w:ascii="宋体" w:hAnsi="宋体" w:eastAsia="宋体" w:cs="宋体"/>
                <w:kern w:val="0"/>
                <w:sz w:val="24"/>
                <w:highlight w:val="yellow"/>
              </w:rPr>
            </w:pPr>
            <w:r>
              <w:rPr>
                <w:rFonts w:hint="eastAsia" w:ascii="宋体" w:hAnsi="宋体" w:eastAsia="宋体" w:cs="宋体"/>
                <w:kern w:val="0"/>
                <w:sz w:val="24"/>
                <w:lang w:eastAsia="zh-CN"/>
              </w:rPr>
              <w:t>◆</w:t>
            </w:r>
            <w:r>
              <w:rPr>
                <w:rFonts w:hint="eastAsia" w:ascii="宋体" w:hAnsi="宋体" w:eastAsia="宋体" w:cs="宋体"/>
                <w:kern w:val="0"/>
                <w:sz w:val="24"/>
              </w:rPr>
              <w:t>设备的压缩头除可以通过设备液压系统驱动外，应能在设备倾倒垃圾时通过车厢可卸式垃圾车液压系统驱动进行前后运动，避免垃圾倾倒不干净，在驾驶内即可进行操控；</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restart"/>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其他要求</w:t>
            </w: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15</w:t>
            </w:r>
          </w:p>
        </w:tc>
        <w:tc>
          <w:tcPr>
            <w:tcW w:w="5623" w:type="dxa"/>
            <w:shd w:val="clear" w:color="auto" w:fill="auto"/>
          </w:tcPr>
          <w:p>
            <w:pPr>
              <w:spacing w:before="234" w:beforeLines="75" w:line="360" w:lineRule="auto"/>
              <w:jc w:val="left"/>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需可实现自动压缩循环，当按下压缩循环按钮，压头可在压缩仓内自动地来回运动；</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16</w:t>
            </w:r>
          </w:p>
        </w:tc>
        <w:tc>
          <w:tcPr>
            <w:tcW w:w="5623" w:type="dxa"/>
            <w:shd w:val="clear" w:color="auto" w:fill="auto"/>
          </w:tcPr>
          <w:p>
            <w:pPr>
              <w:spacing w:before="234" w:beforeLines="75" w:line="360" w:lineRule="auto"/>
              <w:jc w:val="left"/>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需采用装配式挂钩，当挂钩磨损至一定程度时可以直接进行更换；</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17</w:t>
            </w:r>
          </w:p>
        </w:tc>
        <w:tc>
          <w:tcPr>
            <w:tcW w:w="5623" w:type="dxa"/>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kern w:val="0"/>
                <w:sz w:val="24"/>
                <w:lang w:eastAsia="zh-CN"/>
              </w:rPr>
              <w:t>◆</w:t>
            </w:r>
            <w:r>
              <w:rPr>
                <w:rFonts w:hint="eastAsia" w:ascii="宋体" w:hAnsi="宋体" w:eastAsia="宋体" w:cs="宋体"/>
                <w:color w:val="000000"/>
                <w:kern w:val="0"/>
                <w:sz w:val="24"/>
                <w:lang w:bidi="ar"/>
              </w:rPr>
              <w:t>需具有压满报警及显示功能，具有紧急停机功能；</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18</w:t>
            </w:r>
          </w:p>
        </w:tc>
        <w:tc>
          <w:tcPr>
            <w:tcW w:w="5623" w:type="dxa"/>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kern w:val="0"/>
                <w:sz w:val="24"/>
                <w:lang w:eastAsia="zh-CN"/>
              </w:rPr>
              <w:t>◆</w:t>
            </w:r>
            <w:r>
              <w:rPr>
                <w:rFonts w:hint="eastAsia" w:ascii="宋体" w:hAnsi="宋体" w:eastAsia="宋体" w:cs="宋体"/>
                <w:kern w:val="0"/>
                <w:sz w:val="24"/>
              </w:rPr>
              <w:t>设</w:t>
            </w:r>
            <w:r>
              <w:rPr>
                <w:rFonts w:hint="eastAsia" w:ascii="宋体" w:hAnsi="宋体"/>
                <w:sz w:val="24"/>
              </w:rPr>
              <w:t>需具有液晶显示功能，能将设备的工作运行情况显示在屏幕上，包括但不限于：动态的垃圾量显示、误操作提示、设备运行状态、故障的自诊断结果显示、程序调整功能等；</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19</w:t>
            </w:r>
          </w:p>
        </w:tc>
        <w:tc>
          <w:tcPr>
            <w:tcW w:w="5623" w:type="dxa"/>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Arial" w:hAnsi="宋体" w:eastAsia="宋体" w:cs="Arial"/>
                <w:kern w:val="0"/>
                <w:sz w:val="24"/>
              </w:rPr>
              <w:t>后门密封采用Ω形内空四孔硅胶密封条，弹性好、耐老化，密封性能好；</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11" w:type="dxa"/>
            <w:vMerge w:val="continue"/>
            <w:shd w:val="clear" w:color="auto" w:fill="auto"/>
            <w:vAlign w:val="center"/>
          </w:tcPr>
          <w:p>
            <w:pPr>
              <w:spacing w:before="75" w:line="360" w:lineRule="auto"/>
              <w:jc w:val="center"/>
              <w:rPr>
                <w:rFonts w:ascii="宋体" w:hAnsi="宋体" w:eastAsia="宋体" w:cs="宋体"/>
                <w:kern w:val="0"/>
                <w:sz w:val="24"/>
              </w:rPr>
            </w:pPr>
          </w:p>
        </w:tc>
        <w:tc>
          <w:tcPr>
            <w:tcW w:w="752" w:type="dxa"/>
            <w:vMerge w:val="continue"/>
            <w:shd w:val="clear" w:color="auto" w:fill="auto"/>
            <w:vAlign w:val="center"/>
          </w:tcPr>
          <w:p>
            <w:pPr>
              <w:spacing w:before="75" w:line="360" w:lineRule="auto"/>
              <w:jc w:val="center"/>
              <w:rPr>
                <w:rFonts w:ascii="宋体" w:hAnsi="宋体" w:eastAsia="宋体" w:cs="宋体"/>
                <w:kern w:val="0"/>
                <w:sz w:val="24"/>
              </w:rPr>
            </w:pPr>
          </w:p>
        </w:tc>
        <w:tc>
          <w:tcPr>
            <w:tcW w:w="851" w:type="dxa"/>
            <w:shd w:val="clear" w:color="auto" w:fill="auto"/>
            <w:vAlign w:val="center"/>
          </w:tcPr>
          <w:p>
            <w:pPr>
              <w:spacing w:before="75" w:line="360" w:lineRule="auto"/>
              <w:jc w:val="center"/>
              <w:rPr>
                <w:rFonts w:ascii="宋体" w:hAnsi="宋体" w:eastAsia="宋体" w:cs="宋体"/>
                <w:kern w:val="0"/>
                <w:sz w:val="24"/>
              </w:rPr>
            </w:pPr>
            <w:r>
              <w:rPr>
                <w:rFonts w:hint="eastAsia" w:ascii="宋体" w:hAnsi="宋体" w:eastAsia="宋体" w:cs="宋体"/>
                <w:kern w:val="0"/>
                <w:sz w:val="24"/>
              </w:rPr>
              <w:t>20</w:t>
            </w:r>
          </w:p>
        </w:tc>
        <w:tc>
          <w:tcPr>
            <w:tcW w:w="5623" w:type="dxa"/>
            <w:shd w:val="clear" w:color="auto" w:fill="auto"/>
            <w:vAlign w:val="center"/>
          </w:tcPr>
          <w:p>
            <w:pPr>
              <w:spacing w:line="360" w:lineRule="auto"/>
              <w:rPr>
                <w:rFonts w:ascii="宋体" w:hAnsi="宋体" w:eastAsia="宋体" w:cs="宋体"/>
                <w:kern w:val="0"/>
                <w:sz w:val="24"/>
                <w:highlight w:val="yellow"/>
              </w:rPr>
            </w:pPr>
            <w:r>
              <w:rPr>
                <w:rFonts w:hint="eastAsia" w:ascii="Arial" w:hAnsi="宋体" w:cs="Arial"/>
                <w:kern w:val="0"/>
                <w:sz w:val="24"/>
              </w:rPr>
              <w:t>需</w:t>
            </w:r>
            <w:r>
              <w:rPr>
                <w:rFonts w:hint="eastAsia" w:ascii="Arial" w:hAnsi="宋体" w:eastAsia="宋体" w:cs="Arial"/>
                <w:kern w:val="0"/>
                <w:sz w:val="24"/>
              </w:rPr>
              <w:t>采用双泵驱动，系统需要高压时，采用单泵工作，系统需高速时，采用双泵工作，高效节能，系统发热量小；</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3</w:t>
            </w:r>
          </w:p>
        </w:tc>
        <w:tc>
          <w:tcPr>
            <w:tcW w:w="711"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护栏清洗车</w:t>
            </w:r>
          </w:p>
        </w:tc>
        <w:tc>
          <w:tcPr>
            <w:tcW w:w="752"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整车要求</w:t>
            </w: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外形尺寸（长×宽×高）mm≤6500×2200×2900（mm）</w:t>
            </w:r>
          </w:p>
        </w:tc>
        <w:tc>
          <w:tcPr>
            <w:tcW w:w="488" w:type="dxa"/>
            <w:vMerge w:val="restart"/>
            <w:shd w:val="clear" w:color="auto" w:fill="auto"/>
            <w:vAlign w:val="center"/>
          </w:tcPr>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jc w:val="center"/>
            </w:pPr>
          </w:p>
          <w:p>
            <w:pPr>
              <w:spacing w:before="75" w:line="360" w:lineRule="auto"/>
            </w:pPr>
            <w:r>
              <w:rPr>
                <w:rFonts w:hint="eastAsia"/>
              </w:rPr>
              <w:t>台</w:t>
            </w:r>
          </w:p>
          <w:p>
            <w:pPr>
              <w:pStyle w:val="2"/>
            </w:pPr>
          </w:p>
        </w:tc>
        <w:tc>
          <w:tcPr>
            <w:tcW w:w="488" w:type="dxa"/>
            <w:vMerge w:val="restart"/>
            <w:shd w:val="clear" w:color="auto" w:fill="auto"/>
            <w:vAlign w:val="center"/>
          </w:tcPr>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jc w:val="center"/>
              <w:rPr>
                <w:rFonts w:ascii="宋体" w:hAnsi="宋体" w:eastAsia="宋体" w:cs="宋体"/>
                <w:kern w:val="0"/>
                <w:sz w:val="24"/>
              </w:rPr>
            </w:pPr>
          </w:p>
          <w:p>
            <w:pPr>
              <w:spacing w:before="75" w:line="360" w:lineRule="auto"/>
              <w:rPr>
                <w:rFonts w:ascii="宋体" w:hAnsi="宋体" w:eastAsia="宋体" w:cs="宋体"/>
                <w:kern w:val="0"/>
                <w:sz w:val="24"/>
              </w:rPr>
            </w:pPr>
            <w:r>
              <w:rPr>
                <w:rFonts w:hint="eastAsia" w:ascii="宋体" w:hAnsi="宋体" w:eastAsia="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最大总质量kg≥8200kg</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3</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整车整备质量 kg≤5770kg</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4</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额定载质量 kg≥2330kg</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5</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lang w:val="zh-CN"/>
              </w:rPr>
              <w:t>接近角</w:t>
            </w:r>
            <w:r>
              <w:rPr>
                <w:rFonts w:hint="eastAsia" w:ascii="Arial" w:hAnsi="宋体" w:eastAsia="宋体" w:cs="Arial"/>
                <w:kern w:val="0"/>
                <w:sz w:val="24"/>
              </w:rPr>
              <w:t>/</w:t>
            </w:r>
            <w:r>
              <w:rPr>
                <w:rFonts w:hint="eastAsia" w:ascii="Arial" w:hAnsi="宋体" w:eastAsia="宋体" w:cs="Arial"/>
                <w:kern w:val="0"/>
                <w:sz w:val="24"/>
                <w:lang w:val="zh-CN"/>
              </w:rPr>
              <w:t>离去角</w:t>
            </w:r>
            <w:r>
              <w:rPr>
                <w:rFonts w:hint="eastAsia" w:ascii="Arial" w:hAnsi="宋体" w:eastAsia="宋体" w:cs="Arial"/>
                <w:kern w:val="0"/>
                <w:sz w:val="24"/>
              </w:rPr>
              <w:t>°≥20/14°</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6</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lang w:val="zh-CN"/>
              </w:rPr>
              <w:t>轴距</w:t>
            </w:r>
            <w:r>
              <w:rPr>
                <w:rFonts w:hint="eastAsia" w:ascii="Arial" w:hAnsi="宋体" w:eastAsia="宋体" w:cs="Arial"/>
                <w:kern w:val="0"/>
                <w:sz w:val="24"/>
              </w:rPr>
              <w:t>mm≥3360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7</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水箱容积m3≥2.3</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8</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宋体" w:hAnsi="宋体" w:eastAsia="宋体" w:cs="宋体"/>
                <w:kern w:val="0"/>
                <w:sz w:val="24"/>
                <w:lang w:eastAsia="zh-CN"/>
              </w:rPr>
              <w:t>◆</w:t>
            </w:r>
            <w:r>
              <w:rPr>
                <w:rFonts w:hint="eastAsia" w:ascii="Arial" w:hAnsi="宋体" w:eastAsia="宋体" w:cs="Arial"/>
                <w:kern w:val="0"/>
                <w:sz w:val="24"/>
              </w:rPr>
              <w:t xml:space="preserve">清洗速度km/h  ≥0-10 </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9</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最大清洗厚度mm≥0-235</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10</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宋体" w:hAnsi="宋体" w:eastAsia="宋体" w:cs="宋体"/>
                <w:kern w:val="0"/>
                <w:sz w:val="24"/>
                <w:lang w:eastAsia="zh-CN"/>
              </w:rPr>
              <w:t>◆</w:t>
            </w:r>
            <w:r>
              <w:rPr>
                <w:rFonts w:hint="eastAsia" w:ascii="Arial" w:hAnsi="宋体" w:eastAsia="宋体" w:cs="Arial"/>
                <w:kern w:val="0"/>
                <w:sz w:val="24"/>
              </w:rPr>
              <w:t>清洗护栏高度mm≥50-1600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11</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lang w:val="zh-CN"/>
              </w:rPr>
              <w:t>最高车速（满载）km/h</w:t>
            </w:r>
            <w:r>
              <w:rPr>
                <w:rFonts w:hint="eastAsia" w:ascii="Arial" w:hAnsi="宋体" w:eastAsia="宋体" w:cs="Arial"/>
                <w:kern w:val="0"/>
                <w:sz w:val="24"/>
              </w:rPr>
              <w:t>≥100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12</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作业时最大爬坡角%≤30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13</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宋体" w:hAnsi="宋体" w:eastAsia="宋体" w:cs="宋体"/>
                <w:kern w:val="0"/>
                <w:sz w:val="24"/>
                <w:lang w:eastAsia="zh-CN"/>
              </w:rPr>
              <w:t>◆</w:t>
            </w:r>
            <w:r>
              <w:rPr>
                <w:rFonts w:hint="eastAsia" w:ascii="Arial" w:hAnsi="宋体" w:eastAsia="宋体" w:cs="Arial"/>
                <w:kern w:val="0"/>
                <w:sz w:val="24"/>
              </w:rPr>
              <w:t>高压水泵流量L/min≥50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14</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清洗效率%≥90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15</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前悬/后悬mm≤1125/1530</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16</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lang w:val="zh-CN"/>
              </w:rPr>
              <w:t>发动机额定功率</w:t>
            </w:r>
            <w:r>
              <w:rPr>
                <w:rFonts w:hint="eastAsia" w:ascii="Arial" w:hAnsi="宋体" w:eastAsia="宋体" w:cs="Arial"/>
                <w:kern w:val="0"/>
                <w:sz w:val="24"/>
              </w:rPr>
              <w:t>kW≥</w:t>
            </w:r>
            <w:r>
              <w:rPr>
                <w:rFonts w:hint="eastAsia" w:ascii="Arial" w:hAnsi="宋体" w:eastAsia="宋体" w:cs="Arial"/>
                <w:kern w:val="0"/>
                <w:sz w:val="24"/>
                <w:lang w:val="zh-CN"/>
              </w:rPr>
              <w:t>112</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restart"/>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性能要求</w:t>
            </w: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17</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宋体" w:hAnsi="宋体" w:eastAsia="宋体" w:cs="宋体"/>
                <w:kern w:val="0"/>
                <w:sz w:val="24"/>
                <w:lang w:eastAsia="zh-CN"/>
              </w:rPr>
              <w:t>◆</w:t>
            </w:r>
            <w:r>
              <w:rPr>
                <w:rFonts w:hint="eastAsia" w:ascii="Arial" w:hAnsi="宋体" w:eastAsia="宋体" w:cs="Arial"/>
                <w:kern w:val="0"/>
                <w:sz w:val="24"/>
              </w:rPr>
              <w:t>护栏清洗车水箱箱体须采用碳钢瓦棱结构设计，设置护栏装置，水箱内表面须喷防锈处理，保证水箱10年以上防锈防腐。</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18</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护栏清洗车水路系统须配置有过滤器；电控系统须集中布置在控制箱中；液压系统配置风冷冷却器</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19</w:t>
            </w:r>
          </w:p>
        </w:tc>
        <w:tc>
          <w:tcPr>
            <w:tcW w:w="5623" w:type="dxa"/>
            <w:shd w:val="clear" w:color="auto" w:fill="auto"/>
            <w:vAlign w:val="center"/>
          </w:tcPr>
          <w:p>
            <w:pPr>
              <w:spacing w:line="360" w:lineRule="auto"/>
              <w:rPr>
                <w:rFonts w:ascii="Arial" w:hAnsi="宋体" w:eastAsia="宋体" w:cs="Arial"/>
                <w:kern w:val="0"/>
                <w:sz w:val="24"/>
                <w:lang w:val="zh-CN"/>
              </w:rPr>
            </w:pPr>
            <w:r>
              <w:rPr>
                <w:rFonts w:hint="eastAsia" w:ascii="Arial" w:hAnsi="宋体" w:eastAsia="宋体" w:cs="Arial"/>
                <w:kern w:val="0"/>
                <w:sz w:val="24"/>
              </w:rPr>
              <w:t>护栏清洗车的清洗机构可根据护栏的厚度和干净程度调整滚刷与护栏的贴合度</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20</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护栏清洗车应配备高压水路系统。须由高压水泵、过滤器、三通球阀、旋转接头、喷嘴和管路等组成，作业时左右前角喷可喷洗路面，可以对行驶路面降尘防二次污染，中角喷可冲洗双黄线。</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21</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护栏清洗车应配备清洗装置，包括毛刷内外滚刷支架、滚刷底架、滚刷总成、液压马达和高压喷水管等装置</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22</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清洗作业须采用控制器+操作面板旋钮开关控制。护栏清洗须有自动和手动两种操作模式。</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restart"/>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23</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护栏清洗车整车动力可以完全由底盘发动机提供；车辆须配有大容量清水箱，满箱水单次连续作业时间最长可达3小时；车辆须配有专业的减速分动箱，使车辆在低速范围内保持稳定的行驶速度；车辆须配有独立的高压清洗；</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restart"/>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其他要求</w:t>
            </w: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24</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采购车辆必须是列入国家发改委发布的《车辆生产企业及产品公告》的产品，并有免征公告。投标供应商需提供公告信息网页的复印件及公告网址，便于评审专家查询。</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jc w:val="center"/>
              <w:rPr>
                <w:rFonts w:ascii="Arial" w:hAnsi="宋体" w:eastAsia="宋体" w:cs="Arial"/>
                <w:kern w:val="0"/>
                <w:sz w:val="24"/>
              </w:rPr>
            </w:pPr>
            <w:r>
              <w:rPr>
                <w:rFonts w:hint="eastAsia" w:ascii="Arial" w:hAnsi="宋体" w:eastAsia="宋体" w:cs="Arial"/>
                <w:kern w:val="0"/>
                <w:sz w:val="24"/>
              </w:rPr>
              <w:t>25</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中标供应商应派遣工程师到现场，负责设备调试并对设备的使用、操作进行免费培训，并提供使用维护说明书，以确保采购人能够对设备有足够的了解和熟悉，能够独立进行设备的日常维护、保养和管理。培训所需一切资料由卖方免费提供。</w:t>
            </w:r>
          </w:p>
        </w:tc>
        <w:tc>
          <w:tcPr>
            <w:tcW w:w="488" w:type="dxa"/>
            <w:vMerge w:val="continue"/>
            <w:shd w:val="clear" w:color="auto" w:fill="auto"/>
            <w:vAlign w:val="center"/>
          </w:tcPr>
          <w:p>
            <w:pPr>
              <w:spacing w:before="75" w:line="360" w:lineRule="auto"/>
              <w:jc w:val="center"/>
              <w:rPr>
                <w:rFonts w:ascii="宋体" w:hAnsi="宋体" w:eastAsia="宋体" w:cs="宋体"/>
                <w:b/>
                <w:kern w:val="0"/>
                <w:sz w:val="24"/>
              </w:rPr>
            </w:pPr>
          </w:p>
        </w:tc>
        <w:tc>
          <w:tcPr>
            <w:tcW w:w="488" w:type="dxa"/>
            <w:vMerge w:val="continue"/>
            <w:shd w:val="clear" w:color="auto" w:fill="auto"/>
            <w:vAlign w:val="center"/>
          </w:tcPr>
          <w:p>
            <w:pPr>
              <w:spacing w:before="75" w:line="360" w:lineRule="auto"/>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4</w:t>
            </w:r>
          </w:p>
        </w:tc>
        <w:tc>
          <w:tcPr>
            <w:tcW w:w="711"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18吨垃圾压缩车</w:t>
            </w:r>
          </w:p>
        </w:tc>
        <w:tc>
          <w:tcPr>
            <w:tcW w:w="752"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整车要求</w:t>
            </w: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lang w:eastAsia="zh-CN"/>
              </w:rPr>
              <w:t>◆</w:t>
            </w:r>
            <w:r>
              <w:rPr>
                <w:rFonts w:hint="eastAsia" w:ascii="Arial" w:hAnsi="宋体" w:eastAsia="宋体" w:cs="Arial"/>
                <w:kern w:val="0"/>
                <w:sz w:val="24"/>
              </w:rPr>
              <w:t>底盘及发动机要求：国6排放标准的改装车专用底盘，具有液压助力装置，方向盘助力操作灵活，车辆行驶或作业时有良好的稳定性；驾驶室内配置冷暖空调。用于改装的汽车底盘及改装后的整车必须具有产品合格证，产品相关技术参数和装置结构应符合目录公告。</w:t>
            </w:r>
          </w:p>
        </w:tc>
        <w:tc>
          <w:tcPr>
            <w:tcW w:w="488"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台</w:t>
            </w:r>
          </w:p>
        </w:tc>
        <w:tc>
          <w:tcPr>
            <w:tcW w:w="488" w:type="dxa"/>
            <w:vMerge w:val="restart"/>
            <w:shd w:val="clear" w:color="auto" w:fill="auto"/>
            <w:vAlign w:val="center"/>
          </w:tcPr>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p>
          <w:p>
            <w:pPr>
              <w:spacing w:line="360" w:lineRule="auto"/>
              <w:rPr>
                <w:rFonts w:ascii="Arial" w:hAnsi="宋体" w:eastAsia="宋体" w:cs="Arial"/>
                <w:kern w:val="0"/>
                <w:sz w:val="24"/>
              </w:rPr>
            </w:pPr>
            <w:r>
              <w:rPr>
                <w:rFonts w:hint="eastAsia" w:ascii="Arial" w:hAnsi="宋体" w:eastAsia="宋体" w:cs="Arial"/>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2</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外型尺寸：8600×2500×3100(ｍｍ)≤ 长×宽×高≤8900×2600×3200(ｍｍ)；</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3</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最大总质量 ≤18000kg；</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4</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额定装载质量≥6900kg；</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5</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整备质量:≤10850kg；</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6</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发动机额定功率:≥135KW；</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7</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接近角/离去角：≥17/15°；</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8</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前悬/后悬：≥1400/2600mm</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9</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最高车速：≥89Kｍ/ｈ</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10</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准乘人数：3人</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restart"/>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性能要求</w:t>
            </w: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11</w:t>
            </w:r>
          </w:p>
        </w:tc>
        <w:tc>
          <w:tcPr>
            <w:tcW w:w="5623" w:type="dxa"/>
            <w:shd w:val="clear" w:color="auto" w:fill="auto"/>
            <w:vAlign w:val="center"/>
          </w:tcPr>
          <w:p>
            <w:pPr>
              <w:spacing w:line="360" w:lineRule="auto"/>
              <w:rPr>
                <w:rFonts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车辆采用“运动控制器+CAN总线操作面板”的控制模式</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12</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采用先进的双向压缩技术，压缩比高。</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13</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在垃圾箱与填装器之间需双重密封，杜绝二次污染</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14</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垃圾箱侧面设有防下降开关，防止填装器举升后误操作导致填装器下降威胁到人的安全</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vMerge w:val="continue"/>
            <w:shd w:val="clear" w:color="auto" w:fill="auto"/>
            <w:vAlign w:val="center"/>
          </w:tcPr>
          <w:p>
            <w:pPr>
              <w:spacing w:line="360" w:lineRule="auto"/>
              <w:rPr>
                <w:rFonts w:ascii="Arial" w:hAnsi="宋体" w:eastAsia="宋体" w:cs="Arial"/>
                <w:kern w:val="0"/>
                <w:sz w:val="24"/>
              </w:rPr>
            </w:pPr>
          </w:p>
        </w:tc>
        <w:tc>
          <w:tcPr>
            <w:tcW w:w="711" w:type="dxa"/>
            <w:vMerge w:val="continue"/>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15</w:t>
            </w:r>
          </w:p>
        </w:tc>
        <w:tc>
          <w:tcPr>
            <w:tcW w:w="5623" w:type="dxa"/>
            <w:shd w:val="clear" w:color="auto" w:fill="auto"/>
            <w:vAlign w:val="center"/>
          </w:tcPr>
          <w:p>
            <w:pPr>
              <w:spacing w:line="360" w:lineRule="auto"/>
              <w:rPr>
                <w:rFonts w:ascii="Arial" w:hAnsi="宋体" w:eastAsia="宋体" w:cs="Arial"/>
                <w:kern w:val="0"/>
                <w:sz w:val="24"/>
              </w:rPr>
            </w:pPr>
            <w:r>
              <w:rPr>
                <w:rFonts w:hint="eastAsia" w:ascii="Arial" w:hAnsi="宋体" w:eastAsia="宋体" w:cs="Arial"/>
                <w:kern w:val="0"/>
                <w:sz w:val="24"/>
              </w:rPr>
              <w:t>垃圾箱上设有安全撑杆，避免填装器下降伤人</w:t>
            </w:r>
          </w:p>
        </w:tc>
        <w:tc>
          <w:tcPr>
            <w:tcW w:w="488" w:type="dxa"/>
            <w:vMerge w:val="continue"/>
            <w:shd w:val="clear" w:color="auto" w:fill="auto"/>
            <w:vAlign w:val="center"/>
          </w:tcPr>
          <w:p>
            <w:pPr>
              <w:spacing w:line="360" w:lineRule="auto"/>
              <w:rPr>
                <w:rFonts w:ascii="Arial" w:hAnsi="宋体" w:eastAsia="宋体" w:cs="Arial"/>
                <w:kern w:val="0"/>
                <w:sz w:val="24"/>
              </w:rPr>
            </w:pPr>
          </w:p>
        </w:tc>
        <w:tc>
          <w:tcPr>
            <w:tcW w:w="488" w:type="dxa"/>
            <w:vMerge w:val="continue"/>
            <w:shd w:val="clear" w:color="auto" w:fill="auto"/>
            <w:vAlign w:val="center"/>
          </w:tcPr>
          <w:p>
            <w:pPr>
              <w:spacing w:line="360" w:lineRule="auto"/>
              <w:rPr>
                <w:rFonts w:ascii="Arial"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8" w:type="dxa"/>
            <w:shd w:val="clear" w:color="auto" w:fill="auto"/>
            <w:vAlign w:val="center"/>
          </w:tcPr>
          <w:p>
            <w:pPr>
              <w:spacing w:line="360" w:lineRule="auto"/>
              <w:rPr>
                <w:rFonts w:ascii="Arial" w:hAnsi="宋体" w:eastAsia="宋体" w:cs="Arial"/>
                <w:kern w:val="0"/>
                <w:sz w:val="24"/>
              </w:rPr>
            </w:pPr>
          </w:p>
        </w:tc>
        <w:tc>
          <w:tcPr>
            <w:tcW w:w="711" w:type="dxa"/>
            <w:shd w:val="clear" w:color="auto" w:fill="auto"/>
            <w:vAlign w:val="center"/>
          </w:tcPr>
          <w:p>
            <w:pPr>
              <w:spacing w:line="360" w:lineRule="auto"/>
              <w:rPr>
                <w:rFonts w:ascii="Arial" w:hAnsi="宋体" w:eastAsia="宋体" w:cs="Arial"/>
                <w:kern w:val="0"/>
                <w:sz w:val="24"/>
              </w:rPr>
            </w:pPr>
          </w:p>
        </w:tc>
        <w:tc>
          <w:tcPr>
            <w:tcW w:w="752" w:type="dxa"/>
            <w:vMerge w:val="continue"/>
            <w:shd w:val="clear" w:color="auto" w:fill="auto"/>
            <w:vAlign w:val="center"/>
          </w:tcPr>
          <w:p>
            <w:pPr>
              <w:spacing w:line="360" w:lineRule="auto"/>
              <w:rPr>
                <w:rFonts w:ascii="Arial" w:hAnsi="宋体" w:eastAsia="宋体" w:cs="Arial"/>
                <w:kern w:val="0"/>
                <w:sz w:val="24"/>
              </w:rPr>
            </w:pPr>
          </w:p>
        </w:tc>
        <w:tc>
          <w:tcPr>
            <w:tcW w:w="851" w:type="dxa"/>
            <w:shd w:val="clear" w:color="auto" w:fill="auto"/>
            <w:vAlign w:val="center"/>
          </w:tcPr>
          <w:p>
            <w:pPr>
              <w:spacing w:line="360" w:lineRule="auto"/>
              <w:rPr>
                <w:rFonts w:hint="eastAsia" w:ascii="Arial" w:hAnsi="宋体" w:eastAsia="宋体" w:cs="Arial"/>
                <w:kern w:val="0"/>
                <w:sz w:val="24"/>
              </w:rPr>
            </w:pPr>
            <w:r>
              <w:rPr>
                <w:rFonts w:hint="eastAsia" w:ascii="Arial" w:hAnsi="宋体" w:eastAsia="宋体" w:cs="Arial"/>
                <w:kern w:val="0"/>
                <w:sz w:val="24"/>
              </w:rPr>
              <w:t>1</w:t>
            </w:r>
            <w:r>
              <w:rPr>
                <w:rFonts w:ascii="Arial" w:hAnsi="宋体" w:eastAsia="宋体" w:cs="Arial"/>
                <w:kern w:val="0"/>
                <w:sz w:val="24"/>
              </w:rPr>
              <w:t>6</w:t>
            </w:r>
          </w:p>
        </w:tc>
        <w:tc>
          <w:tcPr>
            <w:tcW w:w="5623" w:type="dxa"/>
            <w:shd w:val="clear" w:color="auto" w:fill="auto"/>
            <w:vAlign w:val="center"/>
          </w:tcPr>
          <w:p>
            <w:pPr>
              <w:spacing w:line="360" w:lineRule="auto"/>
              <w:rPr>
                <w:rFonts w:hint="eastAsia" w:ascii="Arial" w:hAnsi="宋体" w:eastAsia="宋体" w:cs="Arial"/>
                <w:kern w:val="0"/>
                <w:sz w:val="24"/>
              </w:rPr>
            </w:pPr>
            <w:r>
              <w:rPr>
                <w:rFonts w:hint="eastAsia" w:ascii="宋体" w:hAnsi="宋体" w:eastAsia="宋体" w:cs="宋体"/>
                <w:kern w:val="0"/>
                <w:sz w:val="24"/>
                <w:lang w:eastAsia="zh-CN"/>
              </w:rPr>
              <w:t>◆</w:t>
            </w:r>
            <w:r>
              <w:rPr>
                <w:rFonts w:hint="eastAsia" w:ascii="Arial" w:hAnsi="宋体" w:eastAsia="宋体" w:cs="Arial"/>
                <w:kern w:val="0"/>
                <w:sz w:val="24"/>
              </w:rPr>
              <w:t>采用翻斗上料机构</w:t>
            </w:r>
          </w:p>
        </w:tc>
        <w:tc>
          <w:tcPr>
            <w:tcW w:w="488" w:type="dxa"/>
            <w:shd w:val="clear" w:color="auto" w:fill="auto"/>
            <w:vAlign w:val="center"/>
          </w:tcPr>
          <w:p>
            <w:pPr>
              <w:spacing w:line="360" w:lineRule="auto"/>
              <w:rPr>
                <w:rFonts w:ascii="Arial" w:hAnsi="宋体" w:eastAsia="宋体" w:cs="Arial"/>
                <w:kern w:val="0"/>
                <w:sz w:val="24"/>
              </w:rPr>
            </w:pPr>
          </w:p>
        </w:tc>
        <w:tc>
          <w:tcPr>
            <w:tcW w:w="488" w:type="dxa"/>
            <w:shd w:val="clear" w:color="auto" w:fill="auto"/>
            <w:vAlign w:val="center"/>
          </w:tcPr>
          <w:p>
            <w:pPr>
              <w:spacing w:line="360" w:lineRule="auto"/>
              <w:rPr>
                <w:rFonts w:ascii="Arial" w:hAnsi="宋体" w:eastAsia="宋体" w:cs="Arial"/>
                <w:kern w:val="0"/>
                <w:sz w:val="24"/>
              </w:rPr>
            </w:pPr>
          </w:p>
        </w:tc>
      </w:tr>
    </w:tbl>
    <w:p>
      <w:pPr>
        <w:spacing w:line="360" w:lineRule="auto"/>
        <w:rPr>
          <w:rFonts w:ascii="Arial" w:hAnsi="宋体" w:eastAsia="宋体" w:cs="Arial"/>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30A54"/>
    <w:multiLevelType w:val="multilevel"/>
    <w:tmpl w:val="16630A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DE353B"/>
    <w:multiLevelType w:val="multilevel"/>
    <w:tmpl w:val="5EDE353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mViNjc1ZTY4NWIzYmM4MzU1OWRkY2NkNmVjMWQifQ=="/>
  </w:docVars>
  <w:rsids>
    <w:rsidRoot w:val="4D83477E"/>
    <w:rsid w:val="00014792"/>
    <w:rsid w:val="001031B0"/>
    <w:rsid w:val="00CD78C1"/>
    <w:rsid w:val="00D32A8A"/>
    <w:rsid w:val="01A3010F"/>
    <w:rsid w:val="107E277D"/>
    <w:rsid w:val="1EB95C6D"/>
    <w:rsid w:val="21F564CE"/>
    <w:rsid w:val="2DEB380B"/>
    <w:rsid w:val="31D800BA"/>
    <w:rsid w:val="32B206E8"/>
    <w:rsid w:val="3321707D"/>
    <w:rsid w:val="3E543DDF"/>
    <w:rsid w:val="3EBF4F71"/>
    <w:rsid w:val="4D064B13"/>
    <w:rsid w:val="4D83477E"/>
    <w:rsid w:val="5C494F1C"/>
    <w:rsid w:val="5D4E6358"/>
    <w:rsid w:val="5E7A34CE"/>
    <w:rsid w:val="606C78C5"/>
    <w:rsid w:val="67AC3459"/>
    <w:rsid w:val="6A34700E"/>
    <w:rsid w:val="74FD6C30"/>
    <w:rsid w:val="778E4521"/>
    <w:rsid w:val="7DFA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List 2"/>
    <w:basedOn w:val="1"/>
    <w:qFormat/>
    <w:uiPriority w:val="0"/>
    <w:pPr>
      <w:ind w:left="100" w:leftChars="200" w:hanging="200" w:hangingChars="200"/>
    </w:pPr>
  </w:style>
  <w:style w:type="character" w:customStyle="1" w:styleId="7">
    <w:name w:val="font11"/>
    <w:basedOn w:val="6"/>
    <w:qFormat/>
    <w:uiPriority w:val="0"/>
    <w:rPr>
      <w:rFonts w:hint="default" w:ascii="Times New Roman" w:hAnsi="Times New Roman" w:cs="Times New Roman"/>
      <w:color w:val="000000"/>
      <w:sz w:val="24"/>
      <w:szCs w:val="24"/>
      <w:u w:val="none"/>
    </w:rPr>
  </w:style>
  <w:style w:type="character" w:customStyle="1" w:styleId="8">
    <w:name w:val="font01"/>
    <w:basedOn w:val="6"/>
    <w:qFormat/>
    <w:uiPriority w:val="0"/>
    <w:rPr>
      <w:rFonts w:hint="eastAsia" w:ascii="宋体" w:hAnsi="宋体" w:eastAsia="宋体" w:cs="宋体"/>
      <w:color w:val="000000"/>
      <w:sz w:val="24"/>
      <w:szCs w:val="24"/>
      <w:u w:val="none"/>
    </w:rPr>
  </w:style>
  <w:style w:type="paragraph" w:customStyle="1" w:styleId="9">
    <w:name w:val="正文1"/>
    <w:basedOn w:val="1"/>
    <w:qFormat/>
    <w:uiPriority w:val="0"/>
    <w:pPr>
      <w:tabs>
        <w:tab w:val="left" w:pos="420"/>
      </w:tabs>
      <w:spacing w:line="360" w:lineRule="auto"/>
      <w:ind w:firstLine="432"/>
    </w:pPr>
    <w:rPr>
      <w:rFonts w:ascii="宋体" w:hAnsi="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2464</Words>
  <Characters>2745</Characters>
  <Lines>24</Lines>
  <Paragraphs>7</Paragraphs>
  <TotalTime>8</TotalTime>
  <ScaleCrop>false</ScaleCrop>
  <LinksUpToDate>false</LinksUpToDate>
  <CharactersWithSpaces>2757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2022-07-24T04:56:00Z</dcterms:created>
  <dc:creator>Delmer</dc:creator>
  <cp:lastModifiedBy>王春丽 18648240539</cp:lastModifiedBy>
  <dcterms:modified xsi:type="dcterms:W3CDTF">2022-09-21T03:00:52Z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B19F86372840452E9DDCC6EC5894729D</vt:lpwstr>
  </property>
</Properties>
</file>