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招标参数</w:t>
      </w:r>
    </w:p>
    <w:p>
      <w:pPr/>
      <w:r>
        <w:rPr>
          <w:rFonts w:hint="eastAsia"/>
        </w:rPr>
        <w:t>建设软件平台1套，具体建设内容如下表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27"/>
        <w:gridCol w:w="888"/>
        <w:gridCol w:w="3607"/>
        <w:gridCol w:w="708"/>
        <w:gridCol w:w="752"/>
      </w:tblGrid>
      <w:tr>
        <w:tblPrEx>
          <w:tblLayout w:type="fixed"/>
        </w:tblPrEx>
        <w:trPr>
          <w:trHeight w:val="270" w:hRule="atLeast"/>
        </w:trPr>
        <w:tc>
          <w:tcPr>
            <w:tcW w:w="6836" w:type="dxa"/>
            <w:gridSpan w:val="4"/>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建设内容</w:t>
            </w:r>
          </w:p>
        </w:tc>
        <w:tc>
          <w:tcPr>
            <w:tcW w:w="708"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数量</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p>
        </w:tc>
      </w:tr>
      <w:tr>
        <w:tblPrEx>
          <w:tblLayout w:type="fixed"/>
        </w:tblPrEx>
        <w:trPr>
          <w:trHeight w:val="300" w:hRule="atLeast"/>
        </w:trPr>
        <w:tc>
          <w:tcPr>
            <w:tcW w:w="1114"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软件平台建设内容</w:t>
            </w:r>
          </w:p>
        </w:tc>
        <w:tc>
          <w:tcPr>
            <w:tcW w:w="1227"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前端展示页面模块</w:t>
            </w:r>
          </w:p>
        </w:tc>
        <w:tc>
          <w:tcPr>
            <w:tcW w:w="888"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首页</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农牧产业信息总览</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产业布局分布检索</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产业数据专题</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行政基础地图</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hint="eastAsia" w:ascii="宋体" w:hAnsi="宋体" w:eastAsia="宋体" w:cs="宋体"/>
                <w:color w:val="000000"/>
                <w:szCs w:val="21"/>
              </w:rPr>
            </w:pPr>
            <w:r>
              <w:rPr>
                <w:rStyle w:val="9"/>
                <w:rFonts w:hint="default"/>
                <w:lang w:bidi="ar"/>
              </w:rPr>
              <w:t>土地</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土地基础数据</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盐碱地专题</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高标准农田专题</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两区划定专题</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土壤监测点专题</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黑土地专题</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永久基本农田专题</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hint="eastAsia" w:ascii="宋体" w:hAnsi="宋体" w:eastAsia="宋体" w:cs="宋体"/>
                <w:color w:val="000000"/>
                <w:szCs w:val="21"/>
              </w:rPr>
            </w:pPr>
            <w:r>
              <w:rPr>
                <w:rStyle w:val="9"/>
                <w:rFonts w:hint="default"/>
                <w:lang w:bidi="ar"/>
              </w:rPr>
              <w:t>农业</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农业基础数据</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马铃薯</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小麦</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大豆</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水稻</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玉米</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杂粮杂豆</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设施农业</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增粮示范</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牧业</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牧业基础数据</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肉牛</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肉羊</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生猪</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奶牛</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屠宰加工厂</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交易市场</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人工饲草</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饲料企业</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渔业</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渔业基础数据</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水库</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稻田养鱼</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种业</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种业基础数据</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看禾选种</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育种制种企业</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制种基地</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种畜禽场</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产业</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产业基础数据</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现代产业园</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龙头企业</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合作社与家庭农牧场</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品牌分布</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科技</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科技基础数据</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农研所</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农机</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秸秆</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14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重大项目</w:t>
            </w:r>
          </w:p>
        </w:tc>
        <w:tc>
          <w:tcPr>
            <w:tcW w:w="3607" w:type="dxa"/>
            <w:shd w:val="clear" w:color="auto" w:fill="auto"/>
            <w:vAlign w:val="center"/>
          </w:tcPr>
          <w:p>
            <w:pPr>
              <w:widowControl/>
              <w:textAlignment w:val="center"/>
              <w:rPr>
                <w:rFonts w:ascii="宋体" w:hAnsi="宋体" w:eastAsia="宋体" w:cs="宋体"/>
                <w:color w:val="000000"/>
                <w:szCs w:val="21"/>
              </w:rPr>
            </w:pPr>
            <w:r>
              <w:rPr>
                <w:rStyle w:val="9"/>
                <w:rFonts w:hint="default"/>
                <w:lang w:bidi="ar"/>
              </w:rPr>
              <w:t>重大项目工作取得的成就</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textAlignment w:val="center"/>
              <w:rPr>
                <w:rFonts w:ascii="宋体" w:hAnsi="宋体" w:eastAsia="宋体" w:cs="宋体"/>
                <w:color w:val="000000"/>
                <w:szCs w:val="21"/>
              </w:rPr>
            </w:pPr>
            <w:r>
              <w:rPr>
                <w:rStyle w:val="9"/>
                <w:rFonts w:hint="default"/>
                <w:lang w:bidi="ar"/>
              </w:rPr>
              <w:t>农牧领域千亿项目推进计划</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软件平台功能</w:t>
            </w: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卷帘对比</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在主要模块对比不同年份，不同图层的变化</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搜索功能</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通过搜索功能及时的搜索地图中任何位置</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30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无人机航拍</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无人机航拍画面展示</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播放画面筛选搜索</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播放画面缩放</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播放画面控制</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vMerge w:val="continue"/>
            <w:shd w:val="clear" w:color="auto" w:fill="auto"/>
            <w:vAlign w:val="center"/>
          </w:tcPr>
          <w:p>
            <w:pPr>
              <w:jc w:val="center"/>
              <w:rPr>
                <w:rFonts w:ascii="宋体" w:hAnsi="宋体" w:eastAsia="宋体" w:cs="宋体"/>
                <w:color w:val="000000"/>
                <w:szCs w:val="21"/>
              </w:rPr>
            </w:pP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画中画展示</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知天而作功能</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通过对气象数据进行处理、分析、分类，抽取出相关信息入库</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聚优分析功能</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点选任意区域，快速地分析出该区域的相关农牧详细信息</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节效分析功能</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点选高标项目区域，智能分析出高标项目建设前后项目提升效果</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小草智控功能</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远程查看与控制相关区域农田灌溉监测等设备实时状态</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专题图层加载</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各个模块专题提图层的管理</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图层点选查看</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点图层点位信息，已弹窗的形式展示该点位的具体介绍信息</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点选查询数据</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统计数据按照盟、县（旗）、乡（苏木）三级都可以点选查看，数据与图层联动</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270"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视频监控接入</w:t>
            </w:r>
          </w:p>
        </w:tc>
        <w:tc>
          <w:tcPr>
            <w:tcW w:w="3607"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重要视频监控画面在平台接入展示</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591"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restart"/>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后台管理与运行维护</w:t>
            </w: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系统管理</w:t>
            </w:r>
          </w:p>
        </w:tc>
        <w:tc>
          <w:tcPr>
            <w:tcW w:w="3607" w:type="dxa"/>
            <w:shd w:val="clear" w:color="auto" w:fill="auto"/>
            <w:vAlign w:val="center"/>
          </w:tcPr>
          <w:p>
            <w:pPr>
              <w:widowControl/>
              <w:textAlignment w:val="center"/>
              <w:rPr>
                <w:rFonts w:ascii="宋体" w:hAnsi="宋体" w:eastAsia="宋体" w:cs="宋体"/>
                <w:color w:val="000000"/>
                <w:szCs w:val="21"/>
              </w:rPr>
            </w:pPr>
            <w:r>
              <w:rPr>
                <w:rStyle w:val="9"/>
                <w:rFonts w:hint="default"/>
                <w:lang w:bidi="ar"/>
              </w:rPr>
              <w:t>各级使用单位可以按照自己的管理范围对系统进行管理</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525"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用户管理</w:t>
            </w:r>
          </w:p>
        </w:tc>
        <w:tc>
          <w:tcPr>
            <w:tcW w:w="3607" w:type="dxa"/>
            <w:shd w:val="clear" w:color="auto" w:fill="auto"/>
            <w:vAlign w:val="center"/>
          </w:tcPr>
          <w:p>
            <w:pPr>
              <w:widowControl/>
              <w:textAlignment w:val="center"/>
              <w:rPr>
                <w:rFonts w:ascii="宋体" w:hAnsi="宋体" w:eastAsia="宋体" w:cs="宋体"/>
                <w:color w:val="000000"/>
                <w:szCs w:val="21"/>
              </w:rPr>
            </w:pPr>
            <w:r>
              <w:rPr>
                <w:rStyle w:val="9"/>
                <w:rFonts w:hint="default"/>
                <w:lang w:bidi="ar"/>
              </w:rPr>
              <w:t>各个局业务科室可以对自己管辖范围内的用户进行删除、添加、编辑管理</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525"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日志管理</w:t>
            </w:r>
          </w:p>
        </w:tc>
        <w:tc>
          <w:tcPr>
            <w:tcW w:w="3607" w:type="dxa"/>
            <w:shd w:val="clear" w:color="auto" w:fill="auto"/>
            <w:vAlign w:val="center"/>
          </w:tcPr>
          <w:p>
            <w:pPr>
              <w:widowControl/>
              <w:textAlignment w:val="center"/>
              <w:rPr>
                <w:rFonts w:ascii="宋体" w:hAnsi="宋体" w:eastAsia="宋体" w:cs="宋体"/>
                <w:color w:val="000000"/>
                <w:szCs w:val="21"/>
              </w:rPr>
            </w:pPr>
            <w:r>
              <w:rPr>
                <w:rStyle w:val="9"/>
                <w:rFonts w:hint="default"/>
                <w:lang w:bidi="ar"/>
              </w:rPr>
              <w:t>各个局业务科室权限围查看自己的系统日志记录</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r>
        <w:tblPrEx>
          <w:tblLayout w:type="fixed"/>
        </w:tblPrEx>
        <w:trPr>
          <w:trHeight w:val="525" w:hRule="atLeast"/>
        </w:trPr>
        <w:tc>
          <w:tcPr>
            <w:tcW w:w="1114" w:type="dxa"/>
            <w:vMerge w:val="continue"/>
            <w:shd w:val="clear" w:color="auto" w:fill="auto"/>
            <w:vAlign w:val="center"/>
          </w:tcPr>
          <w:p>
            <w:pPr>
              <w:jc w:val="center"/>
              <w:rPr>
                <w:rFonts w:ascii="宋体" w:hAnsi="宋体" w:eastAsia="宋体" w:cs="宋体"/>
                <w:color w:val="000000"/>
                <w:szCs w:val="21"/>
              </w:rPr>
            </w:pPr>
          </w:p>
        </w:tc>
        <w:tc>
          <w:tcPr>
            <w:tcW w:w="1227" w:type="dxa"/>
            <w:vMerge w:val="continue"/>
            <w:shd w:val="clear" w:color="auto" w:fill="auto"/>
            <w:vAlign w:val="center"/>
          </w:tcPr>
          <w:p>
            <w:pPr>
              <w:jc w:val="center"/>
              <w:rPr>
                <w:rFonts w:ascii="宋体" w:hAnsi="宋体" w:eastAsia="宋体" w:cs="宋体"/>
                <w:color w:val="000000"/>
                <w:szCs w:val="21"/>
              </w:rPr>
            </w:pPr>
          </w:p>
        </w:tc>
        <w:tc>
          <w:tcPr>
            <w:tcW w:w="888" w:type="dxa"/>
            <w:shd w:val="clear" w:color="auto" w:fill="auto"/>
            <w:vAlign w:val="center"/>
          </w:tcPr>
          <w:p>
            <w:pPr>
              <w:widowControl/>
              <w:jc w:val="center"/>
              <w:textAlignment w:val="center"/>
              <w:rPr>
                <w:rFonts w:ascii="宋体" w:hAnsi="宋体" w:eastAsia="宋体" w:cs="宋体"/>
                <w:color w:val="000000"/>
                <w:szCs w:val="21"/>
              </w:rPr>
            </w:pPr>
            <w:r>
              <w:rPr>
                <w:rStyle w:val="9"/>
                <w:rFonts w:hint="default"/>
                <w:lang w:bidi="ar"/>
              </w:rPr>
              <w:t>权限管理</w:t>
            </w:r>
          </w:p>
        </w:tc>
        <w:tc>
          <w:tcPr>
            <w:tcW w:w="3607" w:type="dxa"/>
            <w:shd w:val="clear" w:color="auto" w:fill="auto"/>
            <w:vAlign w:val="center"/>
          </w:tcPr>
          <w:p>
            <w:pPr>
              <w:widowControl/>
              <w:textAlignment w:val="center"/>
              <w:rPr>
                <w:rFonts w:ascii="宋体" w:hAnsi="宋体" w:eastAsia="宋体" w:cs="宋体"/>
                <w:color w:val="000000"/>
                <w:szCs w:val="21"/>
              </w:rPr>
            </w:pPr>
            <w:r>
              <w:rPr>
                <w:rStyle w:val="9"/>
                <w:rFonts w:hint="default"/>
                <w:lang w:bidi="ar"/>
              </w:rPr>
              <w:t>总平台管理者可以对各个级别的用户权限进行设置，规定其可以使用的范围</w:t>
            </w:r>
          </w:p>
        </w:tc>
        <w:tc>
          <w:tcPr>
            <w:tcW w:w="708" w:type="dxa"/>
            <w:shd w:val="clear" w:color="auto" w:fill="auto"/>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52" w:type="dxa"/>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套</w:t>
            </w:r>
          </w:p>
        </w:tc>
      </w:tr>
    </w:tbl>
    <w:p>
      <w:pPr/>
    </w:p>
    <w:p>
      <w:pPr/>
      <w:r>
        <w:rPr>
          <w:rFonts w:hint="eastAsia"/>
        </w:rPr>
        <w:br w:type="page"/>
      </w:r>
    </w:p>
    <w:p>
      <w:pPr/>
      <w:r>
        <w:rPr>
          <w:rFonts w:hint="eastAsia"/>
        </w:rPr>
        <w:t>平台中的数据服务内容与要求具体内容如下表</w:t>
      </w:r>
    </w:p>
    <w:tbl>
      <w:tblPr>
        <w:tblStyle w:val="7"/>
        <w:tblW w:w="4998" w:type="pct"/>
        <w:tblInd w:w="0" w:type="dxa"/>
        <w:tblLayout w:type="fixed"/>
        <w:tblCellMar>
          <w:top w:w="0" w:type="dxa"/>
          <w:left w:w="108" w:type="dxa"/>
          <w:bottom w:w="0" w:type="dxa"/>
          <w:right w:w="108" w:type="dxa"/>
        </w:tblCellMar>
      </w:tblPr>
      <w:tblGrid>
        <w:gridCol w:w="625"/>
        <w:gridCol w:w="1145"/>
        <w:gridCol w:w="2934"/>
        <w:gridCol w:w="808"/>
        <w:gridCol w:w="975"/>
        <w:gridCol w:w="1806"/>
      </w:tblGrid>
      <w:tr>
        <w:tblPrEx>
          <w:tblLayout w:type="fixed"/>
        </w:tblPrEx>
        <w:trPr>
          <w:trHeight w:val="3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数据内容</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数据类型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更新周期</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备注</w:t>
            </w:r>
          </w:p>
        </w:tc>
      </w:tr>
      <w:tr>
        <w:tblPrEx>
          <w:tblLayout w:type="fixed"/>
        </w:tblPrEx>
        <w:trPr>
          <w:trHeight w:val="1350"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数据服务内容与要求</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表格数据更新</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表格数据后台更新系统，支持表格按照标准格式直接导入，农牧局相关单位可以根据平台后台表格数据要求的格式与方法自动对所管理的数据进行更新。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表格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年/用户自行确定更新周期</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r>
              <w:rPr>
                <w:rFonts w:hint="eastAsia" w:ascii="宋体" w:hAnsi="宋体" w:eastAsia="宋体" w:cs="宋体"/>
                <w:color w:val="000000"/>
                <w:szCs w:val="21"/>
              </w:rPr>
              <w:t>/</w:t>
            </w:r>
          </w:p>
        </w:tc>
      </w:tr>
      <w:tr>
        <w:tblPrEx>
          <w:tblLayout w:type="fixed"/>
        </w:tblPrEx>
        <w:trPr>
          <w:trHeight w:val="135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图片数据更新</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图片数据后台更新系统，支持图片按照标准格式直接导入，农牧局相关单位可以根据平台后台图片数据要求的格式与方法自动对所管理的数据进行更新。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图片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年/用户自行确定更新周期</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r>
              <w:rPr>
                <w:rFonts w:hint="eastAsia" w:ascii="宋体" w:hAnsi="宋体" w:eastAsia="宋体" w:cs="宋体"/>
                <w:color w:val="000000"/>
                <w:szCs w:val="21"/>
              </w:rPr>
              <w:t>/</w:t>
            </w:r>
          </w:p>
        </w:tc>
      </w:tr>
      <w:tr>
        <w:tblPrEx>
          <w:tblLayout w:type="fixed"/>
        </w:tblPrEx>
        <w:trPr>
          <w:trHeight w:val="54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视频画面更新</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视频数据后台更新系统，支持视频按照标准格式直接导入。</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视频信号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实时</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接入局里提供的视频画面</w:t>
            </w:r>
          </w:p>
        </w:tc>
      </w:tr>
      <w:tr>
        <w:tblPrEx>
          <w:tblLayout w:type="fixed"/>
        </w:tblPrEx>
        <w:trPr>
          <w:trHeight w:val="158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农作物数据解译</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主要农作物玉米、大豆、水稻专题地块分布和对比数据解译。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栅格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年</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提供2两年（2023-2024）农作物遥感分布解译数据；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范围为兴安盟全域；</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影像分辨率不低于2m；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准确率不低于90%。</w:t>
            </w:r>
          </w:p>
        </w:tc>
      </w:tr>
      <w:tr>
        <w:tblPrEx>
          <w:tblLayout w:type="fixed"/>
        </w:tblPrEx>
        <w:trPr>
          <w:trHeight w:val="108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无人机数据处理</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对五个国家级和区级产业园区各选取1个示范点，对每个示范点约1万亩农田进行无人机航拍并制作成航拍视频。</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航拍视频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一次</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r>
              <w:rPr>
                <w:rFonts w:hint="eastAsia" w:ascii="宋体" w:hAnsi="宋体" w:eastAsia="宋体" w:cs="宋体"/>
                <w:color w:val="000000"/>
                <w:szCs w:val="21"/>
              </w:rPr>
              <w:t>/</w:t>
            </w:r>
          </w:p>
        </w:tc>
      </w:tr>
      <w:tr>
        <w:tblPrEx>
          <w:tblLayout w:type="fixed"/>
        </w:tblPrEx>
        <w:trPr>
          <w:trHeight w:val="1080"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专题</w:t>
            </w:r>
            <w:r>
              <w:rPr>
                <w:rFonts w:hint="eastAsia" w:ascii="宋体" w:hAnsi="宋体" w:eastAsia="宋体" w:cs="宋体"/>
                <w:color w:val="000000"/>
                <w:kern w:val="0"/>
                <w:szCs w:val="21"/>
                <w:lang w:bidi="ar"/>
              </w:rPr>
              <w:t>图处理</w:t>
            </w:r>
            <w:r>
              <w:rPr>
                <w:rFonts w:hint="eastAsia" w:ascii="宋体" w:hAnsi="宋体" w:eastAsia="宋体" w:cs="宋体"/>
                <w:color w:val="000000"/>
                <w:kern w:val="0"/>
                <w:szCs w:val="21"/>
                <w:lang w:bidi="ar"/>
              </w:rPr>
              <w:t>与发布</w:t>
            </w:r>
          </w:p>
        </w:tc>
        <w:tc>
          <w:tcPr>
            <w:tcW w:w="2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平台各类专题图数据处理与发布，针对甲方或相关单位提供的矢量或栅格数据，配备专人进行</w:t>
            </w:r>
            <w:r>
              <w:rPr>
                <w:rFonts w:hint="eastAsia" w:ascii="宋体" w:hAnsi="宋体" w:eastAsia="宋体" w:cs="宋体"/>
                <w:color w:val="000000"/>
                <w:kern w:val="0"/>
                <w:szCs w:val="21"/>
                <w:lang w:bidi="ar"/>
              </w:rPr>
              <w:t>数据图层的</w:t>
            </w:r>
            <w:r>
              <w:rPr>
                <w:rFonts w:hint="eastAsia" w:ascii="宋体" w:hAnsi="宋体" w:eastAsia="宋体" w:cs="宋体"/>
                <w:color w:val="000000"/>
                <w:kern w:val="0"/>
                <w:szCs w:val="21"/>
                <w:lang w:bidi="ar"/>
              </w:rPr>
              <w:t>处理与发布（服务期为2023-2024年）</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矢量或栅格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根据业务需求确定更新周期</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数据需招标单位提供</w:t>
            </w:r>
          </w:p>
        </w:tc>
      </w:tr>
    </w:tbl>
    <w:p>
      <w:pPr/>
    </w:p>
    <w:p>
      <w:pPr/>
      <w:r>
        <w:rPr>
          <w:rFonts w:hint="eastAsia"/>
        </w:rPr>
        <w:t>平台建设其他要求具体内容如下表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7483"/>
      </w:tblGrid>
      <w:tr>
        <w:tblPrEx>
          <w:tblLayout w:type="fixed"/>
        </w:tblPrEx>
        <w:trPr>
          <w:trHeight w:val="270" w:hRule="atLeast"/>
        </w:trPr>
        <w:tc>
          <w:tcPr>
            <w:tcW w:w="1102" w:type="dxa"/>
            <w:vMerge w:val="restart"/>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其他要求说明</w:t>
            </w:r>
          </w:p>
        </w:tc>
        <w:tc>
          <w:tcPr>
            <w:tcW w:w="7194" w:type="dxa"/>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平台免费运行维护期为项目合同签订之日起</w:t>
            </w:r>
            <w:r>
              <w:rPr>
                <w:rFonts w:hint="eastAsia" w:ascii="宋体" w:hAnsi="宋体" w:eastAsia="宋体" w:cs="宋体"/>
                <w:color w:val="000000"/>
                <w:kern w:val="0"/>
                <w:sz w:val="22"/>
                <w:szCs w:val="22"/>
                <w:lang w:eastAsia="zh-CN" w:bidi="ar"/>
              </w:rPr>
              <w:t>1</w:t>
            </w:r>
            <w:r>
              <w:rPr>
                <w:rFonts w:hint="eastAsia" w:ascii="宋体" w:hAnsi="宋体" w:eastAsia="宋体" w:cs="宋体"/>
                <w:color w:val="000000"/>
                <w:kern w:val="0"/>
                <w:sz w:val="22"/>
                <w:szCs w:val="22"/>
                <w:lang w:bidi="ar"/>
              </w:rPr>
              <w:t>年内。</w:t>
            </w:r>
          </w:p>
        </w:tc>
      </w:tr>
      <w:tr>
        <w:tblPrEx>
          <w:tblLayout w:type="fixed"/>
        </w:tblPrEx>
        <w:trPr>
          <w:trHeight w:val="270" w:hRule="atLeast"/>
        </w:trPr>
        <w:tc>
          <w:tcPr>
            <w:tcW w:w="1102" w:type="dxa"/>
            <w:vMerge w:val="continue"/>
            <w:shd w:val="clear" w:color="auto" w:fill="auto"/>
            <w:vAlign w:val="center"/>
          </w:tcPr>
          <w:p>
            <w:pPr>
              <w:jc w:val="center"/>
              <w:rPr>
                <w:rFonts w:ascii="宋体" w:hAnsi="宋体" w:eastAsia="宋体" w:cs="宋体"/>
                <w:color w:val="000000"/>
                <w:sz w:val="22"/>
                <w:szCs w:val="22"/>
              </w:rPr>
            </w:pPr>
          </w:p>
        </w:tc>
        <w:tc>
          <w:tcPr>
            <w:tcW w:w="7194" w:type="dxa"/>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平台建设完成后承建单位需要组织针对平台使用、平台管理、数据上传等专项功能的培训工作。</w:t>
            </w:r>
            <w:bookmarkStart w:id="0" w:name="_GoBack"/>
            <w:bookmarkEnd w:id="0"/>
          </w:p>
        </w:tc>
      </w:tr>
      <w:tr>
        <w:tblPrEx>
          <w:tblLayout w:type="fixed"/>
        </w:tblPrEx>
        <w:trPr>
          <w:trHeight w:val="270" w:hRule="atLeast"/>
        </w:trPr>
        <w:tc>
          <w:tcPr>
            <w:tcW w:w="1102" w:type="dxa"/>
            <w:vMerge w:val="continue"/>
            <w:shd w:val="clear" w:color="auto" w:fill="auto"/>
            <w:vAlign w:val="center"/>
          </w:tcPr>
          <w:p>
            <w:pPr>
              <w:jc w:val="center"/>
              <w:rPr>
                <w:rFonts w:ascii="宋体" w:hAnsi="宋体" w:eastAsia="宋体" w:cs="宋体"/>
                <w:color w:val="000000"/>
                <w:sz w:val="22"/>
                <w:szCs w:val="22"/>
              </w:rPr>
            </w:pPr>
          </w:p>
        </w:tc>
        <w:tc>
          <w:tcPr>
            <w:tcW w:w="7194" w:type="dxa"/>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在运维期内，运</w:t>
            </w:r>
            <w:r>
              <w:rPr>
                <w:rFonts w:hint="eastAsia" w:ascii="宋体" w:hAnsi="宋体" w:eastAsia="宋体" w:cs="宋体"/>
                <w:color w:val="000000"/>
                <w:kern w:val="0"/>
                <w:sz w:val="22"/>
                <w:szCs w:val="22"/>
                <w:lang w:bidi="ar"/>
              </w:rPr>
              <w:t>维单位</w:t>
            </w:r>
            <w:r>
              <w:rPr>
                <w:rFonts w:hint="eastAsia" w:ascii="宋体" w:hAnsi="宋体" w:eastAsia="宋体" w:cs="宋体"/>
                <w:color w:val="000000"/>
                <w:kern w:val="0"/>
                <w:sz w:val="22"/>
                <w:szCs w:val="22"/>
                <w:lang w:bidi="ar"/>
              </w:rPr>
              <w:t>需要安排专业的运</w:t>
            </w:r>
            <w:r>
              <w:rPr>
                <w:rFonts w:hint="eastAsia" w:ascii="宋体" w:hAnsi="宋体" w:eastAsia="宋体" w:cs="宋体"/>
                <w:color w:val="000000"/>
                <w:kern w:val="0"/>
                <w:sz w:val="22"/>
                <w:szCs w:val="22"/>
                <w:lang w:bidi="ar"/>
              </w:rPr>
              <w:t>维人员</w:t>
            </w:r>
            <w:r>
              <w:rPr>
                <w:rFonts w:hint="eastAsia" w:ascii="宋体" w:hAnsi="宋体" w:eastAsia="宋体" w:cs="宋体"/>
                <w:color w:val="000000"/>
                <w:kern w:val="0"/>
                <w:sz w:val="22"/>
                <w:szCs w:val="22"/>
                <w:lang w:bidi="ar"/>
              </w:rPr>
              <w:t>7*24小时响应并及时处理平台出现的各类问题。</w:t>
            </w:r>
          </w:p>
        </w:tc>
      </w:tr>
      <w:tr>
        <w:tblPrEx>
          <w:tblLayout w:type="fixed"/>
        </w:tblPrEx>
        <w:trPr>
          <w:trHeight w:val="270" w:hRule="atLeast"/>
        </w:trPr>
        <w:tc>
          <w:tcPr>
            <w:tcW w:w="1102" w:type="dxa"/>
            <w:vMerge w:val="continue"/>
            <w:shd w:val="clear" w:color="auto" w:fill="auto"/>
            <w:vAlign w:val="center"/>
          </w:tcPr>
          <w:p>
            <w:pPr>
              <w:jc w:val="center"/>
              <w:rPr>
                <w:rFonts w:ascii="宋体" w:hAnsi="宋体" w:eastAsia="宋体" w:cs="宋体"/>
                <w:color w:val="000000"/>
                <w:sz w:val="22"/>
                <w:szCs w:val="22"/>
              </w:rPr>
            </w:pPr>
          </w:p>
        </w:tc>
        <w:tc>
          <w:tcPr>
            <w:tcW w:w="7194" w:type="dxa"/>
            <w:shd w:val="clear" w:color="auto" w:fill="auto"/>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平台整体运行流畅，无明显卡顿现象，支持多用户同时在线浏览使用，最大</w:t>
            </w:r>
            <w:r>
              <w:rPr>
                <w:rFonts w:hint="eastAsia" w:ascii="宋体" w:hAnsi="宋体" w:eastAsia="宋体" w:cs="宋体"/>
                <w:color w:val="000000"/>
                <w:kern w:val="0"/>
                <w:sz w:val="22"/>
                <w:szCs w:val="22"/>
                <w:lang w:bidi="ar"/>
              </w:rPr>
              <w:t>同时在线人数不少于50人。</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100" w:line="360" w:lineRule="auto"/>
      <w:outlineLvl w:val="0"/>
    </w:pPr>
    <w:rPr>
      <w:b/>
      <w:kern w:val="44"/>
      <w:sz w:val="32"/>
    </w:rPr>
  </w:style>
  <w:style w:type="paragraph" w:styleId="3">
    <w:name w:val="heading 2"/>
    <w:basedOn w:val="1"/>
    <w:next w:val="1"/>
    <w:unhideWhenUsed/>
    <w:qFormat/>
    <w:uiPriority w:val="0"/>
    <w:pPr>
      <w:keepNext/>
      <w:keepLines/>
      <w:spacing w:before="100" w:after="100"/>
      <w:outlineLvl w:val="1"/>
    </w:pPr>
    <w:rPr>
      <w:rFonts w:ascii="Arial" w:hAnsi="Arial" w:eastAsia="黑体"/>
      <w:b/>
      <w:sz w:val="30"/>
    </w:rPr>
  </w:style>
  <w:style w:type="paragraph" w:styleId="4">
    <w:name w:val="heading 3"/>
    <w:basedOn w:val="1"/>
    <w:next w:val="1"/>
    <w:link w:val="8"/>
    <w:unhideWhenUsed/>
    <w:qFormat/>
    <w:uiPriority w:val="0"/>
    <w:pPr>
      <w:keepNext/>
      <w:keepLines/>
      <w:spacing w:before="140" w:after="140"/>
      <w:outlineLvl w:val="2"/>
    </w:pPr>
    <w:rPr>
      <w:rFonts w:ascii="Calibri" w:hAnsi="Calibri" w:eastAsia="黑体" w:cs="Times New Roman"/>
      <w:b/>
      <w:sz w:val="28"/>
    </w:rPr>
  </w:style>
  <w:style w:type="paragraph" w:styleId="5">
    <w:name w:val="heading 4"/>
    <w:basedOn w:val="1"/>
    <w:next w:val="1"/>
    <w:unhideWhenUsed/>
    <w:qFormat/>
    <w:uiPriority w:val="0"/>
    <w:pPr>
      <w:keepNext/>
      <w:keepLines/>
      <w:spacing w:before="280" w:after="290" w:line="372" w:lineRule="auto"/>
      <w:jc w:val="left"/>
      <w:outlineLvl w:val="3"/>
    </w:pPr>
    <w:rPr>
      <w:rFonts w:ascii="Arial" w:hAnsi="Arial" w:eastAsia="宋体"/>
      <w:b/>
      <w:sz w:val="24"/>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character" w:customStyle="1" w:styleId="8">
    <w:name w:val="标题 3 字符"/>
    <w:link w:val="4"/>
    <w:uiPriority w:val="0"/>
    <w:rPr>
      <w:rFonts w:ascii="Calibri" w:hAnsi="Calibri" w:eastAsia="黑体" w:cs="Times New Roman"/>
      <w:b/>
      <w:sz w:val="28"/>
    </w:rPr>
  </w:style>
  <w:style w:type="character" w:customStyle="1" w:styleId="9">
    <w:name w:val="font11"/>
    <w:basedOn w:val="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320</Words>
  <Characters>1827</Characters>
  <Lines>15</Lines>
  <Paragraphs>4</Paragraphs>
  <TotalTime>0</TotalTime>
  <ScaleCrop>false</ScaleCrop>
  <LinksUpToDate>false</LinksUpToDate>
  <CharactersWithSpaces>2143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2023-05-14T18:09:00Z</dcterms:created>
  <dc:creator>高高。</dc:creator>
  <cp:lastModifiedBy>iPhone</cp:lastModifiedBy>
  <dcterms:modified xsi:type="dcterms:W3CDTF">2023-06-26T09:26:35Z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2052-11.38.0</vt:lpwstr>
  </property>
  <property fmtid="{D5CDD505-2E9C-101B-9397-08002B2CF9AE}" pid="3" name="ICV">
    <vt:lpwstr>F58A87C0E0E44CC3B081DA3A12350AA9_11</vt:lpwstr>
  </property>
</Properties>
</file>