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240"/>
        <w:jc w:val="center"/>
        <w:rPr>
          <w:rFonts w:ascii="宋体" w:hAnsi="宋体" w:eastAsia="宋体"/>
          <w:b/>
          <w:sz w:val="32"/>
          <w:szCs w:val="32"/>
        </w:rPr>
      </w:pPr>
      <w:r>
        <w:rPr>
          <w:rFonts w:hint="eastAsia" w:ascii="宋体" w:hAnsi="宋体" w:eastAsia="宋体"/>
          <w:b/>
          <w:sz w:val="32"/>
          <w:szCs w:val="32"/>
        </w:rPr>
        <w:t>兴安盟产业数字化运营中心</w:t>
      </w:r>
    </w:p>
    <w:p>
      <w:pPr>
        <w:spacing w:line="440" w:lineRule="exact"/>
        <w:ind w:right="240"/>
        <w:jc w:val="center"/>
        <w:rPr>
          <w:rFonts w:ascii="宋体" w:hAnsi="宋体" w:eastAsia="宋体"/>
          <w:b/>
          <w:sz w:val="32"/>
          <w:szCs w:val="32"/>
        </w:rPr>
      </w:pPr>
      <w:r>
        <w:rPr>
          <w:rFonts w:hint="eastAsia" w:ascii="宋体" w:hAnsi="宋体" w:eastAsia="宋体"/>
          <w:b/>
          <w:sz w:val="32"/>
          <w:szCs w:val="32"/>
        </w:rPr>
        <w:t>暨科右前旗产业电商运营服务项目</w:t>
      </w:r>
    </w:p>
    <w:p>
      <w:pPr>
        <w:spacing w:line="440" w:lineRule="exact"/>
        <w:ind w:right="240" w:firstLine="3855" w:firstLineChars="1200"/>
        <w:jc w:val="both"/>
        <w:rPr>
          <w:rFonts w:ascii="宋体" w:hAnsi="宋体" w:eastAsia="宋体"/>
          <w:b/>
          <w:sz w:val="32"/>
          <w:szCs w:val="32"/>
        </w:rPr>
      </w:pPr>
      <w:r>
        <w:rPr>
          <w:rFonts w:hint="eastAsia" w:ascii="宋体" w:hAnsi="宋体" w:eastAsia="宋体"/>
          <w:b/>
          <w:sz w:val="32"/>
          <w:szCs w:val="32"/>
        </w:rPr>
        <w:t>工作说明书</w:t>
      </w:r>
    </w:p>
    <w:p>
      <w:pPr>
        <w:spacing w:line="440" w:lineRule="exact"/>
        <w:ind w:right="240"/>
        <w:rPr>
          <w:rFonts w:ascii="宋体" w:hAnsi="宋体" w:eastAsia="宋体"/>
        </w:rPr>
      </w:pPr>
    </w:p>
    <w:p>
      <w:pPr>
        <w:spacing w:line="440" w:lineRule="exact"/>
        <w:ind w:right="240"/>
        <w:rPr>
          <w:rFonts w:ascii="宋体" w:hAnsi="宋体" w:eastAsia="宋体"/>
        </w:rPr>
      </w:pPr>
      <w:r>
        <w:rPr>
          <w:rFonts w:hint="eastAsia" w:ascii="宋体" w:hAnsi="宋体" w:eastAsia="宋体"/>
        </w:rPr>
        <w:t>一、项目名称</w:t>
      </w:r>
    </w:p>
    <w:p>
      <w:pPr>
        <w:spacing w:line="440" w:lineRule="exact"/>
        <w:ind w:right="236" w:rightChars="0"/>
        <w:jc w:val="left"/>
        <w:rPr>
          <w:rFonts w:ascii="宋体" w:hAnsi="宋体" w:eastAsia="宋体"/>
          <w:color w:val="000000"/>
          <w:szCs w:val="24"/>
        </w:rPr>
      </w:pPr>
      <w:r>
        <w:rPr>
          <w:rFonts w:hint="eastAsia" w:ascii="宋体" w:hAnsi="宋体" w:eastAsia="宋体"/>
          <w:color w:val="000000"/>
          <w:szCs w:val="24"/>
        </w:rPr>
        <w:t>1.1项目名称</w:t>
      </w:r>
    </w:p>
    <w:p>
      <w:pPr>
        <w:spacing w:line="440" w:lineRule="exact"/>
        <w:ind w:right="236" w:rightChars="0" w:firstLine="480" w:firstLineChars="200"/>
        <w:jc w:val="left"/>
        <w:rPr>
          <w:rFonts w:ascii="宋体" w:hAnsi="宋体" w:eastAsia="宋体"/>
          <w:szCs w:val="24"/>
        </w:rPr>
      </w:pPr>
      <w:r>
        <w:rPr>
          <w:rFonts w:hint="eastAsia" w:ascii="宋体" w:hAnsi="宋体" w:eastAsia="宋体"/>
          <w:szCs w:val="24"/>
        </w:rPr>
        <w:t>兴安盟产业数字化运营中心暨科右前旗产业电商运营服务项目</w:t>
      </w:r>
    </w:p>
    <w:p>
      <w:pPr>
        <w:spacing w:line="440" w:lineRule="exact"/>
        <w:ind w:right="236" w:rightChars="0"/>
        <w:jc w:val="left"/>
        <w:rPr>
          <w:rFonts w:ascii="宋体" w:hAnsi="宋体" w:eastAsia="宋体"/>
          <w:color w:val="000000"/>
          <w:szCs w:val="24"/>
        </w:rPr>
      </w:pPr>
      <w:r>
        <w:rPr>
          <w:rFonts w:hint="eastAsia" w:ascii="宋体" w:hAnsi="宋体" w:eastAsia="宋体"/>
          <w:color w:val="000000"/>
          <w:szCs w:val="24"/>
        </w:rPr>
        <w:t>1.2项目目的</w:t>
      </w:r>
    </w:p>
    <w:p>
      <w:pPr>
        <w:spacing w:line="440" w:lineRule="exact"/>
        <w:ind w:right="236" w:rightChars="0" w:firstLine="480" w:firstLineChars="200"/>
        <w:jc w:val="left"/>
        <w:rPr>
          <w:rFonts w:ascii="宋体" w:hAnsi="宋体" w:eastAsia="宋体"/>
          <w:szCs w:val="24"/>
        </w:rPr>
      </w:pPr>
      <w:r>
        <w:rPr>
          <w:rFonts w:hint="eastAsia" w:ascii="宋体" w:hAnsi="宋体" w:eastAsia="宋体"/>
          <w:szCs w:val="24"/>
        </w:rPr>
        <w:t>围绕兴安盟产业数字化运营中心项目及科右前旗产业电商服务建设要求，提升兴安盟产业电商服务及运营水平，重点推动科右前旗草地羊肉、大米、沙果等特定产业升级、创新。通过政策创新、模式创新、产品创新，不断丰富兴安盟农畜产业业态，创新发展模式，加快形成农业产业链和科技创新的深度融合，推动一二三产融合，助力区域经济高质量发展。</w:t>
      </w:r>
    </w:p>
    <w:p>
      <w:pPr>
        <w:spacing w:line="440" w:lineRule="exact"/>
        <w:ind w:right="240"/>
        <w:rPr>
          <w:rFonts w:ascii="宋体" w:hAnsi="宋体" w:eastAsia="宋体"/>
        </w:rPr>
      </w:pPr>
    </w:p>
    <w:p>
      <w:pPr>
        <w:numPr>
          <w:ilvl w:val="0"/>
          <w:numId w:val="2"/>
        </w:numPr>
        <w:spacing w:line="440" w:lineRule="exact"/>
        <w:ind w:right="240"/>
        <w:rPr>
          <w:rFonts w:hint="eastAsia" w:ascii="宋体" w:hAnsi="宋体" w:eastAsia="宋体"/>
        </w:rPr>
      </w:pPr>
      <w:r>
        <w:rPr>
          <w:rFonts w:hint="eastAsia" w:ascii="宋体" w:hAnsi="宋体" w:eastAsia="宋体"/>
        </w:rPr>
        <w:t>服务内容</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79"/>
        <w:gridCol w:w="1353"/>
        <w:gridCol w:w="523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ind w:right="240"/>
              <w:jc w:val="center"/>
              <w:rPr>
                <w:rFonts w:ascii="宋体" w:hAnsi="宋体" w:eastAsia="宋体"/>
                <w:b/>
                <w:szCs w:val="24"/>
              </w:rPr>
            </w:pPr>
            <w:r>
              <w:rPr>
                <w:rFonts w:hint="eastAsia" w:ascii="宋体" w:hAnsi="宋体" w:eastAsia="宋体"/>
                <w:b/>
                <w:szCs w:val="24"/>
              </w:rPr>
              <w:t>序号</w:t>
            </w:r>
          </w:p>
        </w:tc>
        <w:tc>
          <w:tcPr>
            <w:tcW w:w="592" w:type="pct"/>
            <w:vAlign w:val="center"/>
          </w:tcPr>
          <w:p>
            <w:pPr>
              <w:ind w:right="240"/>
              <w:jc w:val="center"/>
              <w:rPr>
                <w:rFonts w:ascii="宋体" w:hAnsi="宋体" w:eastAsia="宋体"/>
                <w:b/>
                <w:szCs w:val="24"/>
              </w:rPr>
            </w:pPr>
            <w:r>
              <w:rPr>
                <w:rFonts w:hint="eastAsia" w:ascii="宋体" w:hAnsi="宋体" w:eastAsia="宋体"/>
                <w:b/>
                <w:szCs w:val="24"/>
              </w:rPr>
              <w:t>一级服务项</w:t>
            </w:r>
          </w:p>
        </w:tc>
        <w:tc>
          <w:tcPr>
            <w:tcW w:w="679" w:type="pct"/>
            <w:vAlign w:val="center"/>
          </w:tcPr>
          <w:p>
            <w:pPr>
              <w:ind w:right="240"/>
              <w:jc w:val="left"/>
              <w:rPr>
                <w:rFonts w:ascii="宋体" w:hAnsi="宋体" w:eastAsia="宋体"/>
                <w:b/>
                <w:szCs w:val="24"/>
              </w:rPr>
            </w:pPr>
            <w:r>
              <w:rPr>
                <w:rFonts w:hint="eastAsia" w:ascii="宋体" w:hAnsi="宋体" w:eastAsia="宋体"/>
                <w:b/>
                <w:szCs w:val="24"/>
              </w:rPr>
              <w:t>二级服务项</w:t>
            </w:r>
          </w:p>
        </w:tc>
        <w:tc>
          <w:tcPr>
            <w:tcW w:w="2630" w:type="pct"/>
            <w:vAlign w:val="center"/>
          </w:tcPr>
          <w:p>
            <w:pPr>
              <w:ind w:right="240"/>
              <w:jc w:val="center"/>
              <w:rPr>
                <w:rFonts w:ascii="宋体" w:hAnsi="宋体" w:eastAsia="宋体"/>
                <w:b/>
                <w:szCs w:val="24"/>
              </w:rPr>
            </w:pPr>
            <w:r>
              <w:rPr>
                <w:rFonts w:hint="eastAsia" w:ascii="宋体" w:hAnsi="宋体" w:eastAsia="宋体"/>
                <w:b/>
                <w:szCs w:val="24"/>
              </w:rPr>
              <w:t>具体工作内容</w:t>
            </w:r>
          </w:p>
        </w:tc>
        <w:tc>
          <w:tcPr>
            <w:tcW w:w="705" w:type="pct"/>
            <w:vAlign w:val="center"/>
          </w:tcPr>
          <w:p>
            <w:pPr>
              <w:ind w:right="240"/>
              <w:jc w:val="center"/>
              <w:rPr>
                <w:rFonts w:ascii="宋体" w:hAnsi="宋体" w:eastAsia="宋体"/>
                <w:b/>
                <w:szCs w:val="24"/>
              </w:rPr>
            </w:pPr>
            <w:r>
              <w:rPr>
                <w:rFonts w:ascii="宋体" w:hAnsi="宋体" w:eastAsia="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ind w:right="240"/>
              <w:rPr>
                <w:rFonts w:hint="eastAsia" w:ascii="宋体" w:hAnsi="宋体" w:eastAsia="宋体" w:cs="宋体"/>
                <w:sz w:val="24"/>
                <w:szCs w:val="24"/>
              </w:rPr>
            </w:pPr>
            <w:r>
              <w:rPr>
                <w:rFonts w:hint="eastAsia" w:ascii="宋体" w:hAnsi="宋体" w:eastAsia="宋体" w:cs="宋体"/>
                <w:sz w:val="24"/>
                <w:szCs w:val="24"/>
              </w:rPr>
              <w:t>1</w:t>
            </w:r>
          </w:p>
        </w:tc>
        <w:tc>
          <w:tcPr>
            <w:tcW w:w="592" w:type="pct"/>
            <w:vAlign w:val="center"/>
          </w:tcPr>
          <w:p>
            <w:pPr>
              <w:ind w:right="240"/>
              <w:rPr>
                <w:rFonts w:hint="eastAsia" w:ascii="宋体" w:hAnsi="宋体" w:eastAsia="宋体" w:cs="宋体"/>
                <w:sz w:val="24"/>
                <w:szCs w:val="24"/>
              </w:rPr>
            </w:pPr>
            <w:r>
              <w:rPr>
                <w:rFonts w:hint="eastAsia" w:ascii="宋体" w:hAnsi="宋体" w:eastAsia="宋体" w:cs="宋体"/>
                <w:sz w:val="24"/>
                <w:szCs w:val="24"/>
              </w:rPr>
              <w:t>产业运营中心运营</w:t>
            </w:r>
          </w:p>
        </w:tc>
        <w:tc>
          <w:tcPr>
            <w:tcW w:w="679" w:type="pct"/>
            <w:vAlign w:val="center"/>
          </w:tcPr>
          <w:p>
            <w:pPr>
              <w:ind w:right="240"/>
              <w:jc w:val="left"/>
              <w:rPr>
                <w:rFonts w:hint="eastAsia" w:ascii="宋体" w:hAnsi="宋体" w:eastAsia="宋体" w:cs="宋体"/>
                <w:sz w:val="24"/>
                <w:szCs w:val="24"/>
              </w:rPr>
            </w:pPr>
            <w:r>
              <w:rPr>
                <w:rFonts w:hint="eastAsia" w:ascii="宋体" w:hAnsi="宋体" w:eastAsia="宋体" w:cs="宋体"/>
                <w:sz w:val="24"/>
                <w:szCs w:val="24"/>
              </w:rPr>
              <w:t>产业运营中心运营升级版</w:t>
            </w:r>
          </w:p>
        </w:tc>
        <w:tc>
          <w:tcPr>
            <w:tcW w:w="2630" w:type="pct"/>
            <w:vAlign w:val="center"/>
          </w:tcPr>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①产业电商体系建设方案</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A、产业运营中心分区体系建设（各功能分区职能、各功能发分区的管理办法）</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B、产业运营中心服务体系建设（服务内容、服务规范、服务流程）</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C、产业运营中心标识体系建设（应用范围、应用标准）</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D、产业运营中心管理体系建设（入驻管理体系、综合管理体系）</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②产业运营中心日常运营</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A、运营服务中心</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A-1 智慧空间服务（入驻主体管理、公共资源管理、智慧办公、物业管理）</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A-2 资源聚合服务（阿里平台资源对接、第三方平台资源对接）</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A-3 电商主体服务（业务支持、主体管理）</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A-4 矩阵传播服务（媒体矩阵搭建、内容采编输出、媒体发布汇编）</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B、电商培训中心</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B-1招生管理（线上触达、线下走访、定向邀约）</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B-2创业指导（社群运营、商家分层、资源对接、商家汰换）</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B-3商家培训（基础课程、进阶课程、大促课程、直播课程）</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B-4诊断咨询（整体看板、流量分析、商品分析、竞品分析、访客分析）</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C、电商供货中心</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C-1 供端建设（适销选品、供应商招募、供应商管理、增值服务）</w:t>
            </w:r>
          </w:p>
          <w:p>
            <w:pPr>
              <w:widowControl w:val="0"/>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C-2 销端建设（素材库管理、网商和营销主体招募、网商和营销主体管理）</w:t>
            </w:r>
          </w:p>
          <w:p>
            <w:pPr>
              <w:spacing w:line="360" w:lineRule="auto"/>
              <w:ind w:right="240"/>
              <w:rPr>
                <w:rFonts w:hint="eastAsia" w:ascii="宋体" w:hAnsi="宋体" w:eastAsia="宋体" w:cs="宋体"/>
                <w:sz w:val="24"/>
                <w:szCs w:val="24"/>
              </w:rPr>
            </w:pPr>
            <w:r>
              <w:rPr>
                <w:rFonts w:hint="eastAsia" w:ascii="宋体" w:hAnsi="宋体" w:eastAsia="宋体" w:cs="宋体"/>
                <w:spacing w:val="2"/>
                <w:sz w:val="24"/>
                <w:szCs w:val="24"/>
                <w:shd w:val="clear" w:color="auto" w:fill="FFFFFF"/>
                <w:lang w:bidi="ar"/>
              </w:rPr>
              <w:t>C-3 样品展厅管理</w:t>
            </w:r>
          </w:p>
        </w:tc>
        <w:tc>
          <w:tcPr>
            <w:tcW w:w="705" w:type="pct"/>
            <w:vAlign w:val="center"/>
          </w:tcPr>
          <w:p>
            <w:pPr>
              <w:pStyle w:val="19"/>
              <w:ind w:left="284" w:right="24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Align w:val="center"/>
          </w:tcPr>
          <w:p>
            <w:pPr>
              <w:ind w:right="240"/>
              <w:rPr>
                <w:rFonts w:hint="eastAsia" w:ascii="宋体" w:hAnsi="宋体" w:eastAsia="宋体" w:cs="宋体"/>
                <w:sz w:val="24"/>
                <w:szCs w:val="24"/>
              </w:rPr>
            </w:pPr>
            <w:r>
              <w:rPr>
                <w:rFonts w:hint="eastAsia" w:ascii="宋体" w:hAnsi="宋体" w:eastAsia="宋体" w:cs="宋体"/>
                <w:sz w:val="24"/>
                <w:szCs w:val="24"/>
              </w:rPr>
              <w:t>2</w:t>
            </w:r>
          </w:p>
        </w:tc>
        <w:tc>
          <w:tcPr>
            <w:tcW w:w="592" w:type="pct"/>
            <w:vAlign w:val="center"/>
          </w:tcPr>
          <w:p>
            <w:pPr>
              <w:ind w:right="240"/>
              <w:rPr>
                <w:rFonts w:hint="eastAsia" w:ascii="宋体" w:hAnsi="宋体" w:eastAsia="宋体" w:cs="宋体"/>
                <w:sz w:val="24"/>
                <w:szCs w:val="24"/>
              </w:rPr>
            </w:pPr>
            <w:r>
              <w:rPr>
                <w:rFonts w:hint="eastAsia" w:ascii="宋体" w:hAnsi="宋体" w:eastAsia="宋体" w:cs="宋体"/>
                <w:sz w:val="24"/>
                <w:szCs w:val="24"/>
              </w:rPr>
              <w:t>电商培训</w:t>
            </w:r>
          </w:p>
        </w:tc>
        <w:tc>
          <w:tcPr>
            <w:tcW w:w="679" w:type="pct"/>
            <w:vAlign w:val="center"/>
          </w:tcPr>
          <w:p>
            <w:pPr>
              <w:ind w:right="24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1天线下课-县域</w:t>
            </w:r>
          </w:p>
          <w:p>
            <w:pPr>
              <w:ind w:right="240"/>
              <w:jc w:val="center"/>
              <w:textAlignment w:val="center"/>
              <w:rPr>
                <w:rFonts w:hint="eastAsia" w:ascii="宋体" w:hAnsi="宋体" w:eastAsia="宋体" w:cs="宋体"/>
                <w:sz w:val="24"/>
                <w:szCs w:val="24"/>
                <w:highlight w:val="none"/>
              </w:rPr>
            </w:pPr>
          </w:p>
        </w:tc>
        <w:tc>
          <w:tcPr>
            <w:tcW w:w="2630" w:type="pct"/>
            <w:vAlign w:val="center"/>
          </w:tcPr>
          <w:p>
            <w:pPr>
              <w:widowControl w:val="0"/>
              <w:spacing w:line="360" w:lineRule="auto"/>
              <w:ind w:right="240"/>
              <w:jc w:val="left"/>
              <w:rPr>
                <w:rFonts w:hint="eastAsia" w:ascii="宋体" w:hAnsi="宋体" w:eastAsia="宋体" w:cs="宋体"/>
                <w:spacing w:val="2"/>
                <w:sz w:val="24"/>
                <w:szCs w:val="24"/>
                <w:highlight w:val="none"/>
                <w:shd w:val="clear" w:color="auto" w:fill="FFFFFF"/>
                <w:lang w:eastAsia="zh-CN" w:bidi="ar"/>
              </w:rPr>
            </w:pPr>
            <w:r>
              <w:rPr>
                <w:rFonts w:hint="eastAsia" w:ascii="宋体" w:hAnsi="宋体" w:eastAsia="宋体" w:cs="宋体"/>
                <w:spacing w:val="2"/>
                <w:sz w:val="24"/>
                <w:szCs w:val="24"/>
                <w:highlight w:val="none"/>
                <w:shd w:val="clear" w:color="auto" w:fill="FFFFFF"/>
                <w:lang w:bidi="ar"/>
              </w:rPr>
              <w:t>形式：课前体系化视频预习课+正课1天线下培训+课后直播复习</w:t>
            </w:r>
          </w:p>
          <w:p>
            <w:pPr>
              <w:widowControl w:val="0"/>
              <w:spacing w:line="360" w:lineRule="auto"/>
              <w:ind w:right="240"/>
              <w:jc w:val="left"/>
              <w:rPr>
                <w:rFonts w:hint="eastAsia" w:ascii="宋体" w:hAnsi="宋体" w:eastAsia="宋体" w:cs="宋体"/>
                <w:spacing w:val="2"/>
                <w:sz w:val="24"/>
                <w:szCs w:val="24"/>
                <w:highlight w:val="none"/>
                <w:shd w:val="clear" w:color="auto" w:fill="FFFFFF"/>
                <w:lang w:val="en-US" w:eastAsia="zh-CN" w:bidi="ar"/>
              </w:rPr>
            </w:pPr>
            <w:r>
              <w:rPr>
                <w:rFonts w:hint="eastAsia" w:ascii="宋体" w:hAnsi="宋体" w:eastAsia="宋体" w:cs="宋体"/>
                <w:spacing w:val="2"/>
                <w:sz w:val="24"/>
                <w:szCs w:val="24"/>
                <w:highlight w:val="none"/>
                <w:shd w:val="clear" w:color="auto" w:fill="FFFFFF"/>
                <w:lang w:bidi="ar"/>
              </w:rPr>
              <w:t>内容：针对电商人才开展的专享培训，提升学员电商方面能力</w:t>
            </w:r>
            <w:r>
              <w:rPr>
                <w:rFonts w:hint="eastAsia" w:ascii="宋体" w:hAnsi="宋体" w:eastAsia="宋体" w:cs="宋体"/>
                <w:spacing w:val="2"/>
                <w:sz w:val="24"/>
                <w:szCs w:val="24"/>
                <w:highlight w:val="none"/>
                <w:shd w:val="clear" w:color="auto" w:fill="FFFFFF"/>
                <w:lang w:val="en-US" w:eastAsia="zh-CN" w:bidi="ar"/>
              </w:rPr>
              <w:t>,</w:t>
            </w:r>
            <w:r>
              <w:rPr>
                <w:rFonts w:hint="eastAsia" w:cs="宋体"/>
                <w:spacing w:val="2"/>
                <w:sz w:val="24"/>
                <w:szCs w:val="24"/>
                <w:highlight w:val="none"/>
                <w:shd w:val="clear" w:color="auto" w:fill="FFFFFF"/>
                <w:lang w:eastAsia="zh-CN" w:bidi="ar"/>
              </w:rPr>
              <w:t>并做好跟踪服务，助力</w:t>
            </w:r>
            <w:r>
              <w:rPr>
                <w:rFonts w:hint="eastAsia" w:ascii="宋体" w:hAnsi="宋体" w:eastAsia="宋体" w:cs="宋体"/>
                <w:spacing w:val="2"/>
                <w:sz w:val="24"/>
                <w:szCs w:val="24"/>
                <w:highlight w:val="none"/>
                <w:shd w:val="clear" w:color="auto" w:fill="FFFFFF"/>
                <w:lang w:bidi="ar"/>
              </w:rPr>
              <w:t>电商创业。</w:t>
            </w:r>
          </w:p>
        </w:tc>
        <w:tc>
          <w:tcPr>
            <w:tcW w:w="705" w:type="pct"/>
            <w:vAlign w:val="center"/>
          </w:tcPr>
          <w:p>
            <w:pPr>
              <w:pStyle w:val="19"/>
              <w:ind w:right="24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4" w:type="pct"/>
            <w:vMerge w:val="restart"/>
            <w:vAlign w:val="center"/>
          </w:tcPr>
          <w:p>
            <w:pPr>
              <w:ind w:right="240"/>
              <w:rPr>
                <w:rFonts w:hint="eastAsia" w:ascii="宋体" w:hAnsi="宋体" w:eastAsia="宋体" w:cs="宋体"/>
                <w:sz w:val="24"/>
                <w:szCs w:val="24"/>
              </w:rPr>
            </w:pPr>
            <w:r>
              <w:rPr>
                <w:rFonts w:hint="eastAsia" w:ascii="宋体" w:hAnsi="宋体" w:eastAsia="宋体" w:cs="宋体"/>
                <w:sz w:val="24"/>
                <w:szCs w:val="24"/>
              </w:rPr>
              <w:t>3</w:t>
            </w:r>
          </w:p>
        </w:tc>
        <w:tc>
          <w:tcPr>
            <w:tcW w:w="592" w:type="pct"/>
            <w:vMerge w:val="restart"/>
            <w:vAlign w:val="center"/>
          </w:tcPr>
          <w:p>
            <w:pPr>
              <w:ind w:right="240"/>
              <w:jc w:val="left"/>
              <w:rPr>
                <w:rFonts w:hint="eastAsia" w:ascii="宋体" w:hAnsi="宋体" w:eastAsia="宋体" w:cs="宋体"/>
                <w:sz w:val="24"/>
                <w:szCs w:val="24"/>
              </w:rPr>
            </w:pPr>
            <w:r>
              <w:rPr>
                <w:rFonts w:hint="eastAsia" w:ascii="宋体" w:hAnsi="宋体" w:eastAsia="宋体" w:cs="宋体"/>
                <w:sz w:val="24"/>
                <w:szCs w:val="24"/>
              </w:rPr>
              <w:t>网货新品孵化（羊肉单SKU）</w:t>
            </w:r>
          </w:p>
        </w:tc>
        <w:tc>
          <w:tcPr>
            <w:tcW w:w="679" w:type="pct"/>
            <w:vAlign w:val="center"/>
          </w:tcPr>
          <w:p>
            <w:pPr>
              <w:ind w:right="240"/>
              <w:jc w:val="left"/>
              <w:rPr>
                <w:rFonts w:hint="eastAsia" w:ascii="宋体" w:hAnsi="宋体" w:eastAsia="宋体" w:cs="宋体"/>
                <w:sz w:val="24"/>
                <w:szCs w:val="24"/>
              </w:rPr>
            </w:pPr>
            <w:r>
              <w:rPr>
                <w:rFonts w:hint="eastAsia" w:ascii="宋体" w:hAnsi="宋体" w:eastAsia="宋体" w:cs="宋体"/>
                <w:sz w:val="24"/>
                <w:szCs w:val="24"/>
                <w:lang w:bidi="ar"/>
              </w:rPr>
              <w:t>网货新品策略制定</w:t>
            </w:r>
            <w:r>
              <w:rPr>
                <w:rFonts w:hint="eastAsia" w:ascii="宋体" w:hAnsi="宋体" w:eastAsia="宋体" w:cs="宋体"/>
                <w:sz w:val="24"/>
                <w:szCs w:val="24"/>
              </w:rPr>
              <w:t xml:space="preserve"> </w:t>
            </w:r>
          </w:p>
        </w:tc>
        <w:tc>
          <w:tcPr>
            <w:tcW w:w="2630" w:type="pct"/>
            <w:vAlign w:val="center"/>
          </w:tcPr>
          <w:p>
            <w:pPr>
              <w:widowControl w:val="0"/>
              <w:numPr>
                <w:ilvl w:val="255"/>
                <w:numId w:val="0"/>
              </w:numPr>
              <w:ind w:right="236" w:rightChars="0"/>
              <w:rPr>
                <w:rFonts w:hint="eastAsia" w:ascii="宋体" w:hAnsi="宋体" w:eastAsia="宋体" w:cs="宋体"/>
                <w:sz w:val="24"/>
                <w:szCs w:val="24"/>
              </w:rPr>
            </w:pPr>
            <w:r>
              <w:rPr>
                <w:rFonts w:hint="eastAsia" w:ascii="宋体" w:hAnsi="宋体" w:eastAsia="宋体" w:cs="宋体"/>
                <w:sz w:val="24"/>
                <w:szCs w:val="24"/>
                <w:lang w:bidi="ar"/>
              </w:rPr>
              <w:t>根据电商需求与消费趋势，对产品线上发展情况、市场竞争格局、产品消费人群的进行全方位数据分析，结合本地实情，强化产品卖点和定位产出适销对路的产品策略、规格价格策略等成体系的商品网货化设计方案。具体包括但不限于：</w:t>
            </w:r>
          </w:p>
          <w:p>
            <w:pPr>
              <w:widowControl w:val="0"/>
              <w:numPr>
                <w:ilvl w:val="0"/>
                <w:numId w:val="3"/>
              </w:numPr>
              <w:ind w:right="236" w:rightChars="0"/>
              <w:rPr>
                <w:rFonts w:hint="eastAsia" w:ascii="宋体" w:hAnsi="宋体" w:eastAsia="宋体" w:cs="宋体"/>
                <w:sz w:val="24"/>
                <w:szCs w:val="24"/>
              </w:rPr>
            </w:pPr>
            <w:r>
              <w:rPr>
                <w:rFonts w:hint="eastAsia" w:ascii="宋体" w:hAnsi="宋体" w:eastAsia="宋体" w:cs="宋体"/>
                <w:sz w:val="24"/>
                <w:szCs w:val="24"/>
                <w:lang w:bidi="ar"/>
              </w:rPr>
              <w:t>消费者画像分析</w:t>
            </w:r>
          </w:p>
          <w:p>
            <w:pPr>
              <w:widowControl w:val="0"/>
              <w:numPr>
                <w:ilvl w:val="0"/>
                <w:numId w:val="3"/>
              </w:numPr>
              <w:ind w:right="236" w:rightChars="0"/>
              <w:rPr>
                <w:rFonts w:hint="eastAsia" w:ascii="宋体" w:hAnsi="宋体" w:eastAsia="宋体" w:cs="宋体"/>
                <w:sz w:val="24"/>
                <w:szCs w:val="24"/>
              </w:rPr>
            </w:pPr>
            <w:r>
              <w:rPr>
                <w:rFonts w:hint="eastAsia" w:ascii="宋体" w:hAnsi="宋体" w:eastAsia="宋体" w:cs="宋体"/>
                <w:sz w:val="24"/>
                <w:szCs w:val="24"/>
                <w:lang w:bidi="ar"/>
              </w:rPr>
              <w:t>网货定位及卖点</w:t>
            </w:r>
          </w:p>
          <w:p>
            <w:pPr>
              <w:widowControl w:val="0"/>
              <w:numPr>
                <w:ilvl w:val="0"/>
                <w:numId w:val="3"/>
              </w:numPr>
              <w:ind w:right="236" w:rightChars="0"/>
              <w:rPr>
                <w:rFonts w:hint="eastAsia" w:ascii="宋体" w:hAnsi="宋体" w:eastAsia="宋体" w:cs="宋体"/>
                <w:spacing w:val="2"/>
                <w:sz w:val="24"/>
                <w:szCs w:val="24"/>
                <w:shd w:val="clear" w:color="auto" w:fill="FFFFFF"/>
                <w:lang w:bidi="ar"/>
              </w:rPr>
            </w:pPr>
            <w:r>
              <w:rPr>
                <w:rFonts w:hint="eastAsia" w:ascii="宋体" w:hAnsi="宋体" w:eastAsia="宋体" w:cs="宋体"/>
                <w:sz w:val="24"/>
                <w:szCs w:val="24"/>
                <w:lang w:bidi="ar"/>
              </w:rPr>
              <w:t xml:space="preserve">网货定价及规格建议 </w:t>
            </w:r>
          </w:p>
        </w:tc>
        <w:tc>
          <w:tcPr>
            <w:tcW w:w="705" w:type="pct"/>
            <w:vAlign w:val="center"/>
          </w:tcPr>
          <w:p>
            <w:pPr>
              <w:pStyle w:val="19"/>
              <w:ind w:left="284" w:right="24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94" w:type="pct"/>
            <w:vMerge w:val="continue"/>
            <w:vAlign w:val="center"/>
          </w:tcPr>
          <w:p>
            <w:pPr>
              <w:ind w:right="240"/>
              <w:rPr>
                <w:rFonts w:hint="eastAsia" w:ascii="宋体" w:hAnsi="宋体" w:eastAsia="宋体" w:cs="宋体"/>
                <w:sz w:val="24"/>
                <w:szCs w:val="24"/>
              </w:rPr>
            </w:pPr>
          </w:p>
        </w:tc>
        <w:tc>
          <w:tcPr>
            <w:tcW w:w="592" w:type="pct"/>
            <w:vMerge w:val="continue"/>
            <w:vAlign w:val="center"/>
          </w:tcPr>
          <w:p>
            <w:pPr>
              <w:ind w:right="240"/>
              <w:rPr>
                <w:rFonts w:hint="eastAsia" w:ascii="宋体" w:hAnsi="宋体" w:eastAsia="宋体" w:cs="宋体"/>
                <w:sz w:val="24"/>
                <w:szCs w:val="24"/>
              </w:rPr>
            </w:pPr>
          </w:p>
        </w:tc>
        <w:tc>
          <w:tcPr>
            <w:tcW w:w="679" w:type="pct"/>
            <w:vAlign w:val="center"/>
          </w:tcPr>
          <w:p>
            <w:pPr>
              <w:pStyle w:val="8"/>
              <w:ind w:right="240"/>
              <w:jc w:val="left"/>
              <w:rPr>
                <w:rFonts w:hint="eastAsia" w:ascii="宋体" w:hAnsi="宋体" w:eastAsia="宋体" w:cs="宋体"/>
                <w:sz w:val="24"/>
                <w:szCs w:val="24"/>
              </w:rPr>
            </w:pPr>
            <w:r>
              <w:rPr>
                <w:rFonts w:hint="eastAsia" w:ascii="宋体" w:hAnsi="宋体" w:eastAsia="宋体" w:cs="宋体"/>
                <w:sz w:val="24"/>
                <w:szCs w:val="24"/>
                <w:lang w:bidi="ar"/>
              </w:rPr>
              <w:t>网货销售素材设计</w:t>
            </w:r>
            <w:r>
              <w:rPr>
                <w:rFonts w:hint="eastAsia" w:ascii="宋体" w:hAnsi="宋体" w:eastAsia="宋体" w:cs="宋体"/>
                <w:sz w:val="24"/>
                <w:szCs w:val="24"/>
              </w:rPr>
              <w:t xml:space="preserve"> </w:t>
            </w:r>
          </w:p>
        </w:tc>
        <w:tc>
          <w:tcPr>
            <w:tcW w:w="2630" w:type="pct"/>
            <w:vAlign w:val="center"/>
          </w:tcPr>
          <w:p>
            <w:pPr>
              <w:ind w:right="0" w:rightChars="0"/>
              <w:jc w:val="left"/>
              <w:rPr>
                <w:rFonts w:hint="eastAsia" w:ascii="宋体" w:hAnsi="宋体" w:eastAsia="宋体" w:cs="宋体"/>
                <w:sz w:val="24"/>
                <w:szCs w:val="24"/>
              </w:rPr>
            </w:pPr>
            <w:r>
              <w:rPr>
                <w:rFonts w:hint="eastAsia" w:ascii="宋体" w:hAnsi="宋体" w:eastAsia="宋体" w:cs="宋体"/>
                <w:sz w:val="24"/>
                <w:szCs w:val="24"/>
                <w:lang w:bidi="ar"/>
              </w:rPr>
              <w:t>针对核心产品，开发适合电商销售的商品素材（包括包装、图片、视频、海报），为网商提供网货销售素材服务。具体内容包括但不限于：</w:t>
            </w:r>
          </w:p>
          <w:p>
            <w:pPr>
              <w:numPr>
                <w:ilvl w:val="0"/>
                <w:numId w:val="4"/>
              </w:numPr>
              <w:ind w:right="240"/>
              <w:jc w:val="left"/>
              <w:rPr>
                <w:rFonts w:hint="eastAsia" w:ascii="宋体" w:hAnsi="宋体" w:eastAsia="宋体" w:cs="宋体"/>
                <w:sz w:val="24"/>
                <w:szCs w:val="24"/>
              </w:rPr>
            </w:pPr>
            <w:r>
              <w:rPr>
                <w:rFonts w:hint="eastAsia" w:ascii="宋体" w:hAnsi="宋体" w:eastAsia="宋体" w:cs="宋体"/>
                <w:sz w:val="24"/>
                <w:szCs w:val="24"/>
                <w:lang w:bidi="ar"/>
              </w:rPr>
              <w:t>网货内外包装设计</w:t>
            </w:r>
          </w:p>
          <w:p>
            <w:pPr>
              <w:numPr>
                <w:ilvl w:val="0"/>
                <w:numId w:val="4"/>
              </w:numPr>
              <w:ind w:right="0" w:rightChars="0"/>
              <w:jc w:val="left"/>
              <w:rPr>
                <w:rFonts w:hint="eastAsia" w:ascii="宋体" w:hAnsi="宋体" w:eastAsia="宋体" w:cs="宋体"/>
                <w:spacing w:val="2"/>
                <w:sz w:val="24"/>
                <w:szCs w:val="24"/>
                <w:shd w:val="clear" w:color="auto" w:fill="FFFFFF"/>
                <w:lang w:bidi="ar"/>
              </w:rPr>
            </w:pPr>
            <w:r>
              <w:rPr>
                <w:rFonts w:hint="eastAsia" w:ascii="宋体" w:hAnsi="宋体" w:eastAsia="宋体" w:cs="宋体"/>
                <w:sz w:val="24"/>
                <w:szCs w:val="24"/>
                <w:lang w:bidi="ar"/>
              </w:rPr>
              <w:t xml:space="preserve">交易网站销售素材设计 </w:t>
            </w:r>
          </w:p>
        </w:tc>
        <w:tc>
          <w:tcPr>
            <w:tcW w:w="705" w:type="pct"/>
            <w:vAlign w:val="center"/>
          </w:tcPr>
          <w:p>
            <w:pPr>
              <w:pStyle w:val="19"/>
              <w:ind w:left="284" w:right="24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9" w:hRule="atLeast"/>
        </w:trPr>
        <w:tc>
          <w:tcPr>
            <w:tcW w:w="394" w:type="pct"/>
            <w:vAlign w:val="center"/>
          </w:tcPr>
          <w:p>
            <w:pPr>
              <w:ind w:right="240"/>
              <w:rPr>
                <w:rFonts w:hint="eastAsia" w:ascii="宋体" w:hAnsi="宋体" w:eastAsia="宋体" w:cs="宋体"/>
                <w:sz w:val="24"/>
                <w:szCs w:val="24"/>
              </w:rPr>
            </w:pPr>
          </w:p>
          <w:p>
            <w:pPr>
              <w:ind w:right="240"/>
              <w:rPr>
                <w:rFonts w:hint="eastAsia" w:ascii="宋体" w:hAnsi="宋体" w:eastAsia="宋体" w:cs="宋体"/>
                <w:sz w:val="24"/>
                <w:szCs w:val="24"/>
              </w:rPr>
            </w:pPr>
          </w:p>
          <w:p>
            <w:pPr>
              <w:ind w:right="240"/>
              <w:rPr>
                <w:rFonts w:hint="eastAsia" w:ascii="宋体" w:hAnsi="宋体" w:eastAsia="宋体" w:cs="宋体"/>
                <w:sz w:val="24"/>
                <w:szCs w:val="24"/>
              </w:rPr>
            </w:pPr>
            <w:r>
              <w:rPr>
                <w:rFonts w:hint="eastAsia" w:ascii="宋体" w:hAnsi="宋体" w:eastAsia="宋体" w:cs="宋体"/>
                <w:sz w:val="24"/>
                <w:szCs w:val="24"/>
              </w:rPr>
              <w:t>4</w:t>
            </w:r>
          </w:p>
        </w:tc>
        <w:tc>
          <w:tcPr>
            <w:tcW w:w="592" w:type="pct"/>
            <w:vAlign w:val="center"/>
          </w:tcPr>
          <w:p>
            <w:pPr>
              <w:ind w:right="240"/>
              <w:jc w:val="center"/>
              <w:rPr>
                <w:rFonts w:hint="eastAsia" w:ascii="宋体" w:hAnsi="宋体" w:eastAsia="宋体" w:cs="宋体"/>
                <w:sz w:val="24"/>
                <w:szCs w:val="24"/>
              </w:rPr>
            </w:pPr>
          </w:p>
          <w:p>
            <w:pPr>
              <w:ind w:right="240"/>
              <w:jc w:val="center"/>
              <w:rPr>
                <w:rFonts w:hint="eastAsia" w:ascii="宋体" w:hAnsi="宋体" w:eastAsia="宋体" w:cs="宋体"/>
                <w:sz w:val="24"/>
                <w:szCs w:val="24"/>
              </w:rPr>
            </w:pPr>
          </w:p>
          <w:p>
            <w:pPr>
              <w:ind w:right="240"/>
              <w:jc w:val="center"/>
              <w:rPr>
                <w:rFonts w:hint="eastAsia" w:ascii="宋体" w:hAnsi="宋体" w:eastAsia="宋体" w:cs="宋体"/>
                <w:sz w:val="24"/>
                <w:szCs w:val="24"/>
              </w:rPr>
            </w:pPr>
          </w:p>
          <w:p>
            <w:pPr>
              <w:ind w:right="240"/>
              <w:jc w:val="center"/>
              <w:rPr>
                <w:rFonts w:hint="eastAsia" w:ascii="宋体" w:hAnsi="宋体" w:eastAsia="宋体" w:cs="宋体"/>
                <w:sz w:val="24"/>
                <w:szCs w:val="24"/>
              </w:rPr>
            </w:pPr>
            <w:r>
              <w:rPr>
                <w:rFonts w:hint="eastAsia" w:ascii="宋体" w:hAnsi="宋体" w:eastAsia="宋体" w:cs="宋体"/>
                <w:sz w:val="24"/>
                <w:szCs w:val="24"/>
              </w:rPr>
              <w:t>整合营销</w:t>
            </w:r>
          </w:p>
          <w:p>
            <w:pPr>
              <w:ind w:right="240"/>
              <w:jc w:val="center"/>
              <w:rPr>
                <w:rFonts w:hint="eastAsia" w:ascii="宋体" w:hAnsi="宋体" w:eastAsia="宋体" w:cs="宋体"/>
                <w:sz w:val="24"/>
                <w:szCs w:val="24"/>
              </w:rPr>
            </w:pPr>
          </w:p>
        </w:tc>
        <w:tc>
          <w:tcPr>
            <w:tcW w:w="679" w:type="pct"/>
            <w:vAlign w:val="center"/>
          </w:tcPr>
          <w:p>
            <w:pPr>
              <w:ind w:right="240"/>
              <w:jc w:val="center"/>
              <w:rPr>
                <w:rFonts w:hint="eastAsia" w:ascii="宋体" w:hAnsi="宋体" w:eastAsia="宋体" w:cs="宋体"/>
                <w:sz w:val="24"/>
                <w:szCs w:val="24"/>
              </w:rPr>
            </w:pPr>
            <w:r>
              <w:rPr>
                <w:rFonts w:hint="eastAsia" w:ascii="宋体" w:hAnsi="宋体" w:eastAsia="宋体" w:cs="宋体"/>
                <w:kern w:val="0"/>
                <w:sz w:val="24"/>
                <w:szCs w:val="24"/>
              </w:rPr>
              <w:t>定制化整合营销</w:t>
            </w:r>
          </w:p>
        </w:tc>
        <w:tc>
          <w:tcPr>
            <w:tcW w:w="2630" w:type="pct"/>
            <w:vAlign w:val="center"/>
          </w:tcPr>
          <w:p>
            <w:pPr>
              <w:widowControl w:val="0"/>
              <w:numPr>
                <w:ilvl w:val="255"/>
                <w:numId w:val="0"/>
              </w:numPr>
              <w:ind w:right="240" w:rightChars="0"/>
              <w:jc w:val="left"/>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基于当地产业和时令特点，举办整合营销活动，阿里提供平台资源，如频道专题营销页、创意策划、直播等，同时结合政府端资源导入，携手本地优质商家，共同开展营销活动，提升当地产业的综合影响力。</w:t>
            </w:r>
          </w:p>
          <w:p>
            <w:pPr>
              <w:widowControl w:val="0"/>
              <w:numPr>
                <w:ilvl w:val="255"/>
                <w:numId w:val="0"/>
              </w:numPr>
              <w:ind w:right="240" w:rightChars="0"/>
              <w:jc w:val="left"/>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1、</w:t>
            </w:r>
            <w:r>
              <w:rPr>
                <w:rFonts w:hint="eastAsia" w:ascii="宋体" w:hAnsi="宋体" w:eastAsia="宋体" w:cs="宋体"/>
                <w:spacing w:val="2"/>
                <w:sz w:val="24"/>
                <w:szCs w:val="24"/>
                <w:shd w:val="clear" w:color="auto" w:fill="FFFFFF"/>
                <w:lang w:eastAsia="zh-CN" w:bidi="ar"/>
              </w:rPr>
              <w:t>制定</w:t>
            </w:r>
            <w:r>
              <w:rPr>
                <w:rFonts w:hint="eastAsia" w:ascii="宋体" w:hAnsi="宋体" w:eastAsia="宋体" w:cs="宋体"/>
                <w:spacing w:val="2"/>
                <w:sz w:val="24"/>
                <w:szCs w:val="24"/>
                <w:shd w:val="clear" w:color="auto" w:fill="FFFFFF"/>
                <w:lang w:bidi="ar"/>
              </w:rPr>
              <w:t>并实施适合当地农畜产品销售的营销推广方案；</w:t>
            </w:r>
          </w:p>
          <w:p>
            <w:pPr>
              <w:widowControl w:val="0"/>
              <w:numPr>
                <w:ilvl w:val="255"/>
                <w:numId w:val="0"/>
              </w:numPr>
              <w:spacing w:beforeAutospacing="1" w:afterAutospacing="1"/>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2、手机淘宝内产地专属页面，在手机淘宝内搭建产地专属会场页面，会场页面将展示代表性产品，以及特色商家的关键信息、商家及优惠权益等。会场将配合关键词搜索功能，手淘搜索相关关键词直达会场页面。</w:t>
            </w:r>
          </w:p>
          <w:p>
            <w:pPr>
              <w:widowControl w:val="0"/>
              <w:numPr>
                <w:ilvl w:val="255"/>
                <w:numId w:val="0"/>
              </w:numPr>
              <w:spacing w:beforeAutospacing="1" w:afterAutospacing="1"/>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3、</w:t>
            </w:r>
            <w:r>
              <w:rPr>
                <w:rFonts w:hint="eastAsia" w:ascii="宋体" w:hAnsi="宋体" w:eastAsia="宋体" w:cs="宋体"/>
                <w:spacing w:val="2"/>
                <w:sz w:val="24"/>
                <w:szCs w:val="24"/>
                <w:shd w:val="clear" w:color="auto" w:fill="FFFFFF"/>
                <w:lang w:eastAsia="zh-CN" w:bidi="ar"/>
              </w:rPr>
              <w:t>主办不少于</w:t>
            </w:r>
            <w:r>
              <w:rPr>
                <w:rFonts w:hint="eastAsia" w:ascii="宋体" w:hAnsi="宋体" w:eastAsia="宋体" w:cs="宋体"/>
                <w:spacing w:val="2"/>
                <w:sz w:val="24"/>
                <w:szCs w:val="24"/>
                <w:shd w:val="clear" w:color="auto" w:fill="FFFFFF"/>
                <w:lang w:bidi="ar"/>
              </w:rPr>
              <w:t>1场产地溯源直播活动，搭建直播矩阵，邀请明星主播或大V主播，为产地优质产品进行直播带货。通过线上专题推广和线下活动资源的配合，打造大声势、多样化的线上线下事件营销。</w:t>
            </w:r>
          </w:p>
        </w:tc>
        <w:tc>
          <w:tcPr>
            <w:tcW w:w="705" w:type="pct"/>
            <w:vAlign w:val="center"/>
          </w:tcPr>
          <w:p>
            <w:pPr>
              <w:pStyle w:val="19"/>
              <w:ind w:left="284" w:right="24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4" w:type="pct"/>
            <w:vMerge w:val="restart"/>
            <w:vAlign w:val="center"/>
          </w:tcPr>
          <w:p>
            <w:pPr>
              <w:ind w:right="240"/>
              <w:rPr>
                <w:rFonts w:hint="eastAsia" w:ascii="宋体" w:hAnsi="宋体" w:eastAsia="宋体" w:cs="宋体"/>
                <w:sz w:val="24"/>
                <w:szCs w:val="24"/>
              </w:rPr>
            </w:pPr>
            <w:r>
              <w:rPr>
                <w:rFonts w:hint="eastAsia" w:ascii="宋体" w:hAnsi="宋体" w:eastAsia="宋体" w:cs="宋体"/>
                <w:sz w:val="24"/>
                <w:szCs w:val="24"/>
              </w:rPr>
              <w:t>5</w:t>
            </w:r>
          </w:p>
        </w:tc>
        <w:tc>
          <w:tcPr>
            <w:tcW w:w="592" w:type="pct"/>
            <w:vMerge w:val="restart"/>
            <w:vAlign w:val="center"/>
          </w:tcPr>
          <w:p>
            <w:pPr>
              <w:ind w:right="240"/>
              <w:rPr>
                <w:rFonts w:hint="eastAsia" w:ascii="宋体" w:hAnsi="宋体" w:eastAsia="宋体" w:cs="宋体"/>
                <w:sz w:val="24"/>
                <w:szCs w:val="24"/>
              </w:rPr>
            </w:pPr>
            <w:r>
              <w:rPr>
                <w:rFonts w:hint="eastAsia" w:ascii="宋体" w:hAnsi="宋体" w:eastAsia="宋体" w:cs="宋体"/>
                <w:sz w:val="24"/>
                <w:szCs w:val="24"/>
              </w:rPr>
              <w:t>码上放心正品溯源服务</w:t>
            </w:r>
          </w:p>
        </w:tc>
        <w:tc>
          <w:tcPr>
            <w:tcW w:w="679" w:type="pct"/>
            <w:vAlign w:val="center"/>
          </w:tcPr>
          <w:p>
            <w:pPr>
              <w:ind w:right="240"/>
              <w:jc w:val="left"/>
              <w:rPr>
                <w:rFonts w:hint="eastAsia" w:ascii="宋体" w:hAnsi="宋体" w:eastAsia="宋体" w:cs="宋体"/>
                <w:sz w:val="24"/>
                <w:szCs w:val="24"/>
              </w:rPr>
            </w:pPr>
            <w:r>
              <w:rPr>
                <w:rFonts w:hint="eastAsia" w:ascii="宋体" w:hAnsi="宋体" w:eastAsia="宋体" w:cs="宋体"/>
                <w:color w:val="000000"/>
                <w:kern w:val="0"/>
                <w:sz w:val="24"/>
                <w:szCs w:val="24"/>
              </w:rPr>
              <w:t>基础溯源建设</w:t>
            </w:r>
          </w:p>
        </w:tc>
        <w:tc>
          <w:tcPr>
            <w:tcW w:w="2630" w:type="pct"/>
            <w:vAlign w:val="center"/>
          </w:tcPr>
          <w:p>
            <w:pPr>
              <w:widowControl w:val="0"/>
              <w:numPr>
                <w:ilvl w:val="255"/>
                <w:numId w:val="0"/>
              </w:numPr>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建立产品全链路溯源系统，赋予每个产品唯一的身份编码，实现从产品源头到终端消费者全链条追溯，打通生产企业和消费者的沟通渠道，实现对C端的直接触达。</w:t>
            </w:r>
          </w:p>
          <w:p>
            <w:pPr>
              <w:widowControl w:val="0"/>
              <w:numPr>
                <w:ilvl w:val="255"/>
                <w:numId w:val="0"/>
              </w:numPr>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A、商家管理后台：溯源码量数据使用情况总览。</w:t>
            </w:r>
          </w:p>
          <w:p>
            <w:pPr>
              <w:widowControl w:val="0"/>
              <w:numPr>
                <w:ilvl w:val="255"/>
                <w:numId w:val="0"/>
              </w:numPr>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B、5家店铺&amp;商品管理：与淘宝天猫体系商品管理打通</w:t>
            </w:r>
          </w:p>
          <w:p>
            <w:pPr>
              <w:widowControl w:val="0"/>
              <w:numPr>
                <w:ilvl w:val="255"/>
                <w:numId w:val="0"/>
              </w:numPr>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C、溯源码服务：申请、激活溯源码，数字码量不限。</w:t>
            </w:r>
          </w:p>
          <w:p>
            <w:pPr>
              <w:widowControl w:val="0"/>
              <w:numPr>
                <w:ilvl w:val="255"/>
                <w:numId w:val="0"/>
              </w:numPr>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D、消费者溯源查询页面管理：个性化配置，商品信息、溯源信息、营销信息管理。</w:t>
            </w:r>
          </w:p>
          <w:p>
            <w:pPr>
              <w:widowControl w:val="0"/>
              <w:numPr>
                <w:ilvl w:val="255"/>
                <w:numId w:val="0"/>
              </w:numPr>
              <w:ind w:right="240" w:rightChars="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E、系统管理：账户管理、菜单管理、权限管理等。</w:t>
            </w:r>
          </w:p>
        </w:tc>
        <w:tc>
          <w:tcPr>
            <w:tcW w:w="705" w:type="pct"/>
            <w:vMerge w:val="restart"/>
            <w:vAlign w:val="center"/>
          </w:tcPr>
          <w:p>
            <w:pPr>
              <w:ind w:right="240"/>
              <w:jc w:val="left"/>
              <w:rPr>
                <w:rFonts w:hint="eastAsia" w:ascii="宋体" w:hAnsi="宋体" w:eastAsia="宋体" w:cs="宋体"/>
                <w:color w:val="000000"/>
                <w:spacing w:val="2"/>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4" w:type="pct"/>
            <w:vMerge w:val="continue"/>
            <w:vAlign w:val="center"/>
          </w:tcPr>
          <w:p>
            <w:pPr>
              <w:ind w:right="240"/>
              <w:rPr>
                <w:rFonts w:hint="eastAsia" w:ascii="宋体" w:hAnsi="宋体" w:eastAsia="宋体" w:cs="宋体"/>
                <w:sz w:val="24"/>
                <w:szCs w:val="24"/>
              </w:rPr>
            </w:pPr>
          </w:p>
        </w:tc>
        <w:tc>
          <w:tcPr>
            <w:tcW w:w="592" w:type="pct"/>
            <w:vMerge w:val="continue"/>
            <w:vAlign w:val="center"/>
          </w:tcPr>
          <w:p>
            <w:pPr>
              <w:ind w:right="240"/>
              <w:rPr>
                <w:rFonts w:hint="eastAsia" w:ascii="宋体" w:hAnsi="宋体" w:eastAsia="宋体" w:cs="宋体"/>
                <w:sz w:val="24"/>
                <w:szCs w:val="24"/>
              </w:rPr>
            </w:pPr>
          </w:p>
        </w:tc>
        <w:tc>
          <w:tcPr>
            <w:tcW w:w="679" w:type="pct"/>
            <w:vAlign w:val="center"/>
          </w:tcPr>
          <w:p>
            <w:pPr>
              <w:ind w:right="240"/>
              <w:jc w:val="left"/>
              <w:rPr>
                <w:rFonts w:hint="eastAsia" w:ascii="宋体" w:hAnsi="宋体" w:eastAsia="宋体" w:cs="宋体"/>
                <w:spacing w:val="2"/>
                <w:sz w:val="24"/>
                <w:szCs w:val="24"/>
                <w:shd w:val="clear" w:color="auto" w:fill="FFFFFF"/>
                <w:lang w:bidi="ar"/>
              </w:rPr>
            </w:pPr>
            <w:r>
              <w:rPr>
                <w:rFonts w:hint="eastAsia" w:ascii="宋体" w:hAnsi="宋体" w:eastAsia="宋体" w:cs="宋体"/>
                <w:color w:val="000000"/>
                <w:kern w:val="0"/>
                <w:sz w:val="24"/>
                <w:szCs w:val="24"/>
              </w:rPr>
              <w:t>溯源运营服务</w:t>
            </w:r>
          </w:p>
          <w:p>
            <w:pPr>
              <w:ind w:right="240"/>
              <w:jc w:val="left"/>
              <w:rPr>
                <w:rFonts w:hint="eastAsia" w:ascii="宋体" w:hAnsi="宋体" w:eastAsia="宋体" w:cs="宋体"/>
                <w:sz w:val="24"/>
                <w:szCs w:val="24"/>
              </w:rPr>
            </w:pPr>
          </w:p>
        </w:tc>
        <w:tc>
          <w:tcPr>
            <w:tcW w:w="2630" w:type="pct"/>
            <w:vAlign w:val="center"/>
          </w:tcPr>
          <w:p>
            <w:pPr>
              <w:spacing w:line="360" w:lineRule="auto"/>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A、搜索溯源心智标签；</w:t>
            </w:r>
          </w:p>
          <w:p>
            <w:pPr>
              <w:widowControl w:val="0"/>
              <w:ind w:right="240"/>
              <w:rPr>
                <w:rFonts w:hint="eastAsia" w:ascii="宋体" w:hAnsi="宋体" w:eastAsia="宋体" w:cs="宋体"/>
                <w:spacing w:val="2"/>
                <w:sz w:val="24"/>
                <w:szCs w:val="24"/>
                <w:shd w:val="clear" w:color="auto" w:fill="FFFFFF"/>
                <w:lang w:bidi="ar"/>
              </w:rPr>
            </w:pPr>
            <w:r>
              <w:rPr>
                <w:rFonts w:hint="eastAsia" w:ascii="宋体" w:hAnsi="宋体" w:eastAsia="宋体" w:cs="宋体"/>
                <w:spacing w:val="2"/>
                <w:sz w:val="24"/>
                <w:szCs w:val="24"/>
                <w:shd w:val="clear" w:color="auto" w:fill="FFFFFF"/>
                <w:lang w:bidi="ar"/>
              </w:rPr>
              <w:t>B、商品详情页面溯源心智标签以及一个溯源扫码介绍页面；</w:t>
            </w:r>
          </w:p>
          <w:p>
            <w:pPr>
              <w:widowControl w:val="0"/>
              <w:numPr>
                <w:ilvl w:val="255"/>
                <w:numId w:val="0"/>
              </w:numPr>
              <w:ind w:right="236" w:rightChars="0"/>
              <w:rPr>
                <w:rFonts w:hint="eastAsia" w:ascii="宋体" w:hAnsi="宋体" w:eastAsia="宋体" w:cs="宋体"/>
                <w:color w:val="000000" w:themeColor="text1"/>
                <w:spacing w:val="2"/>
                <w:sz w:val="24"/>
                <w:szCs w:val="24"/>
                <w:shd w:val="clear" w:color="auto" w:fill="FFFFFF"/>
                <w:lang w:bidi="ar"/>
                <w14:textFill>
                  <w14:solidFill>
                    <w14:schemeClr w14:val="tx1"/>
                  </w14:solidFill>
                </w14:textFill>
              </w:rPr>
            </w:pPr>
            <w:r>
              <w:rPr>
                <w:rFonts w:hint="eastAsia" w:ascii="宋体" w:hAnsi="宋体" w:eastAsia="宋体" w:cs="宋体"/>
                <w:spacing w:val="2"/>
                <w:sz w:val="24"/>
                <w:szCs w:val="24"/>
                <w:shd w:val="clear" w:color="auto" w:fill="FFFFFF"/>
                <w:lang w:bidi="ar"/>
              </w:rPr>
              <w:t>C、消费者溯源查询页面。</w:t>
            </w:r>
          </w:p>
        </w:tc>
        <w:tc>
          <w:tcPr>
            <w:tcW w:w="705" w:type="pct"/>
            <w:vMerge w:val="continue"/>
            <w:vAlign w:val="center"/>
          </w:tcPr>
          <w:p>
            <w:pPr>
              <w:ind w:right="240"/>
              <w:jc w:val="left"/>
              <w:rPr>
                <w:rFonts w:hint="eastAsia" w:ascii="宋体" w:hAnsi="宋体" w:eastAsia="宋体" w:cs="宋体"/>
                <w:color w:val="000000"/>
                <w:spacing w:val="2"/>
                <w:sz w:val="24"/>
                <w:szCs w:val="24"/>
                <w:shd w:val="clear" w:color="auto" w:fill="FFFFFF"/>
                <w:lang w:bidi="ar"/>
              </w:rPr>
            </w:pPr>
          </w:p>
        </w:tc>
      </w:tr>
    </w:tbl>
    <w:p>
      <w:pPr>
        <w:ind w:right="240"/>
        <w:rPr>
          <w:rFonts w:hint="eastAsia" w:ascii="宋体" w:hAnsi="宋体" w:eastAsia="宋体" w:cs="宋体"/>
          <w:sz w:val="24"/>
          <w:szCs w:val="24"/>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240"/>
      </w:pPr>
      <w:r>
        <w:separator/>
      </w:r>
    </w:p>
  </w:endnote>
  <w:endnote w:type="continuationSeparator" w:id="1">
    <w:p>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阿里巴巴普惠体 L">
    <w:altName w:val="宋体"/>
    <w:panose1 w:val="00000000000000000000"/>
    <w:charset w:val="86"/>
    <w:family w:val="roman"/>
    <w:pitch w:val="default"/>
    <w:sig w:usb0="00000000" w:usb1="00000000" w:usb2="0000001E" w:usb3="00000000" w:csb0="0004009F" w:csb1="00000000"/>
  </w:font>
  <w:font w:name="Heiti SC Light">
    <w:altName w:val="宋体"/>
    <w:panose1 w:val="00000000000000000000"/>
    <w:charset w:val="80"/>
    <w:family w:val="auto"/>
    <w:pitch w:val="default"/>
    <w:sig w:usb0="00000000" w:usb1="00000000" w:usb2="00000010" w:usb3="00000000" w:csb0="003E0001" w:csb1="00000000"/>
  </w:font>
  <w:font w:name="Helvetica Neue">
    <w:altName w:val="Times New Roman"/>
    <w:panose1 w:val="00000000000000000000"/>
    <w:charset w:val="00"/>
    <w:family w:val="auto"/>
    <w:pitch w:val="default"/>
    <w:sig w:usb0="00000000" w:usb1="00000000" w:usb2="00000010" w:usb3="00000000" w:csb0="00000001" w:csb1="00000000"/>
  </w:font>
  <w:font w:name="pingfang sc">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240"/>
      </w:pPr>
      <w:r>
        <w:separator/>
      </w:r>
    </w:p>
  </w:footnote>
  <w:footnote w:type="continuationSeparator" w:id="1">
    <w:p>
      <w:pPr>
        <w:ind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ind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738B6"/>
    <w:multiLevelType w:val="singleLevel"/>
    <w:tmpl w:val="B1C738B6"/>
    <w:lvl w:ilvl="0" w:tentative="0">
      <w:start w:val="2"/>
      <w:numFmt w:val="chineseCounting"/>
      <w:suff w:val="nothing"/>
      <w:lvlText w:val="%1、"/>
      <w:lvlJc w:val="left"/>
      <w:rPr>
        <w:rFonts w:hint="eastAsia"/>
      </w:rPr>
    </w:lvl>
  </w:abstractNum>
  <w:abstractNum w:abstractNumId="1">
    <w:nsid w:val="EB36FB37"/>
    <w:multiLevelType w:val="singleLevel"/>
    <w:tmpl w:val="EB36FB37"/>
    <w:lvl w:ilvl="0" w:tentative="0">
      <w:start w:val="1"/>
      <w:numFmt w:val="bullet"/>
      <w:lvlText w:val=""/>
      <w:lvlJc w:val="left"/>
      <w:pPr>
        <w:tabs>
          <w:tab w:val="left" w:pos="420"/>
        </w:tabs>
        <w:ind w:left="420" w:hanging="420"/>
      </w:pPr>
      <w:rPr>
        <w:rFonts w:hint="default" w:ascii="Wingdings" w:hAnsi="Wingdings"/>
      </w:rPr>
    </w:lvl>
  </w:abstractNum>
  <w:abstractNum w:abstractNumId="2">
    <w:nsid w:val="1FFB0E86"/>
    <w:multiLevelType w:val="multilevel"/>
    <w:tmpl w:val="1FFB0E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2"/>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F8CB71"/>
    <w:multiLevelType w:val="multilevel"/>
    <w:tmpl w:val="37F8CB71"/>
    <w:lvl w:ilvl="0" w:tentative="0">
      <w:start w:val="1"/>
      <w:numFmt w:val="bullet"/>
      <w:lvlText w:val=""/>
      <w:lvlJc w:val="left"/>
      <w:pPr>
        <w:ind w:left="284" w:hanging="284"/>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YjU4ODQ0ZDkyZGVkMDhiN2Y3ZmIyMTNlOWJkNGMifQ=="/>
  </w:docVars>
  <w:rsids>
    <w:rsidRoot w:val="00D03360"/>
    <w:rsid w:val="00056359"/>
    <w:rsid w:val="0008300E"/>
    <w:rsid w:val="00085348"/>
    <w:rsid w:val="000956CA"/>
    <w:rsid w:val="000A461D"/>
    <w:rsid w:val="000B3BF9"/>
    <w:rsid w:val="000D0FD8"/>
    <w:rsid w:val="000D57A4"/>
    <w:rsid w:val="001B1F9E"/>
    <w:rsid w:val="00202DD9"/>
    <w:rsid w:val="002650B8"/>
    <w:rsid w:val="00281691"/>
    <w:rsid w:val="00312644"/>
    <w:rsid w:val="003C7B85"/>
    <w:rsid w:val="003D002D"/>
    <w:rsid w:val="003F34F3"/>
    <w:rsid w:val="003F53D7"/>
    <w:rsid w:val="00432105"/>
    <w:rsid w:val="004E3460"/>
    <w:rsid w:val="0054160A"/>
    <w:rsid w:val="00570A56"/>
    <w:rsid w:val="00641419"/>
    <w:rsid w:val="00662AB0"/>
    <w:rsid w:val="00663BE0"/>
    <w:rsid w:val="00670321"/>
    <w:rsid w:val="006775D4"/>
    <w:rsid w:val="00694E2B"/>
    <w:rsid w:val="00716F94"/>
    <w:rsid w:val="00726300"/>
    <w:rsid w:val="0078756E"/>
    <w:rsid w:val="00794B87"/>
    <w:rsid w:val="00797463"/>
    <w:rsid w:val="007C03BC"/>
    <w:rsid w:val="00801915"/>
    <w:rsid w:val="00803EB1"/>
    <w:rsid w:val="00827642"/>
    <w:rsid w:val="00881E1C"/>
    <w:rsid w:val="008E2F77"/>
    <w:rsid w:val="008F6FC3"/>
    <w:rsid w:val="00926039"/>
    <w:rsid w:val="00956D4F"/>
    <w:rsid w:val="00971639"/>
    <w:rsid w:val="00977F91"/>
    <w:rsid w:val="009D688E"/>
    <w:rsid w:val="00A84E68"/>
    <w:rsid w:val="00AC5C3D"/>
    <w:rsid w:val="00B17144"/>
    <w:rsid w:val="00B72816"/>
    <w:rsid w:val="00B742D0"/>
    <w:rsid w:val="00B94AA6"/>
    <w:rsid w:val="00B96135"/>
    <w:rsid w:val="00BD78B5"/>
    <w:rsid w:val="00C174E7"/>
    <w:rsid w:val="00C230AE"/>
    <w:rsid w:val="00C51149"/>
    <w:rsid w:val="00C735CD"/>
    <w:rsid w:val="00C85E6C"/>
    <w:rsid w:val="00D03360"/>
    <w:rsid w:val="00D85842"/>
    <w:rsid w:val="00DB5411"/>
    <w:rsid w:val="00DB5C39"/>
    <w:rsid w:val="00E015A2"/>
    <w:rsid w:val="00E0659F"/>
    <w:rsid w:val="00E34B65"/>
    <w:rsid w:val="00E810A7"/>
    <w:rsid w:val="00F171AB"/>
    <w:rsid w:val="00F3320F"/>
    <w:rsid w:val="00F53973"/>
    <w:rsid w:val="00FF4A0E"/>
    <w:rsid w:val="05746676"/>
    <w:rsid w:val="07481679"/>
    <w:rsid w:val="093E76C7"/>
    <w:rsid w:val="0AED7C15"/>
    <w:rsid w:val="0B78214E"/>
    <w:rsid w:val="0C5D60B6"/>
    <w:rsid w:val="0E686F94"/>
    <w:rsid w:val="11E903EC"/>
    <w:rsid w:val="18E5190D"/>
    <w:rsid w:val="1968609A"/>
    <w:rsid w:val="1CFF42FB"/>
    <w:rsid w:val="1DD737EE"/>
    <w:rsid w:val="1E366767"/>
    <w:rsid w:val="1EF81C6E"/>
    <w:rsid w:val="23F76998"/>
    <w:rsid w:val="26D94183"/>
    <w:rsid w:val="292518B2"/>
    <w:rsid w:val="29ED3D0E"/>
    <w:rsid w:val="2BAA5540"/>
    <w:rsid w:val="2CC3778D"/>
    <w:rsid w:val="2E4E3659"/>
    <w:rsid w:val="2EE26290"/>
    <w:rsid w:val="326B0829"/>
    <w:rsid w:val="36F10342"/>
    <w:rsid w:val="37BF0413"/>
    <w:rsid w:val="3BAE3989"/>
    <w:rsid w:val="3CA92BB4"/>
    <w:rsid w:val="3D595F43"/>
    <w:rsid w:val="3FCF3302"/>
    <w:rsid w:val="40B826E3"/>
    <w:rsid w:val="40E23167"/>
    <w:rsid w:val="433F1BAF"/>
    <w:rsid w:val="44502CF2"/>
    <w:rsid w:val="465B518D"/>
    <w:rsid w:val="46E97F6B"/>
    <w:rsid w:val="46F8151A"/>
    <w:rsid w:val="472B65C2"/>
    <w:rsid w:val="474A61C6"/>
    <w:rsid w:val="4A0B01F8"/>
    <w:rsid w:val="4A9D70A2"/>
    <w:rsid w:val="4ADA02F6"/>
    <w:rsid w:val="4D4C45AC"/>
    <w:rsid w:val="4F8C3B89"/>
    <w:rsid w:val="50F00766"/>
    <w:rsid w:val="537C4FB9"/>
    <w:rsid w:val="549C4DF3"/>
    <w:rsid w:val="597A36FE"/>
    <w:rsid w:val="5D1D4073"/>
    <w:rsid w:val="5DDF08BD"/>
    <w:rsid w:val="5E84549A"/>
    <w:rsid w:val="5EB7E454"/>
    <w:rsid w:val="5FDDC460"/>
    <w:rsid w:val="5FE7B719"/>
    <w:rsid w:val="610915EB"/>
    <w:rsid w:val="62312A9A"/>
    <w:rsid w:val="63892126"/>
    <w:rsid w:val="65437F39"/>
    <w:rsid w:val="69937B96"/>
    <w:rsid w:val="69F74AC6"/>
    <w:rsid w:val="6CDF1345"/>
    <w:rsid w:val="6EDD976A"/>
    <w:rsid w:val="6F5FB514"/>
    <w:rsid w:val="6F651FD5"/>
    <w:rsid w:val="6F6F005D"/>
    <w:rsid w:val="6FFB9094"/>
    <w:rsid w:val="70BA1EAD"/>
    <w:rsid w:val="7136234C"/>
    <w:rsid w:val="71A95B60"/>
    <w:rsid w:val="74477ED4"/>
    <w:rsid w:val="773F481B"/>
    <w:rsid w:val="777B86D2"/>
    <w:rsid w:val="7C4C09FC"/>
    <w:rsid w:val="7DC97BD3"/>
    <w:rsid w:val="7DFF0555"/>
    <w:rsid w:val="7E466F8E"/>
    <w:rsid w:val="7ED6CAA1"/>
    <w:rsid w:val="7F007624"/>
    <w:rsid w:val="7FE3F893"/>
    <w:rsid w:val="7FF43A0B"/>
    <w:rsid w:val="8F5F83BC"/>
    <w:rsid w:val="99349F63"/>
    <w:rsid w:val="B71E1237"/>
    <w:rsid w:val="B7ADAB65"/>
    <w:rsid w:val="BECFBF00"/>
    <w:rsid w:val="BFFDE34A"/>
    <w:rsid w:val="CBF8A1C0"/>
    <w:rsid w:val="DAFB7344"/>
    <w:rsid w:val="DEFB6910"/>
    <w:rsid w:val="E5DF8BCA"/>
    <w:rsid w:val="E6D3F5CD"/>
    <w:rsid w:val="EB97B971"/>
    <w:rsid w:val="F13F43F5"/>
    <w:rsid w:val="F3BF78A2"/>
    <w:rsid w:val="F56FC7D1"/>
    <w:rsid w:val="F66BD0B1"/>
    <w:rsid w:val="F7FD01D2"/>
    <w:rsid w:val="FA9E1448"/>
    <w:rsid w:val="FEF54E78"/>
    <w:rsid w:val="FFB7FF16"/>
    <w:rsid w:val="FFBFA1C7"/>
    <w:rsid w:val="FFEED98E"/>
    <w:rsid w:val="FFF7C7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right="100" w:rightChars="100"/>
      <w:jc w:val="both"/>
    </w:pPr>
    <w:rPr>
      <w:rFonts w:eastAsia="阿里巴巴普惠体 L" w:asciiTheme="minorHAnsi" w:hAnsiTheme="minorHAnsi" w:cstheme="minorBidi"/>
      <w:kern w:val="2"/>
      <w:sz w:val="24"/>
      <w:szCs w:val="22"/>
      <w:lang w:val="en-US" w:eastAsia="zh-CN" w:bidi="ar-SA"/>
    </w:rPr>
  </w:style>
  <w:style w:type="paragraph" w:styleId="2">
    <w:name w:val="heading 5"/>
    <w:basedOn w:val="1"/>
    <w:next w:val="1"/>
    <w:link w:val="21"/>
    <w:qFormat/>
    <w:uiPriority w:val="9"/>
    <w:pPr>
      <w:keepNext/>
      <w:keepLines/>
      <w:widowControl w:val="0"/>
      <w:numPr>
        <w:ilvl w:val="4"/>
        <w:numId w:val="1"/>
      </w:numPr>
      <w:spacing w:before="280" w:after="290" w:line="376" w:lineRule="auto"/>
      <w:ind w:right="0" w:rightChars="0"/>
      <w:outlineLvl w:val="4"/>
    </w:pPr>
    <w:rPr>
      <w:rFonts w:ascii="Times New Roman" w:hAnsi="Times New Roman" w:eastAsia="宋体"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unhideWhenUsed/>
    <w:qFormat/>
    <w:uiPriority w:val="99"/>
    <w:pPr>
      <w:widowControl w:val="0"/>
      <w:spacing w:line="360" w:lineRule="auto"/>
      <w:ind w:right="0" w:rightChars="0"/>
    </w:pPr>
    <w:rPr>
      <w:rFonts w:ascii="Heiti SC Light" w:hAnsi="Times New Roman" w:eastAsia="Heiti SC Light" w:cs="Times New Roman"/>
      <w:szCs w:val="24"/>
    </w:rPr>
  </w:style>
  <w:style w:type="paragraph" w:styleId="4">
    <w:name w:val="annotation text"/>
    <w:basedOn w:val="1"/>
    <w:link w:val="16"/>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style>
  <w:style w:type="paragraph" w:styleId="9">
    <w:name w:val="annotation subject"/>
    <w:basedOn w:val="4"/>
    <w:next w:val="4"/>
    <w:link w:val="17"/>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rFonts w:eastAsia="阿里巴巴普惠体 L"/>
      <w:sz w:val="18"/>
      <w:szCs w:val="18"/>
    </w:rPr>
  </w:style>
  <w:style w:type="character" w:customStyle="1" w:styleId="15">
    <w:name w:val="页脚 字符"/>
    <w:basedOn w:val="12"/>
    <w:link w:val="6"/>
    <w:qFormat/>
    <w:uiPriority w:val="99"/>
    <w:rPr>
      <w:rFonts w:eastAsia="阿里巴巴普惠体 L"/>
      <w:sz w:val="18"/>
      <w:szCs w:val="18"/>
    </w:rPr>
  </w:style>
  <w:style w:type="character" w:customStyle="1" w:styleId="16">
    <w:name w:val="批注文字 字符"/>
    <w:basedOn w:val="12"/>
    <w:link w:val="4"/>
    <w:semiHidden/>
    <w:qFormat/>
    <w:uiPriority w:val="99"/>
    <w:rPr>
      <w:rFonts w:eastAsia="阿里巴巴普惠体 L"/>
      <w:kern w:val="2"/>
      <w:sz w:val="24"/>
      <w:szCs w:val="22"/>
    </w:rPr>
  </w:style>
  <w:style w:type="character" w:customStyle="1" w:styleId="17">
    <w:name w:val="批注主题 字符"/>
    <w:basedOn w:val="16"/>
    <w:link w:val="9"/>
    <w:semiHidden/>
    <w:qFormat/>
    <w:uiPriority w:val="99"/>
    <w:rPr>
      <w:rFonts w:eastAsia="阿里巴巴普惠体 L"/>
      <w:b/>
      <w:bCs/>
      <w:kern w:val="2"/>
      <w:sz w:val="24"/>
      <w:szCs w:val="22"/>
    </w:rPr>
  </w:style>
  <w:style w:type="character" w:customStyle="1" w:styleId="18">
    <w:name w:val="批注框文本 字符"/>
    <w:basedOn w:val="12"/>
    <w:link w:val="5"/>
    <w:semiHidden/>
    <w:qFormat/>
    <w:uiPriority w:val="99"/>
    <w:rPr>
      <w:rFonts w:eastAsia="阿里巴巴普惠体 L"/>
      <w:kern w:val="2"/>
      <w:sz w:val="18"/>
      <w:szCs w:val="18"/>
    </w:rPr>
  </w:style>
  <w:style w:type="paragraph" w:styleId="19">
    <w:name w:val="List Paragraph"/>
    <w:basedOn w:val="1"/>
    <w:qFormat/>
    <w:uiPriority w:val="99"/>
    <w:pPr>
      <w:ind w:firstLine="420" w:firstLineChars="200"/>
    </w:pPr>
  </w:style>
  <w:style w:type="character" w:customStyle="1" w:styleId="20">
    <w:name w:val="文档结构图 字符"/>
    <w:basedOn w:val="12"/>
    <w:link w:val="3"/>
    <w:qFormat/>
    <w:uiPriority w:val="99"/>
    <w:rPr>
      <w:rFonts w:ascii="Heiti SC Light" w:hAnsi="Times New Roman" w:eastAsia="Heiti SC Light" w:cs="Times New Roman"/>
      <w:kern w:val="2"/>
      <w:sz w:val="24"/>
      <w:szCs w:val="24"/>
    </w:rPr>
  </w:style>
  <w:style w:type="character" w:customStyle="1" w:styleId="21">
    <w:name w:val="标题 5 字符"/>
    <w:basedOn w:val="12"/>
    <w:link w:val="2"/>
    <w:qFormat/>
    <w:uiPriority w:val="9"/>
    <w:rPr>
      <w:rFonts w:ascii="Times New Roman" w:hAnsi="Times New Roman" w:eastAsia="宋体" w:cs="Times New Roman"/>
      <w:b/>
      <w:bCs/>
      <w:kern w:val="2"/>
      <w:sz w:val="28"/>
      <w:szCs w:val="28"/>
    </w:rPr>
  </w:style>
  <w:style w:type="paragraph" w:customStyle="1" w:styleId="22">
    <w:name w:val="p2"/>
    <w:basedOn w:val="1"/>
    <w:qFormat/>
    <w:uiPriority w:val="0"/>
    <w:pPr>
      <w:ind w:right="0"/>
      <w:jc w:val="left"/>
    </w:pPr>
    <w:rPr>
      <w:rFonts w:ascii="Helvetica Neue" w:hAnsi="Helvetica Neue" w:eastAsia="Helvetica Neue" w:cs="Times New Roman"/>
      <w:color w:val="121416"/>
      <w:kern w:val="0"/>
      <w:sz w:val="21"/>
      <w:szCs w:val="21"/>
    </w:rPr>
  </w:style>
  <w:style w:type="paragraph" w:customStyle="1" w:styleId="23">
    <w:name w:val="p1"/>
    <w:basedOn w:val="1"/>
    <w:qFormat/>
    <w:uiPriority w:val="0"/>
    <w:pPr>
      <w:ind w:right="0"/>
      <w:jc w:val="left"/>
    </w:pPr>
    <w:rPr>
      <w:rFonts w:ascii="pingfang sc" w:hAnsi="pingfang sc" w:eastAsia="pingfang sc" w:cs="Times New Roman"/>
      <w:color w:val="121416"/>
      <w:kern w:val="0"/>
      <w:sz w:val="21"/>
      <w:szCs w:val="21"/>
    </w:rPr>
  </w:style>
  <w:style w:type="paragraph" w:customStyle="1" w:styleId="24">
    <w:name w:val="msolistparagraph"/>
    <w:basedOn w:val="1"/>
    <w:qFormat/>
    <w:uiPriority w:val="0"/>
    <w:pPr>
      <w:ind w:firstLine="420" w:firstLineChars="200"/>
    </w:pPr>
    <w:rPr>
      <w:rFonts w:ascii="Calibri" w:hAnsi="Calibri" w:cs="Times New Roman"/>
    </w:rPr>
  </w:style>
  <w:style w:type="paragraph" w:customStyle="1" w:styleId="25">
    <w:name w:val="修订1"/>
    <w:hidden/>
    <w:semiHidden/>
    <w:qFormat/>
    <w:uiPriority w:val="99"/>
    <w:rPr>
      <w:rFonts w:eastAsia="阿里巴巴普惠体 L" w:asciiTheme="minorHAnsi" w:hAnsiTheme="minorHAnsi" w:cstheme="minorBidi"/>
      <w:kern w:val="2"/>
      <w:sz w:val="24"/>
      <w:szCs w:val="22"/>
      <w:lang w:val="en-US" w:eastAsia="zh-CN" w:bidi="ar-SA"/>
    </w:rPr>
  </w:style>
  <w:style w:type="character" w:customStyle="1" w:styleId="26">
    <w:name w:val="s1"/>
    <w:basedOn w:val="12"/>
    <w:qFormat/>
    <w:uiPriority w:val="0"/>
    <w:rPr>
      <w:rFonts w:ascii="Helvetica Neue" w:hAnsi="Helvetica Neue" w:eastAsia="Helvetica Neue" w:cs="Helvetica Neue"/>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1625</Words>
  <Characters>1653</Characters>
  <Lines>34</Lines>
  <Paragraphs>9</Paragraphs>
  <TotalTime>1</TotalTime>
  <ScaleCrop>false</ScaleCrop>
  <LinksUpToDate>false</LinksUpToDate>
  <CharactersWithSpaces>1664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2023-02-15T10:52:00Z</dcterms:created>
  <dc:creator>wpf</dc:creator>
  <cp:lastModifiedBy>内招～小白</cp:lastModifiedBy>
  <dcterms:modified xsi:type="dcterms:W3CDTF">2023-02-20T02:38:59Z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property1">
    <vt:lpwstr>BBAAD9C20014179B94A0072836F0BA7042B9B20D1946FBE0AFD98130B1442BDC6B46B83811CE6B0222492F08C84622EB480921FAF1D06BF11BBFC244750E2ADA24DAFEADFC21C657749424B7600F4A55FA2DE43C74D423D6B8E7E19058FD5C78DD06249CCE3</vt:lpwstr>
  </property>
  <property fmtid="{D5CDD505-2E9C-101B-9397-08002B2CF9AE}" pid="4" name="ICV">
    <vt:lpwstr>389F5AD87193400981C64E104990B407</vt:lpwstr>
  </property>
</Properties>
</file>