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r>
        <w:rPr>
          <w:rFonts w:hint="eastAsia" w:ascii="宋体" w:hAnsi="宋体"/>
          <w:b/>
          <w:sz w:val="36"/>
          <w:szCs w:val="36"/>
        </w:rPr>
        <w:t>25吨车厢可卸式垃圾车</w:t>
      </w:r>
    </w:p>
    <w:p>
      <w:pPr>
        <w:spacing w:line="560" w:lineRule="exact"/>
        <w:rPr>
          <w:rFonts w:ascii="宋体" w:hAnsi="宋体"/>
          <w:b/>
          <w:sz w:val="24"/>
        </w:rPr>
      </w:pPr>
      <w:r>
        <w:rPr>
          <w:rFonts w:hint="eastAsia" w:ascii="宋体" w:hAnsi="宋体"/>
          <w:b/>
          <w:sz w:val="24"/>
        </w:rPr>
        <w:t>一、主要参数要求</w:t>
      </w:r>
    </w:p>
    <w:tbl>
      <w:tblPr>
        <w:tblStyle w:val="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26"/>
        <w:gridCol w:w="2279"/>
        <w:gridCol w:w="812"/>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项目</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参数</w:t>
            </w:r>
          </w:p>
        </w:tc>
        <w:tc>
          <w:tcPr>
            <w:tcW w:w="8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Theme="minorEastAsia"/>
                <w:sz w:val="24"/>
                <w:lang w:val="en-US" w:eastAsia="zh-CN"/>
              </w:rPr>
            </w:pPr>
            <w:r>
              <w:rPr>
                <w:rFonts w:hint="eastAsia" w:ascii="宋体" w:hAnsi="宋体"/>
                <w:sz w:val="24"/>
                <w:lang w:val="en-US" w:eastAsia="zh-CN"/>
              </w:rPr>
              <w:t>数量</w:t>
            </w:r>
          </w:p>
        </w:tc>
        <w:tc>
          <w:tcPr>
            <w:tcW w:w="8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sz w:val="24"/>
                <w:lang w:val="en-US" w:eastAsia="zh-CN"/>
              </w:rPr>
            </w:pPr>
            <w:r>
              <w:rPr>
                <w:rFonts w:hint="eastAsia" w:ascii="宋体" w:hAnsi="宋体"/>
                <w:sz w:val="24"/>
                <w:lang w:val="en-US" w:eastAsia="zh-CN"/>
              </w:rPr>
              <w:t>单价（元）</w:t>
            </w:r>
          </w:p>
        </w:tc>
        <w:tc>
          <w:tcPr>
            <w:tcW w:w="8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sz w:val="24"/>
                <w:lang w:val="en-US" w:eastAsia="zh-CN"/>
              </w:rPr>
            </w:pPr>
            <w:r>
              <w:rPr>
                <w:rFonts w:hint="eastAsia" w:ascii="宋体" w:hAnsi="宋体"/>
                <w:sz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底盘类别</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二类载货汽车底盘</w:t>
            </w:r>
          </w:p>
        </w:tc>
        <w:tc>
          <w:tcPr>
            <w:tcW w:w="812" w:type="dxa"/>
            <w:vMerge w:val="restart"/>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eastAsiaTheme="minorEastAsia"/>
                <w:sz w:val="24"/>
                <w:lang w:val="en-US" w:eastAsia="zh-CN"/>
              </w:rPr>
            </w:pPr>
            <w:r>
              <w:rPr>
                <w:rFonts w:hint="eastAsia" w:ascii="宋体" w:hAnsi="宋体"/>
                <w:sz w:val="24"/>
                <w:lang w:val="en-US" w:eastAsia="zh-CN"/>
              </w:rPr>
              <w:t>1台</w:t>
            </w:r>
          </w:p>
        </w:tc>
        <w:tc>
          <w:tcPr>
            <w:tcW w:w="812" w:type="dxa"/>
            <w:vMerge w:val="restart"/>
            <w:tcBorders>
              <w:top w:val="single" w:color="auto" w:sz="4" w:space="0"/>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restart"/>
            <w:tcBorders>
              <w:top w:val="single" w:color="auto" w:sz="4" w:space="0"/>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柴油发动机额定功率（kW）</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宋体" w:hAnsi="宋体" w:eastAsiaTheme="minorEastAsia"/>
                <w:sz w:val="24"/>
                <w:highlight w:val="yellow"/>
                <w:lang w:val="en-US" w:eastAsia="zh-CN"/>
              </w:rPr>
            </w:pPr>
            <w:r>
              <w:rPr>
                <w:rFonts w:hint="eastAsia" w:ascii="宋体" w:hAnsi="宋体"/>
                <w:sz w:val="24"/>
              </w:rPr>
              <w:t>≥</w:t>
            </w:r>
            <w:r>
              <w:rPr>
                <w:rFonts w:hint="eastAsia" w:ascii="宋体" w:hAnsi="宋体"/>
                <w:sz w:val="24"/>
                <w:lang w:val="en-US" w:eastAsia="zh-CN"/>
              </w:rPr>
              <w:t>198</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4" w:hRule="atLeas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外形尺寸（长×宽×高）（mm）</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≤8460</w:t>
            </w:r>
            <w:r>
              <w:rPr>
                <w:rFonts w:hint="eastAsia" w:ascii="宋体" w:hAnsi="宋体"/>
                <w:sz w:val="24"/>
                <w:lang w:eastAsia="zh-CN"/>
              </w:rPr>
              <w:t>≥</w:t>
            </w:r>
            <w:r>
              <w:rPr>
                <w:rFonts w:hint="eastAsia" w:ascii="宋体" w:hAnsi="宋体"/>
                <w:sz w:val="24"/>
              </w:rPr>
              <w:t>2530</w:t>
            </w:r>
            <w:r>
              <w:rPr>
                <w:rFonts w:hint="eastAsia" w:ascii="宋体" w:hAnsi="宋体"/>
                <w:sz w:val="24"/>
                <w:lang w:eastAsia="zh-CN"/>
              </w:rPr>
              <w:t>≥</w:t>
            </w:r>
            <w:r>
              <w:rPr>
                <w:rFonts w:hint="eastAsia" w:ascii="宋体" w:hAnsi="宋体"/>
                <w:sz w:val="24"/>
              </w:rPr>
              <w:t>3050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总质量（kg）</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≥25000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整备质量（kg）</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≤11380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额定载质量（kg）</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≥13450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前悬/后悬（mm）</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≤1480/1380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接近角/离去角（°）</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≤19/22</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最高车速（km/h）</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Theme="minorEastAsia"/>
                <w:sz w:val="24"/>
                <w:lang w:val="en-US" w:eastAsia="zh-CN"/>
              </w:rPr>
            </w:pPr>
            <w:r>
              <w:rPr>
                <w:rFonts w:hint="eastAsia" w:ascii="宋体" w:hAnsi="宋体"/>
                <w:sz w:val="24"/>
              </w:rPr>
              <w:t>≥8</w:t>
            </w:r>
            <w:r>
              <w:rPr>
                <w:rFonts w:hint="eastAsia" w:ascii="宋体" w:hAnsi="宋体"/>
                <w:sz w:val="24"/>
                <w:lang w:val="en-US" w:eastAsia="zh-CN"/>
              </w:rPr>
              <w:t>8</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 w:hRule="atLeas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轴距（mm）</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≤4350+1350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最大自卸角度（°）</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≥48</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装箱工作时间（s）</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≤60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卸箱工作时间（s）</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≤72</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钩臂系统最大起重能力（t）</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≥20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钩臂液压系统额定工作压力（MPa）</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≥30</w:t>
            </w: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right w:val="single" w:color="auto" w:sz="4" w:space="0"/>
            </w:tcBorders>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382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驾驶室</w:t>
            </w:r>
          </w:p>
        </w:tc>
        <w:tc>
          <w:tcPr>
            <w:tcW w:w="2279"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sz w:val="24"/>
              </w:rPr>
            </w:pPr>
            <w:r>
              <w:rPr>
                <w:rFonts w:hint="eastAsia" w:ascii="宋体" w:hAnsi="宋体"/>
                <w:sz w:val="24"/>
              </w:rPr>
              <w:t>配原厂冷暖空调</w:t>
            </w:r>
          </w:p>
        </w:tc>
        <w:tc>
          <w:tcPr>
            <w:tcW w:w="812" w:type="dxa"/>
            <w:vMerge w:val="continue"/>
            <w:tcBorders>
              <w:left w:val="single" w:color="auto" w:sz="4" w:space="0"/>
              <w:bottom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bottom w:val="single" w:color="auto" w:sz="4" w:space="0"/>
              <w:right w:val="single" w:color="auto" w:sz="4" w:space="0"/>
            </w:tcBorders>
            <w:vAlign w:val="center"/>
          </w:tcPr>
          <w:p>
            <w:pPr>
              <w:spacing w:line="500" w:lineRule="exact"/>
              <w:jc w:val="left"/>
              <w:rPr>
                <w:rFonts w:hint="eastAsia" w:ascii="宋体" w:hAnsi="宋体"/>
                <w:sz w:val="24"/>
              </w:rPr>
            </w:pPr>
          </w:p>
        </w:tc>
        <w:tc>
          <w:tcPr>
            <w:tcW w:w="812" w:type="dxa"/>
            <w:vMerge w:val="continue"/>
            <w:tcBorders>
              <w:left w:val="single" w:color="auto" w:sz="4" w:space="0"/>
              <w:bottom w:val="single" w:color="auto" w:sz="4" w:space="0"/>
              <w:right w:val="single" w:color="auto" w:sz="4" w:space="0"/>
            </w:tcBorders>
            <w:vAlign w:val="center"/>
          </w:tcPr>
          <w:p>
            <w:pPr>
              <w:spacing w:line="500" w:lineRule="exact"/>
              <w:jc w:val="left"/>
              <w:rPr>
                <w:rFonts w:hint="eastAsia" w:ascii="宋体" w:hAnsi="宋体"/>
                <w:sz w:val="24"/>
              </w:rPr>
            </w:pPr>
          </w:p>
        </w:tc>
      </w:tr>
    </w:tbl>
    <w:p>
      <w:pPr>
        <w:pStyle w:val="10"/>
        <w:widowControl/>
        <w:numPr>
          <w:ilvl w:val="0"/>
          <w:numId w:val="1"/>
        </w:numPr>
        <w:tabs>
          <w:tab w:val="left" w:pos="540"/>
        </w:tabs>
        <w:spacing w:line="500" w:lineRule="exact"/>
        <w:ind w:firstLineChars="0"/>
        <w:jc w:val="left"/>
        <w:rPr>
          <w:rFonts w:ascii="宋体" w:hAnsi="宋体"/>
          <w:b/>
        </w:rPr>
      </w:pPr>
      <w:r>
        <w:rPr>
          <w:rFonts w:hint="eastAsia" w:ascii="宋体" w:hAnsi="宋体"/>
          <w:b/>
        </w:rPr>
        <w:t>主要功能要求</w:t>
      </w:r>
    </w:p>
    <w:p>
      <w:pPr>
        <w:spacing w:line="500" w:lineRule="exact"/>
        <w:rPr>
          <w:rFonts w:ascii="宋体" w:hAnsi="宋体"/>
          <w:sz w:val="24"/>
        </w:rPr>
      </w:pPr>
      <w:r>
        <w:rPr>
          <w:rFonts w:hint="eastAsia" w:ascii="宋体" w:hAnsi="宋体"/>
          <w:sz w:val="24"/>
        </w:rPr>
        <w:t>1、钩臂系统采用成套设备；</w:t>
      </w:r>
    </w:p>
    <w:p>
      <w:pPr>
        <w:spacing w:line="500" w:lineRule="exact"/>
        <w:rPr>
          <w:rFonts w:ascii="宋体" w:hAnsi="宋体"/>
          <w:sz w:val="24"/>
        </w:rPr>
      </w:pPr>
      <w:r>
        <w:rPr>
          <w:rFonts w:hint="eastAsia" w:ascii="宋体" w:hAnsi="宋体"/>
          <w:sz w:val="24"/>
        </w:rPr>
        <w:t>2、多路阀为手动气控液压多路阀，工作模式为电控气，气控液。</w:t>
      </w:r>
    </w:p>
    <w:p>
      <w:pPr>
        <w:spacing w:line="500" w:lineRule="exact"/>
        <w:rPr>
          <w:rFonts w:ascii="宋体" w:hAnsi="宋体"/>
          <w:sz w:val="24"/>
        </w:rPr>
      </w:pPr>
      <w:r>
        <w:rPr>
          <w:rFonts w:hint="eastAsia" w:ascii="宋体" w:hAnsi="宋体"/>
          <w:sz w:val="24"/>
        </w:rPr>
        <w:t>3、工作装置的电器系统与汽车底盘的电器系统为独立的两个系统。</w:t>
      </w:r>
    </w:p>
    <w:p>
      <w:pPr>
        <w:spacing w:line="500" w:lineRule="exact"/>
        <w:rPr>
          <w:rFonts w:ascii="宋体" w:hAnsi="宋体"/>
          <w:sz w:val="24"/>
        </w:rPr>
      </w:pPr>
      <w:r>
        <w:rPr>
          <w:rFonts w:hint="eastAsia" w:ascii="宋体" w:hAnsi="宋体"/>
          <w:sz w:val="24"/>
        </w:rPr>
        <w:t>4、钩臂系统采用滑臂式铰接结构；主臂下降有缓冲功能，到位冲击小；动作之间有互锁功能，避免误操作。</w:t>
      </w:r>
    </w:p>
    <w:p>
      <w:pPr>
        <w:spacing w:line="500" w:lineRule="exact"/>
        <w:rPr>
          <w:rFonts w:ascii="宋体" w:hAnsi="宋体"/>
          <w:sz w:val="24"/>
        </w:rPr>
      </w:pPr>
      <w:r>
        <w:rPr>
          <w:rFonts w:hint="eastAsia" w:ascii="宋体" w:hAnsi="宋体"/>
          <w:sz w:val="24"/>
        </w:rPr>
        <w:t>5、所有操作均可在驾驶室内完成，降低操作者的劳动强度；</w:t>
      </w:r>
    </w:p>
    <w:p>
      <w:pPr>
        <w:spacing w:line="500" w:lineRule="exact"/>
        <w:rPr>
          <w:rFonts w:ascii="宋体" w:hAnsi="宋体"/>
          <w:sz w:val="24"/>
        </w:rPr>
      </w:pPr>
      <w:r>
        <w:rPr>
          <w:rFonts w:hint="eastAsia" w:ascii="宋体" w:hAnsi="宋体"/>
          <w:sz w:val="24"/>
        </w:rPr>
        <w:t>6、车辆采用后支撑稳定装置，装卸箱体过程中，防止车辆头部翘起，在松软地面和倾斜地面均能作业；</w:t>
      </w:r>
    </w:p>
    <w:p>
      <w:pPr>
        <w:spacing w:line="500" w:lineRule="exact"/>
        <w:rPr>
          <w:rFonts w:ascii="宋体" w:hAnsi="宋体"/>
          <w:sz w:val="24"/>
        </w:rPr>
      </w:pPr>
      <w:r>
        <w:rPr>
          <w:rFonts w:hint="eastAsia" w:ascii="宋体" w:hAnsi="宋体"/>
          <w:sz w:val="24"/>
        </w:rPr>
        <w:t>7、设置底盘与移动式垃圾压缩箱体连接报警装置和安全装置，确保在底盘液压快速接头与箱体连接时，无法进行卸箱操作，即使操作者误操作也能保证液压系统安全；</w:t>
      </w:r>
    </w:p>
    <w:p>
      <w:pPr>
        <w:spacing w:line="500" w:lineRule="exact"/>
        <w:rPr>
          <w:rFonts w:ascii="宋体" w:hAnsi="宋体"/>
          <w:sz w:val="24"/>
        </w:rPr>
      </w:pPr>
      <w:r>
        <w:rPr>
          <w:rFonts w:hint="eastAsia" w:ascii="宋体" w:hAnsi="宋体"/>
          <w:sz w:val="24"/>
        </w:rPr>
        <w:t>8、多项安全装置：动作之间设置互锁功能，防止误操作，箱体与钩臂连接设置安全装置，防止误操作损坏设备；驾驶室操作手柄装箱体锁警示装置，提醒驾驶员箱体锁实时状态；后支撑下降到位有指示灯提示。</w:t>
      </w:r>
    </w:p>
    <w:p>
      <w:pPr>
        <w:spacing w:line="500" w:lineRule="exact"/>
        <w:rPr>
          <w:rFonts w:ascii="宋体" w:hAnsi="宋体"/>
          <w:sz w:val="24"/>
        </w:rPr>
      </w:pPr>
      <w:r>
        <w:rPr>
          <w:rFonts w:hint="eastAsia" w:ascii="宋体" w:hAnsi="宋体"/>
          <w:sz w:val="24"/>
        </w:rPr>
        <w:t>9、箱体锁采用液压油缸驱动，锁住垃圾箱，防止转运过程中箱体晃动。</w:t>
      </w:r>
    </w:p>
    <w:p>
      <w:pPr>
        <w:spacing w:line="500" w:lineRule="exact"/>
        <w:rPr>
          <w:rFonts w:hint="eastAsia" w:ascii="宋体" w:hAnsi="宋体"/>
          <w:sz w:val="24"/>
        </w:rPr>
      </w:pPr>
      <w:r>
        <w:rPr>
          <w:rFonts w:hint="eastAsia" w:ascii="宋体" w:hAnsi="宋体"/>
          <w:sz w:val="24"/>
        </w:rPr>
        <w:t>10、箱体后门液压系统，用于启闭箱体后门，通过两个液压快速接头，与箱体上的两个液压快速接头进行对接。</w:t>
      </w:r>
    </w:p>
    <w:p>
      <w:pPr>
        <w:pStyle w:val="2"/>
        <w:rPr>
          <w:rFonts w:hint="eastAsia"/>
        </w:rPr>
      </w:pPr>
    </w:p>
    <w:p>
      <w:pPr>
        <w:pStyle w:val="2"/>
        <w:rPr>
          <w:rFonts w:hint="eastAsia"/>
        </w:rPr>
      </w:pPr>
    </w:p>
    <w:p>
      <w:pPr>
        <w:jc w:val="center"/>
        <w:rPr>
          <w:rFonts w:ascii="宋体" w:hAnsi="宋体" w:eastAsia="宋体" w:cs="Times New Roman"/>
          <w:b/>
          <w:sz w:val="32"/>
          <w:szCs w:val="32"/>
        </w:rPr>
      </w:pPr>
      <w:r>
        <w:rPr>
          <w:rFonts w:hint="eastAsia" w:ascii="宋体" w:hAnsi="宋体" w:eastAsia="宋体" w:cs="Times New Roman"/>
          <w:b/>
          <w:sz w:val="32"/>
          <w:szCs w:val="32"/>
        </w:rPr>
        <w:t>18m³移动式垃圾压缩箱</w:t>
      </w:r>
    </w:p>
    <w:p>
      <w:pPr>
        <w:rPr>
          <w:rFonts w:ascii="宋体" w:hAnsi="宋体" w:eastAsia="宋体" w:cs="Times New Roman"/>
          <w:b/>
          <w:sz w:val="24"/>
        </w:rPr>
      </w:pPr>
      <w:r>
        <w:rPr>
          <w:rFonts w:hint="eastAsia" w:ascii="宋体" w:hAnsi="宋体" w:eastAsia="宋体" w:cs="Times New Roman"/>
          <w:b/>
          <w:sz w:val="24"/>
        </w:rPr>
        <w:t>一、主要参数要求</w:t>
      </w:r>
    </w:p>
    <w:tbl>
      <w:tblPr>
        <w:tblStyle w:val="5"/>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97"/>
        <w:gridCol w:w="1787"/>
        <w:gridCol w:w="77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项目</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参数</w:t>
            </w:r>
          </w:p>
        </w:tc>
        <w:tc>
          <w:tcPr>
            <w:tcW w:w="77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数量</w:t>
            </w:r>
          </w:p>
        </w:tc>
        <w:tc>
          <w:tcPr>
            <w:tcW w:w="11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单价（元）</w:t>
            </w:r>
          </w:p>
        </w:tc>
        <w:tc>
          <w:tcPr>
            <w:tcW w:w="110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外形尺寸(mm)</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≥6380×2560×2500</w:t>
            </w:r>
          </w:p>
        </w:tc>
        <w:tc>
          <w:tcPr>
            <w:tcW w:w="770" w:type="dxa"/>
            <w:vMerge w:val="restart"/>
            <w:tcBorders>
              <w:top w:val="single" w:color="auto" w:sz="4" w:space="0"/>
              <w:left w:val="single" w:color="auto" w:sz="4" w:space="0"/>
              <w:right w:val="single" w:color="auto" w:sz="4" w:space="0"/>
            </w:tcBorders>
            <w:vAlign w:val="center"/>
          </w:tcPr>
          <w:p>
            <w:pPr>
              <w:spacing w:line="500" w:lineRule="exact"/>
              <w:jc w:val="center"/>
              <w:rPr>
                <w:rFonts w:hint="default" w:ascii="宋体" w:hAnsi="宋体" w:eastAsia="宋体" w:cs="Times New Roman"/>
                <w:sz w:val="24"/>
                <w:lang w:val="en-US" w:eastAsia="zh-CN"/>
              </w:rPr>
            </w:pPr>
            <w:r>
              <w:rPr>
                <w:rFonts w:hint="eastAsia" w:ascii="宋体" w:hAnsi="宋体" w:eastAsia="宋体" w:cs="Times New Roman"/>
                <w:sz w:val="24"/>
                <w:lang w:val="en-US" w:eastAsia="zh-CN"/>
              </w:rPr>
              <w:t>2个</w:t>
            </w:r>
          </w:p>
        </w:tc>
        <w:tc>
          <w:tcPr>
            <w:tcW w:w="1100" w:type="dxa"/>
            <w:vMerge w:val="restart"/>
            <w:tcBorders>
              <w:top w:val="single" w:color="auto" w:sz="4" w:space="0"/>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restart"/>
            <w:tcBorders>
              <w:top w:val="single" w:color="auto" w:sz="4" w:space="0"/>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自重(t)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≥5.5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单机垃圾处理能力(m</w:t>
            </w:r>
            <w:r>
              <w:rPr>
                <w:rFonts w:hint="eastAsia" w:ascii="宋体" w:hAnsi="宋体" w:eastAsia="宋体" w:cs="Times New Roman"/>
                <w:sz w:val="24"/>
                <w:vertAlign w:val="superscript"/>
              </w:rPr>
              <w:t>3</w:t>
            </w:r>
            <w:r>
              <w:rPr>
                <w:rFonts w:hint="eastAsia" w:ascii="宋体" w:hAnsi="宋体" w:eastAsia="宋体" w:cs="Times New Roman"/>
                <w:sz w:val="24"/>
              </w:rPr>
              <w:t>/h)</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≥133</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装载容积(m</w:t>
            </w:r>
            <w:r>
              <w:rPr>
                <w:rFonts w:hint="eastAsia" w:ascii="宋体" w:hAnsi="宋体" w:eastAsia="宋体" w:cs="Times New Roman"/>
                <w:sz w:val="24"/>
                <w:vertAlign w:val="superscript"/>
              </w:rPr>
              <w:t>3</w:t>
            </w:r>
            <w:r>
              <w:rPr>
                <w:rFonts w:hint="eastAsia" w:ascii="宋体" w:hAnsi="宋体" w:eastAsia="宋体" w:cs="Times New Roman"/>
                <w:sz w:val="24"/>
              </w:rPr>
              <w: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≥18</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满载时垃圾重量(t)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≥13.5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垃圾最大密实度(t/m</w:t>
            </w:r>
            <w:r>
              <w:rPr>
                <w:rFonts w:hint="eastAsia" w:ascii="宋体" w:hAnsi="宋体" w:eastAsia="宋体" w:cs="Times New Roman"/>
                <w:sz w:val="24"/>
                <w:vertAlign w:val="superscript"/>
              </w:rPr>
              <w:t>3</w:t>
            </w:r>
            <w:r>
              <w:rPr>
                <w:rFonts w:hint="eastAsia" w:ascii="宋体" w:hAnsi="宋体" w:eastAsia="宋体" w:cs="Times New Roman"/>
                <w:sz w:val="24"/>
              </w:rPr>
              <w: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≥0.75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单行程压缩量(m</w:t>
            </w:r>
            <w:r>
              <w:rPr>
                <w:rFonts w:hint="eastAsia" w:ascii="宋体" w:hAnsi="宋体" w:eastAsia="宋体" w:cs="Times New Roman"/>
                <w:sz w:val="24"/>
                <w:vertAlign w:val="superscript"/>
              </w:rPr>
              <w:t>3</w:t>
            </w:r>
            <w:r>
              <w:rPr>
                <w:rFonts w:hint="eastAsia" w:ascii="宋体" w:hAnsi="宋体" w:eastAsia="宋体" w:cs="Times New Roman"/>
                <w:sz w:val="24"/>
              </w:rPr>
              <w: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≥1.3</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压缩推头工作表面积(m</w:t>
            </w:r>
            <w:r>
              <w:rPr>
                <w:rFonts w:hint="eastAsia" w:ascii="宋体" w:hAnsi="宋体" w:eastAsia="宋体" w:cs="Times New Roman"/>
                <w:sz w:val="24"/>
                <w:vertAlign w:val="superscript"/>
              </w:rPr>
              <w:t>2</w:t>
            </w:r>
            <w:r>
              <w:rPr>
                <w:rFonts w:hint="eastAsia" w:ascii="宋体" w:hAnsi="宋体" w:eastAsia="宋体" w:cs="Times New Roman"/>
                <w:sz w:val="24"/>
              </w:rPr>
              <w: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≥0.95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压缩方式</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双油缸剪刀叉型布置、水平压缩</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最大压缩力(kN)</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≥340</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最大提料能力（t）</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≥1.5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液压系统最大压力</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≥22</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一次压缩循环时间(s)</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≤35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料斗提升循环时间(s)</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≤35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箱体壁厚（mm）</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≥4</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系统噪声dB(A)</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≤70</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设备上下车最大高度（mm）</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≥5100</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垃圾提升装置</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可提升容积≥3.5m</w:t>
            </w:r>
            <w:r>
              <w:rPr>
                <w:rFonts w:hint="eastAsia" w:ascii="宋体" w:hAnsi="宋体" w:eastAsia="宋体" w:cs="Times New Roman"/>
                <w:sz w:val="24"/>
                <w:vertAlign w:val="superscript"/>
              </w:rPr>
              <w:t>3</w:t>
            </w:r>
            <w:r>
              <w:rPr>
                <w:rFonts w:hint="eastAsia" w:ascii="宋体" w:hAnsi="宋体" w:eastAsia="宋体" w:cs="Times New Roman"/>
                <w:sz w:val="24"/>
              </w:rPr>
              <w:t>受料斗装置</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外接电源电压(V)</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380</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电动机功率(kw)</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5.5</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后门启闭方式</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采用底盘动力，快换接头插接控制液压油缸启闭</w:t>
            </w:r>
          </w:p>
        </w:tc>
        <w:tc>
          <w:tcPr>
            <w:tcW w:w="77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c>
          <w:tcPr>
            <w:tcW w:w="1100" w:type="dxa"/>
            <w:vMerge w:val="continue"/>
            <w:tcBorders>
              <w:left w:val="single" w:color="auto" w:sz="4" w:space="0"/>
              <w:right w:val="single" w:color="auto" w:sz="4" w:space="0"/>
            </w:tcBorders>
            <w:vAlign w:val="center"/>
          </w:tcPr>
          <w:p>
            <w:pPr>
              <w:spacing w:line="50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59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sz w:val="24"/>
              </w:rPr>
              <w:t>操作方式</w:t>
            </w:r>
          </w:p>
        </w:tc>
        <w:tc>
          <w:tcPr>
            <w:tcW w:w="178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eastAsia="宋体" w:cs="Times New Roman"/>
                <w:sz w:val="24"/>
              </w:rPr>
            </w:pPr>
            <w:r>
              <w:rPr>
                <w:rFonts w:hint="eastAsia" w:ascii="宋体" w:hAnsi="宋体" w:eastAsia="宋体" w:cs="Times New Roman"/>
                <w:bCs/>
                <w:sz w:val="24"/>
              </w:rPr>
              <w:t>操作箱控制、线控方式</w:t>
            </w:r>
          </w:p>
        </w:tc>
        <w:tc>
          <w:tcPr>
            <w:tcW w:w="770" w:type="dxa"/>
            <w:vMerge w:val="continue"/>
            <w:tcBorders>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Times New Roman"/>
                <w:bCs/>
                <w:sz w:val="24"/>
              </w:rPr>
            </w:pPr>
          </w:p>
        </w:tc>
        <w:tc>
          <w:tcPr>
            <w:tcW w:w="1100" w:type="dxa"/>
            <w:vMerge w:val="continue"/>
            <w:tcBorders>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Times New Roman"/>
                <w:bCs/>
                <w:sz w:val="24"/>
              </w:rPr>
            </w:pPr>
          </w:p>
        </w:tc>
        <w:tc>
          <w:tcPr>
            <w:tcW w:w="1100" w:type="dxa"/>
            <w:vMerge w:val="continue"/>
            <w:tcBorders>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Times New Roman"/>
                <w:bCs/>
                <w:sz w:val="24"/>
              </w:rPr>
            </w:pPr>
          </w:p>
        </w:tc>
      </w:tr>
    </w:tbl>
    <w:p>
      <w:pPr>
        <w:spacing w:line="500" w:lineRule="exact"/>
        <w:rPr>
          <w:rFonts w:ascii="宋体" w:hAnsi="宋体" w:eastAsia="宋体" w:cs="Times New Roman"/>
          <w:b/>
          <w:bCs/>
          <w:sz w:val="24"/>
        </w:rPr>
      </w:pPr>
      <w:r>
        <w:rPr>
          <w:rFonts w:hint="eastAsia" w:ascii="宋体" w:hAnsi="宋体" w:eastAsia="宋体" w:cs="Times New Roman"/>
          <w:b/>
          <w:bCs/>
          <w:sz w:val="24"/>
        </w:rPr>
        <w:t>二、主要功能要求</w:t>
      </w:r>
    </w:p>
    <w:p>
      <w:pPr>
        <w:spacing w:line="500" w:lineRule="exact"/>
        <w:rPr>
          <w:rFonts w:ascii="宋体" w:hAnsi="宋体" w:eastAsia="宋体" w:cs="Times New Roman"/>
          <w:sz w:val="24"/>
        </w:rPr>
      </w:pPr>
      <w:r>
        <w:rPr>
          <w:rFonts w:hint="eastAsia" w:ascii="宋体" w:hAnsi="宋体" w:eastAsia="宋体" w:cs="Times New Roman"/>
          <w:sz w:val="24"/>
        </w:rPr>
        <w:t>1、箱体整体轻量化设计采用高强度耐磨钢板及高强度耐候钢板整体焊接制作而成，压缩箱与垃圾箱采用无框架连接；</w:t>
      </w:r>
    </w:p>
    <w:p>
      <w:pPr>
        <w:spacing w:line="500" w:lineRule="exact"/>
        <w:rPr>
          <w:rFonts w:ascii="宋体" w:hAnsi="宋体" w:eastAsia="宋体" w:cs="Times New Roman"/>
          <w:sz w:val="24"/>
        </w:rPr>
      </w:pPr>
      <w:r>
        <w:rPr>
          <w:rFonts w:hint="eastAsia" w:ascii="宋体" w:hAnsi="宋体" w:eastAsia="宋体" w:cs="Times New Roman"/>
          <w:sz w:val="24"/>
        </w:rPr>
        <w:t>2、压缩头采用双曲线形设计，采用高强度耐磨钢板及高强度钢板整体焊接而成，油缸交叉布置，采用开放式铰接座；</w:t>
      </w:r>
    </w:p>
    <w:p>
      <w:pPr>
        <w:spacing w:line="500" w:lineRule="exact"/>
        <w:rPr>
          <w:rFonts w:ascii="宋体" w:hAnsi="宋体" w:eastAsia="宋体" w:cs="Times New Roman"/>
          <w:sz w:val="24"/>
        </w:rPr>
      </w:pPr>
      <w:r>
        <w:rPr>
          <w:rFonts w:hint="eastAsia" w:ascii="宋体" w:hAnsi="宋体" w:eastAsia="宋体" w:cs="Times New Roman"/>
          <w:sz w:val="24"/>
        </w:rPr>
        <w:t>3、配备自动强制风冷器对液压系统进行温度控制，当温度达到设计值时，风冷器自动运行已达到降低油温，当油温小于设定值时，风冷器自动关闭，风冷器与仓门紧密贴合；</w:t>
      </w:r>
    </w:p>
    <w:p>
      <w:pPr>
        <w:spacing w:line="500" w:lineRule="exact"/>
        <w:rPr>
          <w:rFonts w:ascii="宋体" w:hAnsi="宋体" w:eastAsia="宋体" w:cs="Times New Roman"/>
          <w:sz w:val="24"/>
        </w:rPr>
      </w:pPr>
      <w:r>
        <w:rPr>
          <w:rFonts w:hint="eastAsia" w:ascii="宋体" w:hAnsi="宋体" w:eastAsia="宋体" w:cs="Times New Roman"/>
          <w:sz w:val="24"/>
        </w:rPr>
        <w:t>4、配置安全保障装置，包括：总电源钥匙锁和全箱紧急停止按钮；摆臂油缸配备有安全装置，保证料斗在动作过程中不会因为突然爆管而引起料斗下降的安全隐患。</w:t>
      </w:r>
    </w:p>
    <w:p>
      <w:pPr>
        <w:spacing w:line="500" w:lineRule="exact"/>
        <w:rPr>
          <w:rFonts w:ascii="宋体" w:hAnsi="宋体" w:eastAsia="宋体" w:cs="Times New Roman"/>
          <w:sz w:val="24"/>
        </w:rPr>
      </w:pPr>
      <w:r>
        <w:rPr>
          <w:rFonts w:hint="eastAsia" w:ascii="宋体" w:hAnsi="宋体" w:eastAsia="宋体" w:cs="Times New Roman"/>
          <w:sz w:val="24"/>
        </w:rPr>
        <w:t>5、采用文本PLC微电脑控制，系统运行稳定可靠、智能化程度高。各动作间多重互锁，设备运行一键式操作，具备生产运行参数可调功能，可根据垃圾装载情况自动调整压缩程序；</w:t>
      </w:r>
    </w:p>
    <w:p>
      <w:pPr>
        <w:spacing w:line="500" w:lineRule="exact"/>
        <w:rPr>
          <w:rFonts w:ascii="宋体" w:hAnsi="宋体" w:eastAsia="宋体" w:cs="Times New Roman"/>
          <w:sz w:val="24"/>
        </w:rPr>
      </w:pPr>
      <w:r>
        <w:rPr>
          <w:rFonts w:hint="eastAsia" w:ascii="宋体" w:hAnsi="宋体" w:eastAsia="宋体" w:cs="Times New Roman"/>
          <w:sz w:val="24"/>
        </w:rPr>
        <w:t>6. 文本显示屏实时监控系统当前运行情况，箱体满载指示，实时显示系统压力、设备运行状态；具备设备异常自诊断及故障报警声光提醒与文字显示功能，方便操作与维修人员判断设备异常原因并及时准确检修处理；具备保养分阶段提示功能，保证设备处于最佳运行状态；具有系统整体运行情况及故障报警情况的记录汇总与统计分析功能；</w:t>
      </w:r>
    </w:p>
    <w:p>
      <w:pPr>
        <w:spacing w:line="500" w:lineRule="exact"/>
        <w:rPr>
          <w:rFonts w:ascii="宋体" w:hAnsi="宋体" w:eastAsia="宋体" w:cs="Times New Roman"/>
          <w:sz w:val="24"/>
        </w:rPr>
      </w:pPr>
      <w:r>
        <w:rPr>
          <w:rFonts w:hint="eastAsia" w:ascii="宋体" w:hAnsi="宋体" w:eastAsia="宋体" w:cs="Times New Roman"/>
          <w:sz w:val="24"/>
        </w:rPr>
        <w:t>7、箱体后门密封液控双重锁钩锁紧装置，后门密封可调节装置，确保运输过程中不会发生二次污染；</w:t>
      </w:r>
    </w:p>
    <w:p>
      <w:pPr>
        <w:spacing w:line="500" w:lineRule="exact"/>
        <w:rPr>
          <w:rFonts w:ascii="宋体" w:hAnsi="宋体" w:eastAsia="宋体" w:cs="Times New Roman"/>
          <w:sz w:val="24"/>
        </w:rPr>
      </w:pPr>
      <w:r>
        <w:rPr>
          <w:rFonts w:hint="eastAsia" w:ascii="宋体" w:hAnsi="宋体" w:eastAsia="宋体" w:cs="Times New Roman"/>
          <w:sz w:val="24"/>
        </w:rPr>
        <w:t>8、采用底盘液压驱动，控制液压油缸启闭后门，在驾驶室内即可操作完成后门的启闭及垃圾倾卸；</w:t>
      </w:r>
    </w:p>
    <w:p>
      <w:pPr>
        <w:spacing w:line="500" w:lineRule="exact"/>
        <w:rPr>
          <w:rFonts w:ascii="Times New Roman" w:hAnsi="Times New Roman" w:eastAsia="宋体" w:cs="Times New Roman"/>
        </w:rPr>
      </w:pPr>
      <w:r>
        <w:rPr>
          <w:rFonts w:hint="eastAsia" w:ascii="宋体" w:hAnsi="宋体" w:eastAsia="宋体" w:cs="Times New Roman"/>
          <w:sz w:val="24"/>
        </w:rPr>
        <w:t>9、上料机构具有自动缓冲装置，避免上料作业时受料斗与地面的冲击以及受料斗翻转到位对箱体的冲击；</w:t>
      </w:r>
      <w:r>
        <w:rPr>
          <w:rFonts w:ascii="Times New Roman" w:hAnsi="Times New Roman" w:eastAsia="宋体" w:cs="Times New Roman"/>
        </w:rPr>
        <w:t xml:space="preserve"> </w:t>
      </w:r>
    </w:p>
    <w:p>
      <w:pPr>
        <w:pStyle w:val="2"/>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B03FD"/>
    <w:multiLevelType w:val="multilevel"/>
    <w:tmpl w:val="2E1B03FD"/>
    <w:lvl w:ilvl="0" w:tentative="0">
      <w:start w:val="2"/>
      <w:numFmt w:val="none"/>
      <w:lvlText w:val="二、"/>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TgxMTg1YTQ4YjkwMDQ1ZDY3MWQzMTFiNzI5NzAifQ=="/>
  </w:docVars>
  <w:rsids>
    <w:rsidRoot w:val="002879D5"/>
    <w:rsid w:val="000712FF"/>
    <w:rsid w:val="000C690E"/>
    <w:rsid w:val="00231D61"/>
    <w:rsid w:val="002879D5"/>
    <w:rsid w:val="00346C32"/>
    <w:rsid w:val="003D3701"/>
    <w:rsid w:val="003D5833"/>
    <w:rsid w:val="004C72C1"/>
    <w:rsid w:val="00547103"/>
    <w:rsid w:val="0060650C"/>
    <w:rsid w:val="006A3000"/>
    <w:rsid w:val="00784B1A"/>
    <w:rsid w:val="0084254A"/>
    <w:rsid w:val="00860FEB"/>
    <w:rsid w:val="008828E4"/>
    <w:rsid w:val="009D748E"/>
    <w:rsid w:val="00B0653A"/>
    <w:rsid w:val="00C04D16"/>
    <w:rsid w:val="00C04DE1"/>
    <w:rsid w:val="00C139E5"/>
    <w:rsid w:val="00C61624"/>
    <w:rsid w:val="00CC037F"/>
    <w:rsid w:val="00D56ED5"/>
    <w:rsid w:val="00D57628"/>
    <w:rsid w:val="00D733CC"/>
    <w:rsid w:val="00DE5072"/>
    <w:rsid w:val="00F06448"/>
    <w:rsid w:val="00F1221C"/>
    <w:rsid w:val="0E460745"/>
    <w:rsid w:val="498D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unhideWhenUsed/>
    <w:qFormat/>
    <w:uiPriority w:val="99"/>
    <w:pPr>
      <w:spacing w:after="12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autoRedefine/>
    <w:qFormat/>
    <w:uiPriority w:val="99"/>
    <w:rPr>
      <w:szCs w:val="24"/>
    </w:rPr>
  </w:style>
  <w:style w:type="paragraph" w:styleId="10">
    <w:name w:val="List Paragraph"/>
    <w:basedOn w:val="1"/>
    <w:autoRedefine/>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1553</Words>
  <Characters>1729</Characters>
  <Lines>13</Lines>
  <Paragraphs>3</Paragraphs>
  <TotalTime>11</TotalTime>
  <ScaleCrop>false</ScaleCrop>
  <LinksUpToDate>false</LinksUpToDate>
  <CharactersWithSpaces>1731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2022-09-20T08:02:00Z</dcterms:created>
  <dc:creator>PC</dc:creator>
  <cp:lastModifiedBy>A</cp:lastModifiedBy>
  <cp:lastPrinted>2024-05-15T00:45:00Z</cp:lastPrinted>
  <dcterms:modified xsi:type="dcterms:W3CDTF">2024-05-29T14:02:01Z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A904C79897194186A9500B1BB9EF9162_12</vt:lpwstr>
  </property>
</Properties>
</file>