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Times New Roman"/>
          <w:bCs/>
          <w:color w:val="auto"/>
          <w:sz w:val="24"/>
        </w:rPr>
      </w:pPr>
    </w:p>
    <w:tbl>
      <w:tblPr>
        <w:tblStyle w:val="3"/>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1"/>
        <w:gridCol w:w="808"/>
        <w:gridCol w:w="6625"/>
        <w:gridCol w:w="361"/>
        <w:gridCol w:w="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84" w:hRule="atLeast"/>
        </w:trPr>
        <w:tc>
          <w:tcPr>
            <w:tcW w:w="8522"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8"/>
                <w:szCs w:val="28"/>
                <w:u w:val="none"/>
              </w:rPr>
            </w:pPr>
            <w:r>
              <w:rPr>
                <w:rFonts w:hint="eastAsia" w:ascii="微软雅黑" w:hAnsi="微软雅黑" w:eastAsia="微软雅黑" w:cs="微软雅黑"/>
                <w:i w:val="0"/>
                <w:iCs w:val="0"/>
                <w:color w:val="000000"/>
                <w:kern w:val="0"/>
                <w:sz w:val="28"/>
                <w:szCs w:val="28"/>
                <w:u w:val="none"/>
                <w:lang w:val="en-US" w:eastAsia="zh-CN" w:bidi="ar"/>
              </w:rPr>
              <w:t>科右中旗现代农牧业产业园建设牛肉食品安全可追溯系统平台建设项目招标明细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序号</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项目描述</w:t>
            </w:r>
          </w:p>
        </w:tc>
        <w:tc>
          <w:tcPr>
            <w:tcW w:w="6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技术参数</w:t>
            </w:r>
          </w:p>
        </w:tc>
        <w:tc>
          <w:tcPr>
            <w:tcW w:w="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数量</w:t>
            </w:r>
          </w:p>
        </w:tc>
        <w:tc>
          <w:tcPr>
            <w:tcW w:w="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Fonts w:hint="eastAsia" w:ascii="微软雅黑" w:hAnsi="微软雅黑" w:eastAsia="微软雅黑" w:cs="微软雅黑"/>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8" w:hRule="atLeast"/>
        </w:trPr>
        <w:tc>
          <w:tcPr>
            <w:tcW w:w="3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1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科右中旗现代农牧业产业园牛肉食品安全可追溯系统平台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3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8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可追溯系统</w:t>
            </w:r>
          </w:p>
        </w:tc>
        <w:tc>
          <w:tcPr>
            <w:tcW w:w="6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牛肉食品安全可追溯系统需具备以下功能：</w:t>
            </w:r>
          </w:p>
        </w:tc>
        <w:tc>
          <w:tcPr>
            <w:tcW w:w="3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★1、构建牛肉可追溯性质量管理系统指标体系。主要包含牛肉生产过程中，肉牛的进场与离场环节、卫生防疫环节、医疗诊治环节、饲料喂养环节等进行分析，最终确定一级、二级、三级可追溯指标。</w:t>
            </w:r>
          </w:p>
        </w:tc>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r>
              <w:rPr>
                <w:rStyle w:val="9"/>
                <w:lang w:val="en-US" w:eastAsia="zh-CN" w:bidi="ar"/>
              </w:rPr>
              <w:t>、养殖环节</w:t>
            </w:r>
          </w:p>
        </w:tc>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60" w:hRule="atLeast"/>
        </w:trPr>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具备进场与离场追溯功能。进场时可以记录与牛肉质量可追溯体系中确定的指标相一致的要素，如牛号、品种、来源、体重、出生日期、牛只类型、系谱信息、牛只进场检疫信息等。</w:t>
            </w:r>
          </w:p>
        </w:tc>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具备卫生免疫环节追溯功能。肉牛免疫处理功能模块中实现对免疫处理相关信息的管理和保存，如免疫类型、药品名称、药品用量、免疫时间、操作人员等。</w:t>
            </w:r>
          </w:p>
        </w:tc>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trPr>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具备兽药医疗环节追溯功能。兽药医疗管理功能可包含药品名称、药品批号、生产厂家、药品用量、花费等信息。</w:t>
            </w:r>
          </w:p>
        </w:tc>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0" w:hRule="atLeast"/>
        </w:trPr>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具备肉牛饲喂环节追溯功能。饲料投喂功能模块记录了各类饲料的类型、来源地、牛舍的编号等，可以实现对过程和安全指标的追溯。</w:t>
            </w:r>
          </w:p>
        </w:tc>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r>
              <w:rPr>
                <w:rStyle w:val="9"/>
                <w:lang w:val="en-US" w:eastAsia="zh-CN" w:bidi="ar"/>
              </w:rPr>
              <w:t>、屠宰环节</w:t>
            </w:r>
          </w:p>
        </w:tc>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0" w:hRule="atLeast"/>
        </w:trPr>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★具备肉牛收购信息管理功能。符合宰杀要求的牛只经过称重和身份确认后进入屠宰线，可以采集养牛户信息、养殖场信息、牛只重量信息等。                    </w:t>
            </w:r>
            <w:r>
              <w:rPr>
                <w:rFonts w:hint="eastAsia" w:ascii="宋体" w:hAnsi="宋体" w:eastAsia="宋体" w:cs="宋体"/>
                <w:i w:val="0"/>
                <w:iCs w:val="0"/>
                <w:color w:val="000000"/>
                <w:kern w:val="0"/>
                <w:sz w:val="21"/>
                <w:szCs w:val="21"/>
                <w:u w:val="none"/>
                <w:lang w:val="en-US" w:eastAsia="zh-CN" w:bidi="ar"/>
              </w:rPr>
              <w:br w:type="textWrapping"/>
            </w:r>
            <w:r>
              <w:rPr>
                <w:rStyle w:val="10"/>
                <w:lang w:val="en-US" w:eastAsia="zh-CN" w:bidi="ar"/>
              </w:rPr>
              <w:t>软件基础功能：                                                             肉牛品种分类，不同合同养殖户异价分类，其他信息可维护（养殖户姓名、身份证号、养殖场、运输车辆车牌号、消毒证明、检疫证明单号、来源养殖场信息等）                                                                   硬件对接：                                                                           肉牛收购软件要可以直接读取秤体称重数据，并根据浮动的数据科学合理的计算出称重数据。</w:t>
            </w:r>
          </w:p>
        </w:tc>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260" w:hRule="atLeast"/>
        </w:trPr>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9"/>
                <w:lang w:val="en-US" w:eastAsia="zh-CN" w:bidi="ar"/>
              </w:rPr>
              <w:t xml:space="preserve">具备屠前信息管理功能。屠前称重操作员可将牛信息（牛耳号、体重信息）录入到追溯屠前软件中，系统可自动分配给该牛一个顺序号。                    </w:t>
            </w:r>
            <w:r>
              <w:rPr>
                <w:rStyle w:val="10"/>
                <w:lang w:val="en-US" w:eastAsia="zh-CN" w:bidi="ar"/>
              </w:rPr>
              <w:t>软件基础功能：                                                        牛耳标号填写、重量数据采集、                                                            硬件对接：                                                                    肉牛屠前软件要可以直接读取秤体称重数据，并根据浮动的数据科学合理的计算出称重数据。</w:t>
            </w:r>
          </w:p>
        </w:tc>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00" w:hRule="atLeast"/>
        </w:trPr>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具备二分体信息管理功能。肉牛屠宰后传送至二分体处，经过称重、二分体追溯软件可以在司称中心数据库中自动找到匹配的牛顺序号进行关联，并将顺序号信息写入到RFID卡中，操作员写卡完毕后进行肉牛挂牌处理。可以以牛顺序号关联收购、肉牛养殖信息。                                                  </w:t>
            </w:r>
            <w:r>
              <w:rPr>
                <w:rStyle w:val="10"/>
                <w:lang w:val="en-US" w:eastAsia="zh-CN" w:bidi="ar"/>
              </w:rPr>
              <w:t>软件基础功能：                                                                 重量数据采集、时间点采集、RFID卡实时写入。                                                            硬件对接：                                                                                1.二分体软件要可以直接读取秤体称重数据。                                 2.通过RFID读卡器将顺序号写入RFID卡中。</w:t>
            </w:r>
          </w:p>
        </w:tc>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80" w:hRule="atLeast"/>
        </w:trPr>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具备四分体信息管理功能。肉牛经过排酸处理传送至四分体处，经过称重，通过RFID读写器自动读取标牌顺序号，四分体追溯软件自动生成一个分割流水号，并根据要追溯的部位肉块数，打印出相应的分割流水号条码数，在相应的部位肉进行粘贴。以流水号关联二分体、收购、肉牛养殖信息。                          </w:t>
            </w:r>
            <w:r>
              <w:rPr>
                <w:rFonts w:hint="eastAsia" w:ascii="宋体" w:hAnsi="宋体" w:eastAsia="宋体" w:cs="宋体"/>
                <w:i w:val="0"/>
                <w:iCs w:val="0"/>
                <w:color w:val="000000"/>
                <w:kern w:val="0"/>
                <w:sz w:val="21"/>
                <w:szCs w:val="21"/>
                <w:u w:val="none"/>
                <w:lang w:val="en-US" w:eastAsia="zh-CN" w:bidi="ar"/>
              </w:rPr>
              <w:br w:type="textWrapping"/>
            </w:r>
            <w:r>
              <w:rPr>
                <w:rStyle w:val="10"/>
                <w:lang w:val="en-US" w:eastAsia="zh-CN" w:bidi="ar"/>
              </w:rPr>
              <w:t>软件基础功能：                                                                 重量数据采集、时间点采集、RFID卡实时读取、条码打印及打印格式维护。                                                            硬件对接：                                                                                1.四分体软件要可以直接读取秤体称重数据。                               2.通过RFID读卡器将顺序号读出。</w:t>
            </w:r>
          </w:p>
        </w:tc>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920" w:hRule="atLeast"/>
        </w:trPr>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9"/>
                <w:lang w:val="en-US" w:eastAsia="zh-CN" w:bidi="ar"/>
              </w:rPr>
              <w:t xml:space="preserve">具备分割包装信息管理功能。具备屠宰分割产品名称设置菜单，同时添加至少10个牛肉商品名称。                                                                   </w:t>
            </w:r>
            <w:r>
              <w:rPr>
                <w:rStyle w:val="10"/>
                <w:lang w:val="en-US" w:eastAsia="zh-CN" w:bidi="ar"/>
              </w:rPr>
              <w:t xml:space="preserve">软件基础功能：                                                                 商品信息维护、商品信息快捷选择最少10条、单体批次选择、内包装条码维护、外包装外码维护、条码打印及打印格式维护、内外包装条码打印次数可见，是否打印日期可选择。                                                            </w:t>
            </w:r>
          </w:p>
        </w:tc>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60" w:hRule="atLeast"/>
        </w:trPr>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9"/>
                <w:lang w:val="en-US" w:eastAsia="zh-CN" w:bidi="ar"/>
              </w:rPr>
              <w:t xml:space="preserve">具备下线称重管理功能。装箱、称重处理，将该箱中的外包装条码扫描、录入重量，在下线称重追溯软件中生成一张新的外包装条码并打印粘贴至外包装箱规定粘贴处。以外包装条码关联内包装条码、四分体、二分体、收购、肉牛养殖信息。                                                                                </w:t>
            </w:r>
            <w:r>
              <w:rPr>
                <w:rStyle w:val="10"/>
                <w:lang w:val="en-US" w:eastAsia="zh-CN" w:bidi="ar"/>
              </w:rPr>
              <w:t>软件基础功能：                                                                 商品信息维护、内包装条码维护、外包装外码维护、条码打印及打印格式维护。</w:t>
            </w:r>
            <w:r>
              <w:rPr>
                <w:rStyle w:val="9"/>
                <w:lang w:val="en-US" w:eastAsia="zh-CN" w:bidi="ar"/>
              </w:rPr>
              <w:t xml:space="preserve">    </w:t>
            </w:r>
          </w:p>
        </w:tc>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016" w:hRule="atLeast"/>
        </w:trPr>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9"/>
                <w:lang w:val="en-US" w:eastAsia="zh-CN" w:bidi="ar"/>
              </w:rPr>
              <w:t xml:space="preserve">具备入库出库管理功能。以外包装条码关联产品入库、内包装条码、四分体、二分体、收购、肉牛养殖信息。以外包装条码关联产品出库、入库、内包装条码、四分体、二分体、收购、肉牛养殖信息。                                            </w:t>
            </w:r>
            <w:r>
              <w:rPr>
                <w:rStyle w:val="10"/>
                <w:lang w:val="en-US" w:eastAsia="zh-CN" w:bidi="ar"/>
              </w:rPr>
              <w:t>软件基础功能：                                                                 入库单维护、入库明细、入库汇总、出库单维护、出库明细、出库汇总、操作员记录、入库时间记录、出库时间记录，单据打印及打印格式维护</w:t>
            </w:r>
          </w:p>
        </w:tc>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40" w:hRule="atLeast"/>
        </w:trPr>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溯源信息后台管理功能。追溯后台软件中找到该出库单并关联相关信息（检验信息、用友出库单号、物流信息、销售信息）。以外包装条码关联产品出库、入库、内包装条码、四分体、二分体、收购、肉牛养殖信息</w:t>
            </w:r>
          </w:p>
        </w:tc>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w:t>
            </w:r>
            <w:r>
              <w:rPr>
                <w:rStyle w:val="9"/>
                <w:lang w:val="en-US" w:eastAsia="zh-CN" w:bidi="ar"/>
              </w:rPr>
              <w:t>、牛肉可追溯平台</w:t>
            </w:r>
          </w:p>
        </w:tc>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20" w:hRule="atLeast"/>
        </w:trPr>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具备登陆平台功能。登录合法性判断过程：管理员输入账号和密码后，系统首先确定输入数据合法性，并且不能为空，然后调用数据库查找用户表中数据，进行匹配。</w:t>
            </w:r>
          </w:p>
        </w:tc>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40" w:hRule="atLeast"/>
        </w:trPr>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具备养殖信息追溯功能。通过养殖信息可追溯到肉牛的性别、出生日期、出生重量、出生地、父耳号、母耳号、 养殖企业等信息。</w:t>
            </w:r>
          </w:p>
        </w:tc>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20" w:hRule="atLeast"/>
        </w:trPr>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具备屠宰信息追溯功能。通过屠宰信息可追溯到肉牛从某养殖厂运送到某屠宰场进行屠宰，检疫证编号、检疫人、检疫单位和签发日期等检疫合格证信息等。</w:t>
            </w:r>
          </w:p>
        </w:tc>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140" w:hRule="atLeast"/>
        </w:trPr>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具备运输信息追溯功能。通过运输信息，可以较为直观的获得信息，例如运输企业名称、企业地址、负责人等。在肉牛运输过程中，运输车辆的车牌号、起运时间和地址、到达时间和地址等。</w:t>
            </w:r>
          </w:p>
        </w:tc>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具备销售信息追溯功能。通过销售信息，可以查询这个部位的牛肉的出售地址，以及名称和价格等。</w:t>
            </w:r>
          </w:p>
        </w:tc>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40" w:hRule="atLeast"/>
        </w:trPr>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具备手机查询平台功能。支持两种追溯方式，一种是通过网页输入产品的溯源码来查询产品的部分信息。另一种是用手机扫描二维码查询。二维码可查询肉牛的基本信息，若要查询详细信息，可在网页端查询。</w:t>
            </w:r>
          </w:p>
        </w:tc>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8" w:hRule="atLeast"/>
        </w:trPr>
        <w:tc>
          <w:tcPr>
            <w:tcW w:w="36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80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6625"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61"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367"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 w:hRule="atLeast"/>
        </w:trPr>
        <w:tc>
          <w:tcPr>
            <w:tcW w:w="8522" w:type="dxa"/>
            <w:gridSpan w:val="5"/>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2"/>
                <w:szCs w:val="22"/>
                <w:u w:val="none"/>
              </w:rPr>
            </w:pPr>
          </w:p>
        </w:tc>
      </w:tr>
    </w:tbl>
    <w:p>
      <w:pPr>
        <w:rPr>
          <w:rFonts w:hint="eastAsia" w:ascii="微软雅黑" w:hAnsi="微软雅黑" w:eastAsia="微软雅黑" w:cs="Times New Roman"/>
          <w:bCs/>
          <w:color w:val="auto"/>
          <w:sz w:val="24"/>
        </w:rPr>
      </w:pPr>
    </w:p>
    <w:p>
      <w:pPr>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wMGYyNDBhNWU4NTFlYmFjODlhZWYzYTZlNjFlMDMifQ=="/>
  </w:docVars>
  <w:rsids>
    <w:rsidRoot w:val="166412B9"/>
    <w:rsid w:val="08B16DE4"/>
    <w:rsid w:val="166412B9"/>
    <w:rsid w:val="23233F06"/>
    <w:rsid w:val="25626117"/>
    <w:rsid w:val="3CD55C7A"/>
    <w:rsid w:val="5BD63379"/>
    <w:rsid w:val="694E292C"/>
    <w:rsid w:val="7DA82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5">
    <w:name w:val="font61"/>
    <w:basedOn w:val="4"/>
    <w:qFormat/>
    <w:uiPriority w:val="0"/>
    <w:rPr>
      <w:rFonts w:hint="eastAsia" w:ascii="宋体" w:hAnsi="宋体" w:eastAsia="宋体" w:cs="宋体"/>
      <w:color w:val="000000"/>
      <w:sz w:val="21"/>
      <w:szCs w:val="21"/>
      <w:u w:val="none"/>
    </w:rPr>
  </w:style>
  <w:style w:type="character" w:customStyle="1" w:styleId="6">
    <w:name w:val="font41"/>
    <w:basedOn w:val="4"/>
    <w:qFormat/>
    <w:uiPriority w:val="0"/>
    <w:rPr>
      <w:rFonts w:hint="default" w:ascii="Calibri" w:hAnsi="Calibri" w:cs="Calibri"/>
      <w:color w:val="000000"/>
      <w:sz w:val="21"/>
      <w:szCs w:val="21"/>
      <w:u w:val="none"/>
    </w:rPr>
  </w:style>
  <w:style w:type="character" w:customStyle="1" w:styleId="7">
    <w:name w:val="font01"/>
    <w:basedOn w:val="4"/>
    <w:qFormat/>
    <w:uiPriority w:val="0"/>
    <w:rPr>
      <w:rFonts w:hint="eastAsia" w:ascii="宋体" w:hAnsi="宋体" w:eastAsia="宋体" w:cs="宋体"/>
      <w:color w:val="000000"/>
      <w:sz w:val="21"/>
      <w:szCs w:val="21"/>
      <w:u w:val="none"/>
    </w:rPr>
  </w:style>
  <w:style w:type="character" w:customStyle="1" w:styleId="8">
    <w:name w:val="font71"/>
    <w:basedOn w:val="4"/>
    <w:qFormat/>
    <w:uiPriority w:val="0"/>
    <w:rPr>
      <w:rFonts w:hint="eastAsia" w:ascii="宋体" w:hAnsi="宋体" w:eastAsia="宋体" w:cs="宋体"/>
      <w:color w:val="FF0000"/>
      <w:sz w:val="21"/>
      <w:szCs w:val="21"/>
      <w:u w:val="none"/>
    </w:rPr>
  </w:style>
  <w:style w:type="character" w:customStyle="1" w:styleId="9">
    <w:name w:val="font31"/>
    <w:basedOn w:val="4"/>
    <w:qFormat/>
    <w:uiPriority w:val="0"/>
    <w:rPr>
      <w:rFonts w:hint="eastAsia" w:ascii="宋体" w:hAnsi="宋体" w:eastAsia="宋体" w:cs="宋体"/>
      <w:color w:val="000000"/>
      <w:sz w:val="21"/>
      <w:szCs w:val="21"/>
      <w:u w:val="none"/>
    </w:rPr>
  </w:style>
  <w:style w:type="character" w:customStyle="1" w:styleId="10">
    <w:name w:val="font21"/>
    <w:basedOn w:val="4"/>
    <w:qFormat/>
    <w:uiPriority w:val="0"/>
    <w:rPr>
      <w:rFonts w:hint="eastAsia"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3137</Words>
  <Characters>3199</Characters>
  <Lines>0</Lines>
  <Paragraphs>0</Paragraphs>
  <TotalTime>28</TotalTime>
  <ScaleCrop>false</ScaleCrop>
  <LinksUpToDate>false</LinksUpToDate>
  <CharactersWithSpaces>4637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2022-10-23T19:51:00Z</dcterms:created>
  <dc:creator>周奎良</dc:creator>
  <cp:lastModifiedBy>Administrator</cp:lastModifiedBy>
  <dcterms:modified xsi:type="dcterms:W3CDTF">2022-11-30T03:19:27Z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2A3A7AE21D5B42FBA9A6A445009F3E05</vt:lpwstr>
  </property>
</Properties>
</file>