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180" w:afterAutospacing="0"/>
        <w:ind w:left="0" w:right="0" w:firstLine="0"/>
        <w:jc w:val="center"/>
      </w:pPr>
      <w:r>
        <w:rPr>
          <w:rFonts w:hint="eastAsia" w:ascii="宋体" w:hAnsi="宋体" w:eastAsia="宋体" w:cs="宋体"/>
          <w:b/>
          <w:bCs/>
          <w:sz w:val="48"/>
          <w:szCs w:val="48"/>
        </w:rPr>
        <w:t>招标工程量清单编制说明</w:t>
      </w:r>
    </w:p>
    <w:p>
      <w:pPr>
        <w:pStyle w:val="2"/>
        <w:keepNext w:val="0"/>
        <w:keepLines w:val="0"/>
        <w:widowControl/>
        <w:suppressLineNumbers w:val="0"/>
        <w:spacing w:before="180" w:beforeAutospacing="0" w:after="180" w:afterAutospacing="0"/>
        <w:ind w:left="0" w:right="0" w:firstLine="0"/>
        <w:jc w:val="center"/>
      </w:pPr>
      <w:r>
        <w:rPr>
          <w:rFonts w:hint="eastAsia" w:ascii="宋体" w:hAnsi="宋体" w:eastAsia="宋体" w:cs="宋体"/>
          <w:b/>
          <w:bCs/>
          <w:sz w:val="48"/>
          <w:szCs w:val="48"/>
        </w:rPr>
        <w:t> </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b/>
          <w:bCs/>
          <w:sz w:val="28"/>
          <w:szCs w:val="28"/>
        </w:rPr>
        <w:t>一、工程概况</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工程名称：</w:t>
      </w:r>
      <w:r>
        <w:rPr>
          <w:rFonts w:hint="eastAsia" w:ascii="宋体" w:hAnsi="宋体" w:eastAsia="宋体" w:cs="宋体"/>
          <w:sz w:val="28"/>
          <w:szCs w:val="28"/>
        </w:rPr>
        <w:t>扎赉特旗中医院综合楼二次深化装修项目</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建设地点：扎赉特旗</w:t>
      </w:r>
      <w:bookmarkStart w:id="0" w:name="_GoBack"/>
      <w:bookmarkEnd w:id="0"/>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8"/>
          <w:szCs w:val="28"/>
        </w:rPr>
        <w:t>建筑面积：</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b/>
          <w:bCs/>
          <w:sz w:val="28"/>
          <w:szCs w:val="28"/>
        </w:rPr>
        <w:t>二、编制范围</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工程量清单及招标</w:t>
      </w:r>
      <w:r>
        <w:rPr>
          <w:rFonts w:hint="eastAsia" w:ascii="宋体" w:hAnsi="宋体" w:eastAsia="宋体" w:cs="宋体"/>
          <w:sz w:val="28"/>
          <w:szCs w:val="28"/>
        </w:rPr>
        <w:t>文件</w:t>
      </w:r>
      <w:r>
        <w:rPr>
          <w:rFonts w:hint="eastAsia" w:ascii="宋体" w:hAnsi="宋体" w:eastAsia="宋体" w:cs="宋体"/>
          <w:sz w:val="28"/>
          <w:szCs w:val="28"/>
        </w:rPr>
        <w:t>规定的招标范围</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b/>
          <w:bCs/>
          <w:sz w:val="28"/>
          <w:szCs w:val="28"/>
        </w:rPr>
        <w:t>三、编制依据</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1. 《建设工程工程量清单计价规范》（GB50500-2013）、《房屋建筑与装饰工程工程量计算规范》（GB50854-2013）、《通用安装工程工程量计价规范》（GB50856-2013）、《内蒙古自治区建设工程工程量清单计价规范实施细则》、《2017版内蒙古自治区建设工程计价依据》及现行配套使用文件、相关法规、规范。</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2. 招标人提供的施工图纸。</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3. 与本工程有关的标准（包括标准图集）、规范、技术资料。</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4. 内建标[2019]113号《关于调整内蒙古自治区建设工程计价依据增值税税率的通知》。</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5. 内建标函[2019]468号《关于调整内蒙古自治区建设工程计价依据规费中养老保险费率的通知》。</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6. 内建标[2021]148 号《关于调整内蒙古自治区建设工程现行预算定额人工费的通知》。</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7. 依据《内蒙古自治区建设工程费用定额》规定，以下费用均已计入招标控制价内：</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（1）本项目“材料检验试验费”“建筑工程能效测评费”未计取。</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8"/>
          <w:szCs w:val="28"/>
        </w:rPr>
        <w:t>（2）建筑工人实名制费暂按建设项目招标工期1年57900元计入，为不可竞争费用。</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8. 规费（包括社会保险费、住房公积金、水利建设基金）、税金为不可竞争费用，严格按照规定计取，不得让利和优惠。“安全文明施工措施费为不可竞争费，投标人应当依据《内蒙古自治区建设工程费用定额》（DNM3-200-2017）规定及工程量清单中给定的费率计取，不得让利和优惠。</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9. 兴安盟扎赉特旗2022年第一季度建设工程材料指导价格。</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8"/>
          <w:szCs w:val="28"/>
        </w:rPr>
        <w:t>20.砂浆按湿拌预拌商品砂浆计入。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mM2RjMTIxYzUwZGQxMTI5YzY2NGJjOWQ2ODdlYzAifQ=="/>
  </w:docVars>
  <w:rsids>
    <w:rsidRoot w:val="1BC96F7A"/>
    <w:rsid w:val="1BC96F7A"/>
    <w:rsid w:val="35DE2D38"/>
    <w:rsid w:val="7F526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619</Words>
  <Characters>709</Characters>
  <Lines>0</Lines>
  <Paragraphs>0</Paragraphs>
  <TotalTime>36</TotalTime>
  <ScaleCrop>false</ScaleCrop>
  <LinksUpToDate>false</LinksUpToDate>
  <CharactersWithSpaces>720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2022-07-19T07:31:00Z</dcterms:created>
  <dc:creator>风调雨顺 </dc:creator>
  <cp:lastModifiedBy>风调雨顺 </cp:lastModifiedBy>
  <dcterms:modified xsi:type="dcterms:W3CDTF">2022-07-19T09:29:47Z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6E6BAC9222C5492384DB0F1B886705A2</vt:lpwstr>
  </property>
</Properties>
</file>