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2530" w:firstLineChars="1200"/>
        <w:jc w:val="both"/>
        <w:textAlignment w:val="baseline"/>
        <w:rPr>
          <w:rStyle w:val="6"/>
          <w:rFonts w:ascii="宋体" w:hAnsi="宋体" w:cs="Calibri"/>
          <w:b/>
          <w:bCs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宋体" w:hAnsi="宋体" w:cs="Calibri"/>
          <w:b/>
          <w:bCs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电动三轮垃圾分类环卫车-----配置表</w:t>
      </w:r>
    </w:p>
    <w:p>
      <w:pPr>
        <w:snapToGrid/>
        <w:spacing w:before="0" w:beforeAutospacing="0" w:after="0" w:afterAutospacing="0" w:line="240" w:lineRule="auto"/>
        <w:ind w:firstLine="2530" w:firstLineChars="1200"/>
        <w:jc w:val="both"/>
        <w:textAlignment w:val="baseline"/>
        <w:rPr>
          <w:rStyle w:val="6"/>
          <w:rFonts w:ascii="宋体" w:hAnsi="宋体" w:cs="Calibri"/>
          <w:b/>
          <w:bCs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tbl>
      <w:tblPr>
        <w:tblStyle w:val="7"/>
        <w:tblW w:w="9713" w:type="dxa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45"/>
        <w:gridCol w:w="75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技 术 参 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额定乘员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整车尺寸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2700</w:t>
            </w:r>
            <w:r>
              <w:rPr>
                <w:rStyle w:val="6"/>
                <w:rFonts w:ascii="Arial" w:hAnsi="Arial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900</w:t>
            </w:r>
            <w:r>
              <w:rPr>
                <w:rStyle w:val="6"/>
                <w:rFonts w:ascii="Arial" w:hAnsi="Arial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×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1300mm±30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箱体尺寸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1300</w:t>
            </w:r>
            <w:r>
              <w:rPr>
                <w:rStyle w:val="6"/>
                <w:rFonts w:ascii="Arial" w:hAnsi="Arial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×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900</w:t>
            </w:r>
            <w:r>
              <w:rPr>
                <w:rStyle w:val="6"/>
                <w:rFonts w:ascii="Arial" w:hAnsi="Arial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×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650mm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±10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轴    距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1840mm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±20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轮    距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760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±10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最小离地间隙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120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mm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±10</w:t>
            </w: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最小转弯半径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3 m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-3.5m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最大爬坡度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15°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最高车速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35 km/h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整备质量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200 kg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±30kg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额定载荷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300kg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±30kg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充电时间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6--8小时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箱体容积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750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L±20L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电 气 系 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电  机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48V800W高磁钢无刷差速电机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电  控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61" w:firstLineChars="34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48V15管无刷控制器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电  池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48V32Ah免维护电池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充电器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便携式智能全自动充电器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灯光及信号</w:t>
            </w:r>
          </w:p>
        </w:tc>
        <w:tc>
          <w:tcPr>
            <w:tcW w:w="7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LED大灯、左右转向灯、刹车灯、行车灯、仪表、电喇叭、倒车喇叭等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底 盘 系 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车  架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30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整体焊接一体大梁 + 烤漆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动力传动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3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后置驱动,配备前进和倒档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转  向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3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龙头把式转向机构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悬  架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前悬架：减震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后悬架：钢板弹簧式非独立悬架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后  桥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分体式差速后桥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制  动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脚踩机械连杆鼓式后轮制动 + 左手把式软轴前轮制动 + 手动机械驻车制动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轮  胎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前轮：3.00-12   后轮：3.00-12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仪表台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注塑成型液晶仪表，电源锁，组合开关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座  椅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皮革软座椅+皮革软靠背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油  漆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高级汽车专用油漆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="90" w:firstLineChars="50"/>
              <w:jc w:val="both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箱  体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箱体设计符合环卫需求，全密闭结构，杜绝作业中的垃圾滴撒抛漏。箱体可旋转，垃圾可一次性倾倒，显著提高工作效率。箱体上盖左右分开，投放倾倒合理，后门随车箱高度自动打开，箱体</w:t>
            </w:r>
            <w:r>
              <w:rPr>
                <w:rStyle w:val="6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尺寸要求：</w:t>
            </w:r>
            <w:bookmarkStart w:id="0" w:name="_GoBack"/>
            <w:bookmarkEnd w:id="0"/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1.3*0.9*0.7m</w:t>
            </w: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6"/>
          <w:rFonts w:ascii="宋体" w:hAnsi="宋体" w:cs="Calibri"/>
          <w:b/>
          <w:bCs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</w:pPr>
    </w:p>
    <w:sectPr>
      <w:pgSz w:w="11906" w:h="16838"/>
      <w:pgMar w:top="1134" w:right="1134" w:bottom="850" w:left="1134" w:header="1134" w:footer="567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10B12B54"/>
    <w:rsid w:val="458B0E4B"/>
    <w:rsid w:val="65146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5">
    <w:name w:val="Hyperlink"/>
    <w:basedOn w:val="6"/>
    <w:link w:val="1"/>
    <w:qFormat/>
    <w:uiPriority w:val="0"/>
    <w:rPr>
      <w:color w:val="0000FF"/>
      <w:u w:val="single"/>
    </w:rPr>
  </w:style>
  <w:style w:type="character" w:customStyle="1" w:styleId="6">
    <w:name w:val="NormalCharacter"/>
    <w:link w:val="1"/>
    <w:qFormat/>
    <w:uiPriority w:val="0"/>
  </w:style>
  <w:style w:type="paragraph" w:customStyle="1" w:styleId="8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center"/>
      <w:textAlignment w:val="baseline"/>
    </w:pPr>
    <w:rPr>
      <w:rFonts w:ascii="黑体" w:eastAsia="黑体" w:cs="Calibri"/>
      <w:b/>
      <w:bCs/>
      <w:kern w:val="44"/>
      <w:sz w:val="44"/>
      <w:szCs w:val="44"/>
      <w:lang w:val="en-US" w:eastAsia="zh-CN" w:bidi="ar-SA"/>
    </w:rPr>
  </w:style>
  <w:style w:type="table" w:customStyle="1" w:styleId="9">
    <w:name w:val="TableNormal"/>
    <w:qFormat/>
    <w:uiPriority w:val="0"/>
  </w:style>
  <w:style w:type="paragraph" w:customStyle="1" w:styleId="10">
    <w:name w:val="BodyTextIndent"/>
    <w:basedOn w:val="1"/>
    <w:qFormat/>
    <w:uiPriority w:val="0"/>
    <w:pPr>
      <w:spacing w:line="480" w:lineRule="exact"/>
      <w:ind w:firstLine="504" w:firstLineChars="200"/>
      <w:jc w:val="both"/>
      <w:textAlignment w:val="baseline"/>
    </w:pPr>
    <w:rPr>
      <w:rFonts w:ascii="宋体" w:hAnsi="宋体"/>
      <w:spacing w:val="6"/>
      <w:kern w:val="2"/>
      <w:position w:val="16"/>
      <w:sz w:val="24"/>
      <w:szCs w:val="24"/>
      <w:lang w:val="en-US" w:eastAsia="zh-CN" w:bidi="ar-SA"/>
    </w:rPr>
  </w:style>
  <w:style w:type="paragraph" w:customStyle="1" w:styleId="11">
    <w:name w:val="BlockQuote"/>
    <w:basedOn w:val="1"/>
    <w:qFormat/>
    <w:uiPriority w:val="0"/>
    <w:pPr>
      <w:spacing w:line="240" w:lineRule="atLeast"/>
      <w:ind w:left="420" w:right="-287" w:firstLine="60"/>
      <w:jc w:val="both"/>
      <w:textAlignment w:val="baseline"/>
    </w:pPr>
    <w:rPr>
      <w:kern w:val="2"/>
      <w:sz w:val="30"/>
      <w:szCs w:val="20"/>
      <w:lang w:val="en-US" w:eastAsia="zh-CN" w:bidi="ar-SA"/>
    </w:rPr>
  </w:style>
  <w:style w:type="paragraph" w:customStyle="1" w:styleId="12">
    <w:name w:val="BodyTextIndent2"/>
    <w:basedOn w:val="1"/>
    <w:qFormat/>
    <w:uiPriority w:val="0"/>
    <w:pPr>
      <w:spacing w:after="120" w:line="480" w:lineRule="auto"/>
      <w:ind w:left="420" w:leftChars="200"/>
      <w:jc w:val="both"/>
      <w:textAlignment w:val="baseline"/>
    </w:pPr>
  </w:style>
  <w:style w:type="paragraph" w:customStyle="1" w:styleId="13">
    <w:name w:val="BodyTextIndent3"/>
    <w:basedOn w:val="1"/>
    <w:qFormat/>
    <w:uiPriority w:val="0"/>
    <w:pPr>
      <w:spacing w:after="120"/>
      <w:ind w:left="420" w:leftChars="200"/>
      <w:jc w:val="both"/>
      <w:textAlignment w:val="baseline"/>
    </w:pPr>
    <w:rPr>
      <w:kern w:val="2"/>
      <w:sz w:val="16"/>
      <w:szCs w:val="16"/>
      <w:lang w:val="en-US" w:eastAsia="zh-CN" w:bidi="ar-SA"/>
    </w:rPr>
  </w:style>
  <w:style w:type="table" w:customStyle="1" w:styleId="14">
    <w:name w:val="TableGrid"/>
    <w:basedOn w:val="9"/>
    <w:qFormat/>
    <w:uiPriority w:val="0"/>
  </w:style>
  <w:style w:type="paragraph" w:customStyle="1" w:styleId="15">
    <w:name w:val="179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Office_10.1.0.7346_F1E327BC-269C-435d-A152-05C5408002CA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2022-05-06T01:02:00Z</dcterms:created>
  <dc:creator>Administrator</dc:creator>
  <cp:lastModifiedBy>A吉利小苏15847923055</cp:lastModifiedBy>
  <dcterms:modified xsi:type="dcterms:W3CDTF">2022-05-06T01:45:53Z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