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eastAsia="宋体"/>
          <w:sz w:val="40"/>
          <w:szCs w:val="40"/>
          <w:lang w:val="en-US" w:eastAsia="zh-CN"/>
        </w:rPr>
      </w:pPr>
      <w:r>
        <w:rPr>
          <w:rFonts w:hint="eastAsia"/>
          <w:sz w:val="40"/>
          <w:szCs w:val="40"/>
          <w:lang w:val="en-US" w:eastAsia="zh-CN"/>
        </w:rPr>
        <w:t>采购需求及技术参数</w:t>
      </w:r>
    </w:p>
    <w:p>
      <w:pPr>
        <w:pStyle w:val="4"/>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1.采购货物清单</w:t>
      </w:r>
    </w:p>
    <w:tbl>
      <w:tblPr>
        <w:tblStyle w:val="7"/>
        <w:tblW w:w="8926" w:type="dxa"/>
        <w:jc w:val="center"/>
        <w:tblInd w:w="0" w:type="dxa"/>
        <w:tblLayout w:type="fixed"/>
        <w:tblCellMar>
          <w:top w:w="0" w:type="dxa"/>
          <w:left w:w="108" w:type="dxa"/>
          <w:bottom w:w="0" w:type="dxa"/>
          <w:right w:w="108" w:type="dxa"/>
        </w:tblCellMar>
      </w:tblPr>
      <w:tblGrid>
        <w:gridCol w:w="1000"/>
        <w:gridCol w:w="3390"/>
        <w:gridCol w:w="1275"/>
        <w:gridCol w:w="1701"/>
        <w:gridCol w:w="1560"/>
      </w:tblGrid>
      <w:tr>
        <w:tblPrEx>
          <w:tblLayout w:type="fixed"/>
          <w:tblCellMar>
            <w:top w:w="0" w:type="dxa"/>
            <w:left w:w="108" w:type="dxa"/>
            <w:bottom w:w="0" w:type="dxa"/>
            <w:right w:w="108" w:type="dxa"/>
          </w:tblCellMar>
        </w:tblPrEx>
        <w:trPr>
          <w:trHeight w:val="636" w:hRule="atLeast"/>
          <w:tblHeade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39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701"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56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服务器内存扩容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条</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存储扩容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块</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存储设备</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服务器硬盘扩容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块</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服务器内存扩容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条</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终端安全管理系统</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套</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虚拟化安全管理系统</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70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套</w:t>
            </w:r>
          </w:p>
        </w:tc>
        <w:tc>
          <w:tcPr>
            <w:tcW w:w="15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6"/>
        <w:pageBreakBefore w:val="0"/>
        <w:kinsoku/>
        <w:wordWrap/>
        <w:overflowPunct/>
        <w:topLinePunct w:val="0"/>
        <w:autoSpaceDE/>
        <w:autoSpaceDN/>
        <w:bidi w:val="0"/>
        <w:adjustRightInd/>
        <w:snapToGrid/>
        <w:spacing w:line="400" w:lineRule="exact"/>
        <w:ind w:firstLine="0" w:firstLineChars="0"/>
        <w:rPr>
          <w:rFonts w:hint="eastAsia" w:ascii="宋体" w:hAnsi="宋体" w:eastAsia="宋体" w:cs="宋体"/>
          <w:sz w:val="24"/>
          <w:szCs w:val="24"/>
        </w:rPr>
      </w:pPr>
    </w:p>
    <w:p>
      <w:pPr>
        <w:pStyle w:val="4"/>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2.技术参数</w:t>
      </w:r>
    </w:p>
    <w:p>
      <w:pPr>
        <w:pStyle w:val="6"/>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rPr>
      </w:pPr>
    </w:p>
    <w:tbl>
      <w:tblPr>
        <w:tblStyle w:val="7"/>
        <w:tblW w:w="86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1139"/>
        <w:gridCol w:w="1362"/>
        <w:gridCol w:w="5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技术指标名称</w:t>
            </w:r>
          </w:p>
        </w:tc>
        <w:tc>
          <w:tcPr>
            <w:tcW w:w="573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服务器内</w:t>
            </w:r>
            <w:r>
              <w:rPr>
                <w:rFonts w:hint="eastAsia" w:ascii="宋体" w:hAnsi="宋体" w:cs="宋体"/>
                <w:i w:val="0"/>
                <w:iCs w:val="0"/>
                <w:color w:val="000000"/>
                <w:kern w:val="0"/>
                <w:sz w:val="24"/>
                <w:szCs w:val="24"/>
                <w:u w:val="none"/>
                <w:lang w:val="en-US" w:eastAsia="zh-CN" w:bidi="ar"/>
              </w:rPr>
              <w:t>存</w:t>
            </w:r>
            <w:r>
              <w:rPr>
                <w:rFonts w:hint="eastAsia" w:ascii="宋体" w:hAnsi="宋体" w:eastAsia="宋体" w:cs="宋体"/>
                <w:i w:val="0"/>
                <w:iCs w:val="0"/>
                <w:color w:val="000000"/>
                <w:kern w:val="0"/>
                <w:sz w:val="24"/>
                <w:szCs w:val="24"/>
                <w:u w:val="none"/>
                <w:lang w:val="en-US" w:eastAsia="zh-CN" w:bidi="ar"/>
              </w:rPr>
              <w:t>扩容</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DDR3</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RDIMM,16GB,240pin,1.25ns,1600</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M</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Hz,1.35V,ECC,2Rank(1G*4bit)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存储硬盘扩容</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8TB 7.2K RPM NL SAS硬盘单元(3.5")-</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3.5英寸(3.5英寸托架)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存储设备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基础规格</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1.国产品牌，规格：2U,双控,SAS；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缓存</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★2.系统内总一级缓存容量配置≥128GB，且任意控制器一级缓存容量≥64GB；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★3.采用A-A架构双控制器，可以提供A-A架构的SAN与NAS业务双活；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★4.控制器总处理器核心数≥40核；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端口</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★5.配置≥8个1Gb ETH，配置≥4个10Gb ETH(含多模模块)，配置≥8个16Gb FC（含多模模块）；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★6.配置≥4块480GB 固态硬盘，配置≥25块1.2TB SAS硬盘；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数据安全</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7.支持三盘同时故障。任意三块成员盘同时故障，不影响SAN和NAS业务的连续性和数据一致性，并提供具备CNAS(中国合格评定国家认可委员会)资质的第三方权威评测机构签字盖章的测试报告，加盖投标商公章；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8.提供精简卷、快照、远程复制、双活、克隆、Qos、CDP、多路径功能；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数据加密</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9.支持数据加密功能，可以通过与外置密管的配合实现数据的加密。数据加密模块通过国家密码管理局《商用密码产品认证证书》，提供证书复印件并加盖投标商公章；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市场排名</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10.要求投标存储品牌为近三年（2020-2022）IDC中国企业存储市场出货量前四名品牌，提供IDC数据引用授权书证明加盖投标商公章；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多路径</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11.投标存储品牌提供专有多路径（非操作系统自带多路径）软件，提供故障切换和负载均衡功能，支持麒麟、凝思（Rocky）、红旗（Red Flag）等主流国产操作系统，提供证明材料并加盖投标商公章；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服务器硬盘扩容</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★1.通用硬盘-1200GB-SAS 12Gb/s-10K rpm-128MB及以上-2.5英寸(2.5英寸托架)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服务器内存扩容</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★1.DDR4 RDIMM内存-32GB-2933MT/s-2Rank(2G*4bit)-1.2V-ECC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终端安全管理系统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★含200点PC客户端授权，（包括100个windows客户端授权、100个国产操作系统客户端授权）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维保服务</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含三年功能、病毒特征库、补丁规则库更新服务。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控制中心要求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控制中心支持单机部署和集群部署两种方式，控制中心根据客户端点数的增加支持横向扩展；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管理中心操作系统支持Windows Server 2012 R2/2016/2019/2022的64位版本（简体中文版）；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highlight w:val="none"/>
                <w:u w:val="none"/>
                <w:lang w:val="en-US" w:eastAsia="zh-CN" w:bidi="ar"/>
              </w:rPr>
              <w:t>主流linux</w:t>
            </w:r>
            <w:r>
              <w:rPr>
                <w:rFonts w:hint="eastAsia" w:ascii="宋体" w:hAnsi="宋体" w:eastAsia="宋体" w:cs="宋体"/>
                <w:i w:val="0"/>
                <w:iCs w:val="0"/>
                <w:color w:val="000000"/>
                <w:kern w:val="0"/>
                <w:sz w:val="24"/>
                <w:szCs w:val="24"/>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控制中心支持安装在虚拟机上；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控制中心支持级联管理，亦可单机和集群部署混合级联；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windows客户端</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操作系统：支持主流windows桌面端操作系统；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国产化客户端</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操作系统：支持银河麒麟、统信UOS国产操作系统。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终端许可管理</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支持按照终端类型/分组统计及分配管理每个功能的终端授权使用数量。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语言要求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产品全功能支持简体中文/英语自由切换。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分组、计算机名称、IP地址、MAC地址、通信IP地址、接入点、客户端类型、操作系统类型、操作系统版本等条件的组合筛选出符合条件的终端进行管理，自由对终端进行转移分组、删除终端、重启系统和终端跃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支持定时公告功能，可配置开机显示、周期显示和立即推送。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支持自动分组，按IP地址、主机名、计算机工作组等参数进行自动动态调整分组。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管理控制中心当登录账号输入密码错误次数超过锁定阈值后账号将被锁定，且可设置锁定时间，该时间内账号登录请求不被接受。同时应支持双因子认证登录方式，提高安全性。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客户端主程序、病毒库版本支持按分组和多批次进行灰度更新，保持在低风险中完成终端能力更新。支持设置不同终端类型设置和每批次观察时长。当检测到新版本将从第一批次重新观察。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支持不同分组，客户端轻量化模式一键切换功能；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管理控制中心首页支持图形监测当前控制中心的CPU、内存、硬盘占用百分比。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支持自定义告警规则，例如系统一段时间内病毒和未知文件超过一定数量后会通过邮件发送给收件人查阅。支持邮件和阿里云平台的短信告警通知。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客户端管理</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支持终端密码保护功能，支持终端“防退出”密码保护、“防卸载”密码保护。支持设置自我保护功能，可有效防止客户端进程被恶意终止、注入、提高客户端进程、数据、配置的安全性。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支持自定义定制客户端标题、皮肤、语言、产品LOGO、企业LOGO、认证弹窗LOGO。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黑白名单功能、支持病毒扫描功能、支持主动防御功能、支持网络防护功能、支持ARP攻击防护、支持病毒处理、支持杀毒引擎混合使用、支持WIN7防护、支持补丁更新功能、支持漏洞修复设置、支持补丁日志功能、支持访问控制、外设管理、进程管理、知识库、违规外联、能耗管理、网络防护、注册管理、授权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产品资质</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提供公安部颁发的《计算机信息系统安全专用产品销售许可证》和检测报告。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虚拟化安全管理系统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★含90点linux客户端授权，10点windows客户端授权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维保服务</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含三年服务授权（包含防病毒+防火墙+入侵防御+webshell检测功能），包括：7x24远程电话支持服务、相应模块规则库升级、模块软件升级，以及三年威胁情报支持服务。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架构要求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系统需要支持B/S架构，管理员可只通过浏览器登录控制中心，即可对系统进行管理。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部署要求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系统需支持无代理部署模式及有代理部署模式，以便结合管理需求选择相应部署模式；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需支持一套管控中心统一管理，包括有代理、无代理部署模式统一管理；物理服务器、虚拟服务器统一管理；Windows、Linux、信创操作系统统一管理；私有云、公有云、容器环境统一管理；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系统需支持自带高性能数据库，不需要额外单独采购数据库。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系统需要可独立完成管理、自带升级功能、特征库升级、代理云查功能，无需额外部署升级服务器、代理服务器等节点。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可支持无需安装任何安全软件客户端，可以对虚拟机进行实时防护，降低客户端资源占用，当虚拟机关闭或休眠时，安全策略、安全特征库仍可保持更新，避免虚拟机状态改变带来的防护间隙。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支持与多租户架构虚拟化平台深度整合，无需单独额外授权开启。(提供功能截图)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操作系统支持</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支持windows/linux主流操作系统（不限于下）：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1、Windows Server 2003、2008、2012、2016、2019；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2、Windows 7、Windows 8、Windows 10、Windows Vista；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3、RedHat Enterprise Linux 6.0-7.7、CentOS6.0-8.4、Ubuntu 10.04-20.04、SUSE 11、12、15 、中兴新支点NewStart、BC-linux、openEuler、EulerOS、Deepin、NeoKylin Linux等操作系统。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支持病毒查杀功能、风险发现功能、Webshell检测功能、入侵防御功能、分析呈现功能、日志功能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产品资质</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提供公安部颁发的《计算机信息系统安全专用产品销售许可证》和检测报告。</w:t>
            </w:r>
          </w:p>
        </w:tc>
      </w:tr>
    </w:tbl>
    <w:p>
      <w:pPr>
        <w:pStyle w:val="6"/>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rPr>
      </w:pPr>
    </w:p>
    <w:p>
      <w:pPr>
        <w:pStyle w:val="4"/>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3.技术要求</w:t>
      </w:r>
    </w:p>
    <w:p>
      <w:pPr>
        <w:pageBreakBefore w:val="0"/>
        <w:kinsoku/>
        <w:wordWrap/>
        <w:overflowPunct/>
        <w:topLinePunct w:val="0"/>
        <w:autoSpaceDE/>
        <w:autoSpaceDN/>
        <w:bidi w:val="0"/>
        <w:adjustRightInd/>
        <w:snapToGrid/>
        <w:spacing w:line="40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.）服务器CPU、内存扩容技术要求：</w:t>
      </w:r>
    </w:p>
    <w:p>
      <w:pPr>
        <w:pageBreakBefore w:val="0"/>
        <w:kinsoku/>
        <w:wordWrap/>
        <w:overflowPunct/>
        <w:topLinePunct w:val="0"/>
        <w:autoSpaceDE/>
        <w:autoSpaceDN/>
        <w:bidi w:val="0"/>
        <w:adjustRightInd/>
        <w:snapToGrid/>
        <w:spacing w:line="400" w:lineRule="exact"/>
        <w:ind w:firstLine="560"/>
        <w:rPr>
          <w:rFonts w:hint="eastAsia" w:ascii="宋体" w:hAnsi="宋体" w:eastAsia="宋体" w:cs="宋体"/>
          <w:kern w:val="0"/>
          <w:sz w:val="24"/>
          <w:szCs w:val="24"/>
        </w:rPr>
      </w:pPr>
      <w:r>
        <w:rPr>
          <w:rFonts w:hint="eastAsia" w:ascii="宋体" w:hAnsi="宋体" w:eastAsia="宋体" w:cs="宋体"/>
          <w:kern w:val="0"/>
          <w:sz w:val="24"/>
          <w:szCs w:val="24"/>
        </w:rPr>
        <w:t>本次采购CPU和内存是为我</w:t>
      </w:r>
      <w:r>
        <w:rPr>
          <w:rFonts w:hint="eastAsia" w:ascii="宋体" w:hAnsi="宋体" w:eastAsia="宋体" w:cs="宋体"/>
          <w:kern w:val="0"/>
          <w:sz w:val="24"/>
          <w:szCs w:val="24"/>
          <w:lang w:val="en-US" w:eastAsia="zh-CN"/>
        </w:rPr>
        <w:t>单位数据中心</w:t>
      </w:r>
      <w:r>
        <w:rPr>
          <w:rFonts w:hint="eastAsia" w:ascii="宋体" w:hAnsi="宋体" w:eastAsia="宋体" w:cs="宋体"/>
          <w:kern w:val="0"/>
          <w:sz w:val="24"/>
          <w:szCs w:val="24"/>
        </w:rPr>
        <w:t>服务器华为RH588</w:t>
      </w:r>
      <w:r>
        <w:rPr>
          <w:rFonts w:hint="eastAsia" w:ascii="宋体" w:hAnsi="宋体" w:eastAsia="宋体" w:cs="宋体"/>
          <w:kern w:val="0"/>
          <w:sz w:val="24"/>
          <w:szCs w:val="24"/>
          <w:lang w:val="en-US" w:eastAsia="zh-CN"/>
        </w:rPr>
        <w:t xml:space="preserve">5 </w:t>
      </w:r>
      <w:r>
        <w:rPr>
          <w:rFonts w:hint="eastAsia" w:ascii="宋体" w:hAnsi="宋体" w:eastAsia="宋体" w:cs="宋体"/>
          <w:kern w:val="0"/>
          <w:sz w:val="24"/>
          <w:szCs w:val="24"/>
        </w:rPr>
        <w:t>V3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2288H V5</w:t>
      </w:r>
      <w:r>
        <w:rPr>
          <w:rFonts w:hint="eastAsia" w:ascii="宋体" w:hAnsi="宋体" w:eastAsia="宋体" w:cs="宋体"/>
          <w:kern w:val="0"/>
          <w:sz w:val="24"/>
          <w:szCs w:val="24"/>
        </w:rPr>
        <w:t>服务器进行</w:t>
      </w:r>
      <w:r>
        <w:rPr>
          <w:rFonts w:hint="eastAsia" w:ascii="宋体" w:hAnsi="宋体" w:eastAsia="宋体" w:cs="宋体"/>
          <w:kern w:val="0"/>
          <w:sz w:val="24"/>
          <w:szCs w:val="24"/>
          <w:lang w:val="en-US" w:eastAsia="zh-CN"/>
        </w:rPr>
        <w:t>硬盘</w:t>
      </w:r>
      <w:r>
        <w:rPr>
          <w:rFonts w:hint="eastAsia" w:ascii="宋体" w:hAnsi="宋体" w:eastAsia="宋体" w:cs="宋体"/>
          <w:kern w:val="0"/>
          <w:sz w:val="24"/>
          <w:szCs w:val="24"/>
        </w:rPr>
        <w:t>和内存扩容，因扩容服务器为重要业务数据服务器，割接期间保障我单位数据业务不能中断、数据不能丢失。割接过程中需要的</w:t>
      </w:r>
      <w:r>
        <w:rPr>
          <w:rFonts w:hint="eastAsia" w:ascii="宋体" w:hAnsi="宋体" w:eastAsia="宋体" w:cs="宋体"/>
          <w:kern w:val="0"/>
          <w:sz w:val="24"/>
          <w:szCs w:val="24"/>
          <w:lang w:val="en-US" w:eastAsia="zh-CN"/>
        </w:rPr>
        <w:t>数据备份设备、</w:t>
      </w:r>
      <w:r>
        <w:rPr>
          <w:rFonts w:hint="eastAsia" w:ascii="宋体" w:hAnsi="宋体" w:eastAsia="宋体" w:cs="宋体"/>
          <w:kern w:val="0"/>
          <w:sz w:val="24"/>
          <w:szCs w:val="24"/>
        </w:rPr>
        <w:t>辅助设备</w:t>
      </w:r>
      <w:r>
        <w:rPr>
          <w:rFonts w:hint="eastAsia" w:ascii="宋体" w:hAnsi="宋体" w:eastAsia="宋体" w:cs="宋体"/>
          <w:kern w:val="0"/>
          <w:sz w:val="24"/>
          <w:szCs w:val="24"/>
          <w:lang w:val="en-US" w:eastAsia="zh-CN"/>
        </w:rPr>
        <w:t>以及</w:t>
      </w:r>
      <w:r>
        <w:rPr>
          <w:rFonts w:hint="eastAsia" w:ascii="宋体" w:hAnsi="宋体" w:eastAsia="宋体" w:cs="宋体"/>
          <w:kern w:val="0"/>
          <w:sz w:val="24"/>
          <w:szCs w:val="24"/>
        </w:rPr>
        <w:t>相关材料等由供应商提供。</w:t>
      </w:r>
    </w:p>
    <w:p>
      <w:pPr>
        <w:pageBreakBefore w:val="0"/>
        <w:kinsoku/>
        <w:wordWrap/>
        <w:overflowPunct/>
        <w:topLinePunct w:val="0"/>
        <w:autoSpaceDE/>
        <w:autoSpaceDN/>
        <w:bidi w:val="0"/>
        <w:adjustRightInd/>
        <w:snapToGrid/>
        <w:spacing w:line="40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存储设备技术</w:t>
      </w:r>
      <w:r>
        <w:rPr>
          <w:rFonts w:hint="eastAsia" w:ascii="宋体" w:hAnsi="宋体" w:eastAsia="宋体" w:cs="宋体"/>
          <w:kern w:val="0"/>
          <w:sz w:val="24"/>
          <w:szCs w:val="24"/>
        </w:rPr>
        <w:t>要求：</w:t>
      </w:r>
    </w:p>
    <w:p>
      <w:pPr>
        <w:pageBreakBefore w:val="0"/>
        <w:kinsoku/>
        <w:wordWrap/>
        <w:overflowPunct/>
        <w:topLinePunct w:val="0"/>
        <w:autoSpaceDE/>
        <w:autoSpaceDN/>
        <w:bidi w:val="0"/>
        <w:adjustRightInd/>
        <w:snapToGrid/>
        <w:spacing w:line="400" w:lineRule="exact"/>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次采购存储设备是为我单位数据中心现有存储设备备份使用，要求与现有华为存储设备实现双活备份功能。供应商提供设备调试服务，因本次采购存储设备要实现我单位核心生产数据存储设备双活备份。供应商在项目实施前要做好充足的项目实施方案、应急方案、回退方案等。并对项目实施方案进行预演练，演练无误后方可进行实施。供应商调试过程中保障</w:t>
      </w:r>
      <w:r>
        <w:rPr>
          <w:rFonts w:hint="eastAsia" w:ascii="宋体" w:hAnsi="宋体" w:eastAsia="宋体" w:cs="宋体"/>
          <w:kern w:val="0"/>
          <w:sz w:val="24"/>
          <w:szCs w:val="24"/>
        </w:rPr>
        <w:t>我单位数据业务不能中断、数据不能丢失。</w:t>
      </w:r>
      <w:r>
        <w:rPr>
          <w:rFonts w:hint="eastAsia" w:ascii="宋体" w:hAnsi="宋体" w:eastAsia="宋体" w:cs="宋体"/>
          <w:kern w:val="0"/>
          <w:sz w:val="24"/>
          <w:szCs w:val="24"/>
          <w:lang w:val="en-US" w:eastAsia="zh-CN"/>
        </w:rPr>
        <w:t>涉及调试过程中所需要的数据备份设备、其他辅助设备以及相关材料等由供应商提供。</w:t>
      </w:r>
    </w:p>
    <w:p>
      <w:pPr>
        <w:pageBreakBefore w:val="0"/>
        <w:numPr>
          <w:ilvl w:val="0"/>
          <w:numId w:val="1"/>
        </w:numPr>
        <w:kinsoku/>
        <w:wordWrap/>
        <w:overflowPunct/>
        <w:topLinePunct w:val="0"/>
        <w:autoSpaceDE/>
        <w:autoSpaceDN/>
        <w:bidi w:val="0"/>
        <w:adjustRightInd/>
        <w:snapToGrid/>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终端安全管理系统技术</w:t>
      </w:r>
      <w:r>
        <w:rPr>
          <w:rFonts w:hint="eastAsia" w:ascii="宋体" w:hAnsi="宋体" w:eastAsia="宋体" w:cs="宋体"/>
          <w:kern w:val="0"/>
          <w:sz w:val="24"/>
          <w:szCs w:val="24"/>
        </w:rPr>
        <w:t>要求：</w:t>
      </w:r>
    </w:p>
    <w:p>
      <w:pPr>
        <w:pStyle w:val="2"/>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rPr>
        <w:t>本次采购终端安全管理系统是为我单位盟中心和12个旗县管理部所有业务终端电脑安装。虚拟化安全管理系统是我单位核心业务虚拟化平台安装。供应商调试过程中保障</w:t>
      </w:r>
      <w:r>
        <w:rPr>
          <w:rFonts w:hint="eastAsia" w:ascii="宋体" w:hAnsi="宋体" w:eastAsia="宋体" w:cs="宋体"/>
          <w:kern w:val="0"/>
          <w:sz w:val="24"/>
          <w:szCs w:val="24"/>
        </w:rPr>
        <w:t>我单位数据业务不能中断、数据不能丢失。</w:t>
      </w:r>
      <w:r>
        <w:rPr>
          <w:rFonts w:hint="eastAsia" w:ascii="宋体" w:hAnsi="宋体" w:eastAsia="宋体" w:cs="宋体"/>
          <w:kern w:val="0"/>
          <w:sz w:val="24"/>
          <w:szCs w:val="24"/>
          <w:lang w:val="en-US" w:eastAsia="zh-CN"/>
        </w:rPr>
        <w:t>涉及调试过程中所需要的数据备份设备、其他辅助设备、相关材料以及差旅费用等由供应商提供。</w:t>
      </w:r>
    </w:p>
    <w:p>
      <w:pPr>
        <w:pStyle w:val="2"/>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40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要求：</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本次服务器扩容设备、存储设备均为我单位数据中心核心设备扩容，为保障项目顺利进行，供应商应</w:t>
      </w:r>
      <w:r>
        <w:rPr>
          <w:rFonts w:hint="eastAsia" w:ascii="宋体" w:hAnsi="宋体" w:eastAsia="宋体" w:cs="宋体"/>
          <w:kern w:val="0"/>
          <w:sz w:val="24"/>
          <w:szCs w:val="24"/>
        </w:rPr>
        <w:t>委派华为原厂售后工程师进行设备扩容。</w:t>
      </w:r>
    </w:p>
    <w:p>
      <w:pPr>
        <w:pStyle w:val="3"/>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商务要求</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.1质保周期：1年。</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 xml:space="preserve">.2交货地点：用户指定交货地点。 </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.3交货期：签订合同后30个工作日内交付安装完毕。</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.4付款方式：签订合同后支付合同总额的</w:t>
      </w:r>
      <w:r>
        <w:rPr>
          <w:rFonts w:hint="eastAsia" w:ascii="宋体" w:hAnsi="宋体" w:cs="宋体"/>
          <w:sz w:val="24"/>
          <w:szCs w:val="24"/>
          <w:lang w:val="en-US" w:eastAsia="zh-CN"/>
        </w:rPr>
        <w:t>40</w:t>
      </w:r>
      <w:r>
        <w:rPr>
          <w:rFonts w:hint="eastAsia" w:ascii="宋体" w:hAnsi="宋体" w:eastAsia="宋体" w:cs="宋体"/>
          <w:sz w:val="24"/>
          <w:szCs w:val="24"/>
        </w:rPr>
        <w:t>%，到货验收合格后支付合同总额的</w:t>
      </w:r>
      <w:r>
        <w:rPr>
          <w:rFonts w:hint="eastAsia" w:ascii="宋体" w:hAnsi="宋体" w:cs="宋体"/>
          <w:sz w:val="24"/>
          <w:szCs w:val="24"/>
          <w:lang w:val="en-US" w:eastAsia="zh-CN"/>
        </w:rPr>
        <w:t>55</w:t>
      </w:r>
      <w:r>
        <w:rPr>
          <w:rFonts w:hint="eastAsia" w:ascii="宋体" w:hAnsi="宋体" w:eastAsia="宋体" w:cs="宋体"/>
          <w:sz w:val="24"/>
          <w:szCs w:val="24"/>
        </w:rPr>
        <w:t>%，剩余合同额的</w:t>
      </w:r>
      <w:r>
        <w:rPr>
          <w:rFonts w:hint="eastAsia" w:ascii="宋体" w:hAnsi="宋体" w:eastAsia="宋体" w:cs="宋体"/>
          <w:sz w:val="24"/>
          <w:szCs w:val="24"/>
          <w:lang w:val="en-US" w:eastAsia="zh-CN"/>
        </w:rPr>
        <w:t>5</w:t>
      </w:r>
      <w:r>
        <w:rPr>
          <w:rFonts w:hint="eastAsia" w:ascii="宋体" w:hAnsi="宋体" w:eastAsia="宋体" w:cs="宋体"/>
          <w:sz w:val="24"/>
          <w:szCs w:val="24"/>
        </w:rPr>
        <w:t>%为质保金，根据售后服务情况支付。</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.5售后服务要求：</w:t>
      </w:r>
      <w:bookmarkStart w:id="0" w:name="_GoBack"/>
      <w:bookmarkEnd w:id="0"/>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eastAsia="宋体" w:cs="宋体"/>
          <w:sz w:val="24"/>
          <w:szCs w:val="24"/>
        </w:rPr>
        <w:t>1）在质保期内投标人对所投产品在使用过程中出现的故障和零配件磨损问题免费提供维修和更换。</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eastAsia="宋体" w:cs="宋体"/>
          <w:sz w:val="24"/>
          <w:szCs w:val="24"/>
        </w:rPr>
        <w:t>2）投标人在接到用户维修通知后0.5小时响应，2小时内排除故障（节假日照常服务）。</w:t>
      </w:r>
    </w:p>
    <w:p>
      <w:pPr>
        <w:pStyle w:val="9"/>
        <w:pageBreakBefore w:val="0"/>
        <w:kinsoku/>
        <w:wordWrap/>
        <w:overflowPunct/>
        <w:topLinePunct w:val="0"/>
        <w:autoSpaceDE/>
        <w:autoSpaceDN/>
        <w:bidi w:val="0"/>
        <w:adjustRightInd/>
        <w:snapToGrid/>
        <w:spacing w:line="400" w:lineRule="exact"/>
        <w:ind w:right="57" w:firstLine="360" w:firstLineChars="150"/>
        <w:rPr>
          <w:rFonts w:hint="eastAsia" w:ascii="宋体" w:hAnsi="宋体" w:eastAsia="宋体" w:cs="宋体"/>
          <w:sz w:val="24"/>
          <w:szCs w:val="24"/>
        </w:rPr>
      </w:pPr>
      <w:r>
        <w:rPr>
          <w:rFonts w:hint="eastAsia" w:ascii="宋体" w:hAnsi="宋体" w:eastAsia="宋体" w:cs="宋体"/>
          <w:sz w:val="24"/>
          <w:szCs w:val="24"/>
        </w:rPr>
        <w:t>3）投标人对我单位技术人员提供技术培训服务，对所提供所投产品、基础网络、</w:t>
      </w:r>
      <w:r>
        <w:rPr>
          <w:rFonts w:hint="eastAsia" w:ascii="宋体" w:hAnsi="宋体" w:eastAsia="宋体" w:cs="宋体"/>
          <w:sz w:val="24"/>
          <w:szCs w:val="24"/>
          <w:lang w:val="en-US" w:eastAsia="zh-CN"/>
        </w:rPr>
        <w:t>存储设备</w:t>
      </w:r>
      <w:r>
        <w:rPr>
          <w:rFonts w:hint="eastAsia" w:ascii="宋体" w:hAnsi="宋体" w:eastAsia="宋体" w:cs="宋体"/>
          <w:sz w:val="24"/>
          <w:szCs w:val="24"/>
        </w:rPr>
        <w:t>提供培训服务。</w:t>
      </w:r>
    </w:p>
    <w:p>
      <w:pPr>
        <w:pStyle w:val="9"/>
        <w:pageBreakBefore w:val="0"/>
        <w:kinsoku/>
        <w:wordWrap/>
        <w:overflowPunct/>
        <w:topLinePunct w:val="0"/>
        <w:autoSpaceDE/>
        <w:autoSpaceDN/>
        <w:bidi w:val="0"/>
        <w:adjustRightInd/>
        <w:snapToGrid/>
        <w:spacing w:line="400" w:lineRule="exact"/>
        <w:ind w:right="57" w:firstLine="840" w:firstLineChars="350"/>
        <w:rPr>
          <w:rFonts w:hint="eastAsia" w:ascii="宋体" w:hAnsi="宋体" w:eastAsia="宋体" w:cs="宋体"/>
          <w:sz w:val="24"/>
          <w:szCs w:val="24"/>
        </w:rPr>
      </w:pPr>
      <w:r>
        <w:rPr>
          <w:rFonts w:hint="eastAsia" w:ascii="宋体" w:hAnsi="宋体" w:eastAsia="宋体" w:cs="宋体"/>
          <w:sz w:val="24"/>
          <w:szCs w:val="24"/>
        </w:rPr>
        <w:t>培训地点：锡林郭勒盟住房公积金中心</w:t>
      </w:r>
    </w:p>
    <w:p>
      <w:pPr>
        <w:pStyle w:val="9"/>
        <w:pageBreakBefore w:val="0"/>
        <w:kinsoku/>
        <w:wordWrap/>
        <w:overflowPunct/>
        <w:topLinePunct w:val="0"/>
        <w:autoSpaceDE/>
        <w:autoSpaceDN/>
        <w:bidi w:val="0"/>
        <w:adjustRightInd/>
        <w:snapToGrid/>
        <w:spacing w:line="400" w:lineRule="exact"/>
        <w:ind w:right="57" w:firstLine="840" w:firstLineChars="350"/>
        <w:rPr>
          <w:rFonts w:hint="eastAsia" w:ascii="宋体" w:hAnsi="宋体" w:eastAsia="宋体" w:cs="宋体"/>
          <w:sz w:val="24"/>
          <w:szCs w:val="24"/>
        </w:rPr>
      </w:pPr>
      <w:r>
        <w:rPr>
          <w:rFonts w:hint="eastAsia" w:ascii="宋体" w:hAnsi="宋体" w:eastAsia="宋体" w:cs="宋体"/>
          <w:sz w:val="24"/>
          <w:szCs w:val="24"/>
        </w:rPr>
        <w:t>培训周期：中心至少培训</w:t>
      </w:r>
      <w:r>
        <w:rPr>
          <w:rFonts w:hint="eastAsia" w:ascii="宋体" w:hAnsi="宋体" w:eastAsia="宋体" w:cs="宋体"/>
          <w:sz w:val="24"/>
          <w:szCs w:val="24"/>
          <w:lang w:val="en-US" w:eastAsia="zh-CN"/>
        </w:rPr>
        <w:t>2</w:t>
      </w:r>
      <w:r>
        <w:rPr>
          <w:rFonts w:hint="eastAsia" w:ascii="宋体" w:hAnsi="宋体" w:eastAsia="宋体" w:cs="宋体"/>
          <w:sz w:val="24"/>
          <w:szCs w:val="24"/>
        </w:rPr>
        <w:t>次以上。</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B5780"/>
    <w:multiLevelType w:val="singleLevel"/>
    <w:tmpl w:val="F91B578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YTE2M2FkZDQ1NmVjNWI1NzVjNmE4NjczY2ZmZDEifQ=="/>
  </w:docVars>
  <w:rsids>
    <w:rsidRoot w:val="00000000"/>
    <w:rsid w:val="090B6AD3"/>
    <w:rsid w:val="254A18C9"/>
    <w:rsid w:val="65906672"/>
    <w:rsid w:val="7149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unhideWhenUsed/>
    <w:qFormat/>
    <w:uiPriority w:val="99"/>
    <w:pPr>
      <w:ind w:firstLine="420" w:firstLineChars="200"/>
    </w:pPr>
  </w:style>
  <w:style w:type="paragraph" w:customStyle="1" w:styleId="9">
    <w:name w:val="Normal_0"/>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2023-10-20T06:51:00Z</dcterms:created>
  <dc:creator>lenovo</dc:creator>
  <cp:lastModifiedBy>烈酒烧喉</cp:lastModifiedBy>
  <dcterms:modified xsi:type="dcterms:W3CDTF">2023-10-20T08:27:59Z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FCBA6A52177E43D8BA6CE05AE493F6E8_12</vt:lpwstr>
  </property>
</Properties>
</file>