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313" w:afterLines="100" w:line="360" w:lineRule="auto"/>
        <w:ind w:left="0" w:leftChars="0" w:right="0" w:rightChars="0" w:firstLine="0" w:firstLineChars="0"/>
        <w:jc w:val="center"/>
        <w:textAlignment w:val="auto"/>
        <w:outlineLvl w:val="9"/>
        <w:rPr>
          <w:rFonts w:hint="eastAsia" w:ascii="宋体" w:hAnsi="宋体" w:eastAsia="宋体" w:cs="宋体"/>
          <w:b/>
          <w:bCs w:val="0"/>
          <w:spacing w:val="20"/>
          <w:sz w:val="44"/>
          <w:szCs w:val="44"/>
          <w:lang w:val="en-US" w:eastAsia="zh-CN"/>
        </w:rPr>
      </w:pPr>
      <w:r>
        <w:rPr>
          <w:rFonts w:hint="eastAsia" w:ascii="宋体" w:hAnsi="宋体" w:eastAsia="宋体" w:cs="宋体"/>
          <w:b/>
          <w:bCs w:val="0"/>
          <w:spacing w:val="20"/>
          <w:sz w:val="44"/>
          <w:szCs w:val="44"/>
          <w:lang w:val="en-US" w:eastAsia="zh-CN"/>
        </w:rPr>
        <w:t>招标工程量清单编制说明</w:t>
      </w:r>
    </w:p>
    <w:p>
      <w:pPr>
        <w:pStyle w:val="4"/>
        <w:numPr>
          <w:ilvl w:val="0"/>
          <w:numId w:val="1"/>
        </w:numPr>
        <w:spacing w:line="480" w:lineRule="auto"/>
        <w:ind w:firstLine="0" w:firstLineChars="0"/>
        <w:rPr>
          <w:rFonts w:hint="eastAsia" w:ascii="微软雅黑" w:hAnsi="微软雅黑" w:eastAsia="微软雅黑" w:cs="微软雅黑"/>
          <w:bCs/>
          <w:color w:val="000000"/>
          <w:sz w:val="28"/>
          <w:szCs w:val="28"/>
          <w:u w:val="none" w:color="auto"/>
        </w:rPr>
      </w:pPr>
      <w:r>
        <w:rPr>
          <w:rFonts w:hint="eastAsia" w:ascii="微软雅黑" w:hAnsi="微软雅黑" w:eastAsia="微软雅黑" w:cs="微软雅黑"/>
          <w:bCs/>
          <w:color w:val="000000"/>
          <w:sz w:val="28"/>
          <w:szCs w:val="28"/>
          <w:u w:val="none" w:color="auto"/>
        </w:rPr>
        <w:t>项目概况</w:t>
      </w:r>
    </w:p>
    <w:p>
      <w:pPr>
        <w:pStyle w:val="4"/>
        <w:numPr>
          <w:ilvl w:val="0"/>
          <w:numId w:val="0"/>
        </w:numPr>
        <w:spacing w:line="240" w:lineRule="auto"/>
        <w:ind w:left="1960" w:hanging="1960" w:hangingChars="700"/>
        <w:rPr>
          <w:rFonts w:hint="eastAsia" w:ascii="微软雅黑" w:hAnsi="微软雅黑" w:eastAsia="微软雅黑" w:cs="微软雅黑"/>
          <w:color w:val="FF0000"/>
          <w:sz w:val="28"/>
          <w:szCs w:val="28"/>
          <w:highlight w:val="none"/>
          <w:lang w:eastAsia="zh-CN"/>
        </w:rPr>
      </w:pPr>
      <w:r>
        <w:rPr>
          <w:rFonts w:hint="eastAsia" w:ascii="微软雅黑" w:hAnsi="微软雅黑" w:eastAsia="微软雅黑" w:cs="微软雅黑"/>
          <w:bCs/>
          <w:color w:val="000000"/>
          <w:sz w:val="28"/>
          <w:szCs w:val="28"/>
          <w:u w:val="none" w:color="auto"/>
          <w:lang w:val="en-US" w:eastAsia="zh-CN"/>
        </w:rPr>
        <w:t xml:space="preserve">    工程名称：</w:t>
      </w:r>
      <w:r>
        <w:rPr>
          <w:rFonts w:hint="eastAsia" w:ascii="微软雅黑" w:hAnsi="微软雅黑" w:eastAsia="微软雅黑" w:cs="微软雅黑"/>
          <w:color w:val="000000"/>
          <w:sz w:val="28"/>
          <w:szCs w:val="28"/>
          <w:lang w:val="en-US" w:eastAsia="zh-CN"/>
        </w:rPr>
        <w:t>阿巴嘎旗第一小学教学楼外墙改造工程</w:t>
      </w:r>
    </w:p>
    <w:p>
      <w:pPr>
        <w:spacing w:line="240" w:lineRule="auto"/>
        <w:ind w:firstLine="560"/>
        <w:rPr>
          <w:rFonts w:hint="default" w:ascii="微软雅黑" w:hAnsi="微软雅黑" w:eastAsia="微软雅黑" w:cs="微软雅黑"/>
          <w:color w:val="000000"/>
          <w:sz w:val="28"/>
          <w:szCs w:val="28"/>
          <w:highlight w:val="none"/>
          <w:u w:val="none" w:color="auto"/>
          <w:lang w:val="en-US" w:eastAsia="zh-CN" w:bidi="ar-SA"/>
        </w:rPr>
      </w:pPr>
      <w:r>
        <w:rPr>
          <w:rFonts w:hint="eastAsia" w:ascii="微软雅黑" w:hAnsi="微软雅黑" w:eastAsia="微软雅黑" w:cs="微软雅黑"/>
          <w:color w:val="000000"/>
          <w:sz w:val="28"/>
          <w:szCs w:val="28"/>
          <w:highlight w:val="none"/>
        </w:rPr>
        <w:t>建设单位：</w:t>
      </w:r>
      <w:r>
        <w:rPr>
          <w:rFonts w:hint="eastAsia" w:ascii="微软雅黑" w:hAnsi="微软雅黑" w:eastAsia="微软雅黑" w:cs="微软雅黑"/>
          <w:color w:val="000000"/>
          <w:sz w:val="28"/>
          <w:szCs w:val="28"/>
          <w:lang w:val="en-US" w:eastAsia="zh-CN"/>
        </w:rPr>
        <w:t>阿巴嘎旗第一小学</w:t>
      </w:r>
    </w:p>
    <w:p>
      <w:pPr>
        <w:pStyle w:val="2"/>
        <w:spacing w:line="240" w:lineRule="auto"/>
        <w:rPr>
          <w:rFonts w:hint="default"/>
          <w:sz w:val="28"/>
          <w:szCs w:val="28"/>
          <w:lang w:val="en-US" w:eastAsia="zh-CN"/>
        </w:rPr>
      </w:pPr>
      <w:r>
        <w:rPr>
          <w:rFonts w:hint="eastAsia" w:ascii="微软雅黑" w:hAnsi="微软雅黑" w:eastAsia="微软雅黑" w:cs="微软雅黑"/>
          <w:color w:val="000000"/>
          <w:sz w:val="28"/>
          <w:szCs w:val="28"/>
          <w:highlight w:val="none"/>
          <w:u w:val="none" w:color="auto"/>
          <w:lang w:val="en-US" w:eastAsia="zh-CN" w:bidi="ar-SA"/>
        </w:rPr>
        <w:t xml:space="preserve">    审核单位：内蒙古诺诚工程项目管理有限公司</w:t>
      </w:r>
    </w:p>
    <w:p>
      <w:pPr>
        <w:spacing w:line="480" w:lineRule="auto"/>
        <w:rPr>
          <w:rFonts w:hint="eastAsia" w:ascii="微软雅黑" w:hAnsi="微软雅黑" w:eastAsia="微软雅黑" w:cs="微软雅黑"/>
          <w:b/>
          <w:sz w:val="28"/>
          <w:szCs w:val="28"/>
        </w:rPr>
      </w:pPr>
      <w:r>
        <w:rPr>
          <w:rFonts w:hint="eastAsia" w:ascii="微软雅黑" w:hAnsi="微软雅黑" w:eastAsia="微软雅黑" w:cs="微软雅黑"/>
          <w:bCs/>
          <w:color w:val="000000"/>
          <w:sz w:val="28"/>
          <w:szCs w:val="28"/>
        </w:rPr>
        <w:t>二、</w:t>
      </w:r>
      <w:r>
        <w:rPr>
          <w:rFonts w:hint="eastAsia" w:ascii="微软雅黑" w:hAnsi="微软雅黑" w:eastAsia="微软雅黑" w:cs="微软雅黑"/>
          <w:bCs/>
          <w:sz w:val="28"/>
          <w:szCs w:val="28"/>
        </w:rPr>
        <w:t>审核原则</w:t>
      </w:r>
    </w:p>
    <w:p>
      <w:pPr>
        <w:spacing w:line="480" w:lineRule="auto"/>
        <w:ind w:firstLine="600"/>
        <w:rPr>
          <w:rFonts w:hint="eastAsia" w:ascii="微软雅黑" w:hAnsi="微软雅黑" w:eastAsia="微软雅黑" w:cs="微软雅黑"/>
          <w:sz w:val="28"/>
          <w:szCs w:val="28"/>
        </w:rPr>
      </w:pPr>
      <w:r>
        <w:rPr>
          <w:rFonts w:hint="eastAsia" w:ascii="微软雅黑" w:hAnsi="微软雅黑" w:eastAsia="微软雅黑" w:cs="微软雅黑"/>
          <w:sz w:val="28"/>
          <w:szCs w:val="28"/>
        </w:rPr>
        <w:t>1、中价协[2002]第015号《工程造价咨询单位执业行为准则》《造价工程师职业道德行为准则》。</w:t>
      </w:r>
    </w:p>
    <w:p>
      <w:pPr>
        <w:spacing w:line="480" w:lineRule="auto"/>
        <w:ind w:firstLine="600"/>
        <w:rPr>
          <w:rFonts w:hint="eastAsia" w:ascii="微软雅黑" w:hAnsi="微软雅黑" w:eastAsia="微软雅黑" w:cs="微软雅黑"/>
          <w:sz w:val="28"/>
          <w:szCs w:val="28"/>
        </w:rPr>
      </w:pPr>
      <w:r>
        <w:rPr>
          <w:rFonts w:hint="eastAsia" w:ascii="微软雅黑" w:hAnsi="微软雅黑" w:eastAsia="微软雅黑" w:cs="微软雅黑"/>
          <w:sz w:val="28"/>
          <w:szCs w:val="28"/>
        </w:rPr>
        <w:t>2、中价协[2002]第016号《工程造价咨询业务操作指导规程》的有关规定。</w:t>
      </w:r>
    </w:p>
    <w:p>
      <w:pPr>
        <w:spacing w:line="480" w:lineRule="auto"/>
        <w:ind w:firstLine="600"/>
        <w:rPr>
          <w:rFonts w:hint="eastAsia" w:ascii="微软雅黑" w:hAnsi="微软雅黑" w:eastAsia="微软雅黑" w:cs="微软雅黑"/>
          <w:sz w:val="28"/>
          <w:szCs w:val="28"/>
        </w:rPr>
      </w:pPr>
      <w:r>
        <w:rPr>
          <w:rFonts w:hint="eastAsia" w:ascii="微软雅黑" w:hAnsi="微软雅黑" w:eastAsia="微软雅黑" w:cs="微软雅黑"/>
          <w:sz w:val="28"/>
          <w:szCs w:val="28"/>
        </w:rPr>
        <w:t>3、中华人民共和国国家标准GB/T51095-2015《建设工程造价咨询规范》的有关规定。</w:t>
      </w:r>
    </w:p>
    <w:p>
      <w:pPr>
        <w:spacing w:line="480" w:lineRule="auto"/>
        <w:ind w:firstLine="560" w:firstLineChars="200"/>
        <w:rPr>
          <w:rFonts w:hint="eastAsia" w:ascii="微软雅黑" w:hAnsi="微软雅黑" w:eastAsia="微软雅黑" w:cs="微软雅黑"/>
          <w:bCs/>
          <w:color w:val="000000"/>
          <w:sz w:val="28"/>
          <w:szCs w:val="28"/>
        </w:rPr>
      </w:pPr>
      <w:r>
        <w:rPr>
          <w:rFonts w:hint="eastAsia" w:ascii="微软雅黑" w:hAnsi="微软雅黑" w:eastAsia="微软雅黑" w:cs="微软雅黑"/>
          <w:sz w:val="28"/>
          <w:szCs w:val="28"/>
        </w:rPr>
        <w:t>4、我公司本着客观、公正、实事求是的原则，严格执行国家和自治区制定的工程造价管理规定，根据工程的实际情况，合理确认该工程的造价。</w:t>
      </w:r>
    </w:p>
    <w:p>
      <w:pPr>
        <w:pStyle w:val="4"/>
        <w:spacing w:line="480" w:lineRule="auto"/>
        <w:ind w:firstLine="0" w:firstLineChars="0"/>
        <w:rPr>
          <w:rFonts w:hint="eastAsia" w:ascii="微软雅黑" w:hAnsi="微软雅黑" w:eastAsia="微软雅黑" w:cs="微软雅黑"/>
          <w:bCs/>
          <w:color w:val="000000"/>
          <w:sz w:val="28"/>
          <w:szCs w:val="28"/>
          <w:u w:val="none" w:color="auto"/>
        </w:rPr>
      </w:pPr>
      <w:r>
        <w:rPr>
          <w:rFonts w:hint="eastAsia" w:ascii="微软雅黑" w:hAnsi="微软雅黑" w:eastAsia="微软雅黑" w:cs="微软雅黑"/>
          <w:bCs/>
          <w:sz w:val="28"/>
          <w:szCs w:val="28"/>
          <w:u w:val="none" w:color="auto"/>
        </w:rPr>
        <w:t>三、</w:t>
      </w:r>
      <w:r>
        <w:rPr>
          <w:rFonts w:hint="eastAsia" w:ascii="微软雅黑" w:hAnsi="微软雅黑" w:eastAsia="微软雅黑" w:cs="微软雅黑"/>
          <w:bCs/>
          <w:color w:val="000000"/>
          <w:sz w:val="28"/>
          <w:szCs w:val="28"/>
          <w:u w:val="none" w:color="auto"/>
        </w:rPr>
        <w:t>审核依据</w:t>
      </w:r>
    </w:p>
    <w:p>
      <w:pPr>
        <w:spacing w:line="480" w:lineRule="auto"/>
        <w:ind w:firstLine="560" w:firstLineChars="200"/>
        <w:rPr>
          <w:rFonts w:hint="eastAsia" w:ascii="微软雅黑" w:hAnsi="微软雅黑" w:eastAsia="微软雅黑" w:cs="微软雅黑"/>
          <w:sz w:val="28"/>
          <w:szCs w:val="28"/>
          <w:lang w:val="en-US" w:eastAsia="zh-CN"/>
        </w:rPr>
      </w:pPr>
      <w:bookmarkStart w:id="0" w:name="OLE_LINK2"/>
      <w:r>
        <w:rPr>
          <w:rFonts w:hint="eastAsia" w:ascii="微软雅黑" w:hAnsi="微软雅黑" w:eastAsia="微软雅黑" w:cs="微软雅黑"/>
          <w:sz w:val="28"/>
          <w:szCs w:val="28"/>
          <w:lang w:val="en-US" w:eastAsia="zh-CN"/>
        </w:rPr>
        <w:t>1、《工程造价咨询企业管理办法》（建设部令[2006]149号）；</w:t>
      </w:r>
    </w:p>
    <w:p>
      <w:pPr>
        <w:spacing w:line="480" w:lineRule="auto"/>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2、《建设工程工程量清单计价规范》（GB 50500-2013）；</w:t>
      </w:r>
    </w:p>
    <w:p>
      <w:pPr>
        <w:spacing w:line="480" w:lineRule="auto"/>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3、 《关于印发&lt;2017内蒙古自治区建设工程计价依据宣贯辅导&gt;的通知》，（内建工〔2018〕174号）；</w:t>
      </w:r>
    </w:p>
    <w:p>
      <w:pPr>
        <w:spacing w:line="480" w:lineRule="auto"/>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4、《关于发布&lt;内蒙古自治区建设工程计价依据（2017届）&gt;的通知》（内建工〔2017〕558号）；</w:t>
      </w:r>
    </w:p>
    <w:p>
      <w:pPr>
        <w:spacing w:line="480" w:lineRule="auto"/>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5、《关于调整内蒙古自治区建设工程计价依据增值税税率的通知》（内建标〔2019〕113号）；</w:t>
      </w:r>
    </w:p>
    <w:p>
      <w:pPr>
        <w:spacing w:line="480" w:lineRule="auto"/>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 xml:space="preserve">6、《2017内蒙古自治区建设工程计价依据宣贯辅导》(ISBN 978-7-5160-2256-6)； </w:t>
      </w:r>
    </w:p>
    <w:p>
      <w:pPr>
        <w:spacing w:line="480" w:lineRule="auto"/>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7、《内蒙古自治区建设工程费用定额》（DNM3-200-2017)；</w:t>
      </w:r>
    </w:p>
    <w:p>
      <w:pPr>
        <w:spacing w:line="480" w:lineRule="auto"/>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8、《内蒙古自治区房屋建筑与装饰工程预算定额》（DNM3-101-2017)；</w:t>
      </w:r>
    </w:p>
    <w:p>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hint="default"/>
          <w:sz w:val="28"/>
          <w:szCs w:val="28"/>
          <w:lang w:val="en-US" w:eastAsia="zh-CN"/>
        </w:rPr>
      </w:pPr>
      <w:r>
        <w:rPr>
          <w:rFonts w:hint="eastAsia" w:ascii="微软雅黑" w:hAnsi="微软雅黑" w:eastAsia="微软雅黑" w:cs="微软雅黑"/>
          <w:sz w:val="28"/>
          <w:szCs w:val="28"/>
          <w:highlight w:val="none"/>
          <w:lang w:val="en-US" w:eastAsia="zh-CN"/>
        </w:rPr>
        <w:t>9、</w:t>
      </w:r>
      <w:r>
        <w:rPr>
          <w:rFonts w:hint="default" w:ascii="微软雅黑" w:hAnsi="微软雅黑" w:eastAsia="微软雅黑" w:cs="微软雅黑"/>
          <w:sz w:val="28"/>
          <w:szCs w:val="28"/>
          <w:highlight w:val="none"/>
          <w:lang w:val="en-US" w:eastAsia="zh-CN"/>
        </w:rPr>
        <w:t>《内蒙古自治区房屋修缮工程预算定额》（DYD15-1001~1003-2013）；</w:t>
      </w:r>
    </w:p>
    <w:p>
      <w:pPr>
        <w:spacing w:line="480" w:lineRule="auto"/>
        <w:ind w:firstLine="560" w:firstLineChars="200"/>
        <w:rPr>
          <w:rFonts w:hint="default"/>
          <w:sz w:val="28"/>
          <w:szCs w:val="28"/>
          <w:lang w:val="en-US" w:eastAsia="zh-CN"/>
        </w:rPr>
      </w:pPr>
      <w:r>
        <w:rPr>
          <w:rFonts w:hint="eastAsia" w:ascii="微软雅黑" w:hAnsi="微软雅黑" w:eastAsia="微软雅黑" w:cs="微软雅黑"/>
          <w:sz w:val="28"/>
          <w:szCs w:val="28"/>
          <w:lang w:val="en-US" w:eastAsia="zh-CN"/>
        </w:rPr>
        <w:t>10、《内蒙古自治区住房和城乡建设厅关于调整内蒙古自治区建设工程现行预算定额人工费的通知》（内建标〔2021〕148号）；</w:t>
      </w:r>
    </w:p>
    <w:p>
      <w:pPr>
        <w:spacing w:line="480" w:lineRule="auto"/>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11、材料价差执行《阿巴嘎旗和锡林浩特市2022年第1季度建设工程材料信息价》；</w:t>
      </w:r>
    </w:p>
    <w:p>
      <w:pPr>
        <w:pStyle w:val="4"/>
        <w:numPr>
          <w:ilvl w:val="0"/>
          <w:numId w:val="0"/>
        </w:numPr>
        <w:spacing w:line="480" w:lineRule="auto"/>
        <w:ind w:left="0" w:leftChars="0" w:firstLine="560" w:firstLineChars="200"/>
        <w:rPr>
          <w:rFonts w:hint="default" w:ascii="微软雅黑" w:hAnsi="微软雅黑" w:eastAsia="微软雅黑" w:cs="微软雅黑"/>
          <w:bCs/>
          <w:color w:val="000000"/>
          <w:sz w:val="28"/>
          <w:szCs w:val="28"/>
          <w:u w:val="none" w:color="auto"/>
          <w:lang w:val="en-US" w:eastAsia="zh-CN"/>
        </w:rPr>
      </w:pPr>
      <w:r>
        <w:rPr>
          <w:rFonts w:hint="eastAsia" w:ascii="微软雅黑" w:hAnsi="微软雅黑" w:eastAsia="微软雅黑" w:cs="微软雅黑"/>
          <w:sz w:val="28"/>
          <w:szCs w:val="28"/>
          <w:u w:val="none" w:color="auto"/>
          <w:lang w:val="en-US" w:eastAsia="zh-CN"/>
        </w:rPr>
        <w:t>12、</w:t>
      </w:r>
      <w:r>
        <w:rPr>
          <w:rFonts w:hint="eastAsia" w:ascii="微软雅黑" w:hAnsi="微软雅黑" w:eastAsia="微软雅黑" w:cs="微软雅黑"/>
          <w:color w:val="000000"/>
          <w:sz w:val="28"/>
          <w:szCs w:val="28"/>
          <w:lang w:val="en-US" w:eastAsia="zh-CN"/>
        </w:rPr>
        <w:t>阿巴嘎旗第一小学教学楼外</w:t>
      </w:r>
      <w:bookmarkStart w:id="1" w:name="_GoBack"/>
      <w:bookmarkEnd w:id="1"/>
      <w:r>
        <w:rPr>
          <w:rFonts w:hint="eastAsia" w:ascii="微软雅黑" w:hAnsi="微软雅黑" w:eastAsia="微软雅黑" w:cs="微软雅黑"/>
          <w:color w:val="000000"/>
          <w:sz w:val="28"/>
          <w:szCs w:val="28"/>
          <w:lang w:val="en-US" w:eastAsia="zh-CN"/>
        </w:rPr>
        <w:t>墙改造工程原图纸</w:t>
      </w:r>
      <w:r>
        <w:rPr>
          <w:rFonts w:hint="eastAsia" w:ascii="微软雅黑" w:hAnsi="微软雅黑" w:eastAsia="微软雅黑" w:cs="微软雅黑"/>
          <w:sz w:val="28"/>
          <w:szCs w:val="28"/>
          <w:u w:val="none"/>
          <w:lang w:val="en-US" w:eastAsia="zh-CN" w:bidi="ar-SA"/>
        </w:rPr>
        <w:t>；</w:t>
      </w:r>
    </w:p>
    <w:p>
      <w:pPr>
        <w:spacing w:line="480" w:lineRule="auto"/>
        <w:ind w:firstLine="560" w:firstLineChars="200"/>
        <w:rPr>
          <w:rFonts w:hint="eastAsia" w:ascii="微软雅黑" w:hAnsi="微软雅黑" w:eastAsia="微软雅黑" w:cs="微软雅黑"/>
          <w:sz w:val="28"/>
          <w:szCs w:val="28"/>
          <w:u w:val="none" w:color="auto"/>
          <w:lang w:val="en-US" w:eastAsia="zh-CN"/>
        </w:rPr>
      </w:pPr>
      <w:r>
        <w:rPr>
          <w:rFonts w:hint="eastAsia" w:ascii="微软雅黑" w:hAnsi="微软雅黑" w:eastAsia="微软雅黑" w:cs="微软雅黑"/>
          <w:sz w:val="28"/>
          <w:szCs w:val="28"/>
          <w:u w:val="none" w:color="auto"/>
          <w:lang w:val="en-US" w:eastAsia="zh-CN"/>
        </w:rPr>
        <w:t>13、其他相关资料。</w:t>
      </w:r>
    </w:p>
    <w:p>
      <w:pPr>
        <w:keepNext w:val="0"/>
        <w:keepLines w:val="0"/>
        <w:pageBreakBefore w:val="0"/>
        <w:widowControl w:val="0"/>
        <w:kinsoku/>
        <w:wordWrap/>
        <w:overflowPunct/>
        <w:topLinePunct w:val="0"/>
        <w:autoSpaceDE/>
        <w:autoSpaceDN/>
        <w:bidi w:val="0"/>
        <w:adjustRightInd/>
        <w:snapToGrid/>
        <w:spacing w:line="480" w:lineRule="auto"/>
        <w:ind w:right="0" w:rightChars="0"/>
        <w:jc w:val="both"/>
        <w:textAlignment w:val="auto"/>
        <w:outlineLvl w:val="9"/>
        <w:rPr>
          <w:rFonts w:hint="eastAsia" w:ascii="微软雅黑" w:hAnsi="微软雅黑" w:eastAsia="微软雅黑" w:cs="微软雅黑"/>
          <w:bCs/>
          <w:color w:val="000000"/>
          <w:sz w:val="28"/>
          <w:szCs w:val="28"/>
          <w:u w:val="none" w:color="auto"/>
          <w:lang w:val="en-US" w:eastAsia="zh-CN" w:bidi="ar-SA"/>
        </w:rPr>
      </w:pPr>
      <w:r>
        <w:rPr>
          <w:rFonts w:hint="eastAsia" w:ascii="微软雅黑" w:hAnsi="微软雅黑" w:eastAsia="微软雅黑" w:cs="微软雅黑"/>
          <w:bCs/>
          <w:color w:val="000000"/>
          <w:sz w:val="28"/>
          <w:szCs w:val="28"/>
          <w:u w:val="none" w:color="auto"/>
          <w:lang w:val="en-US" w:eastAsia="zh-CN" w:bidi="ar-SA"/>
        </w:rPr>
        <w:t>四、其他说明</w:t>
      </w:r>
    </w:p>
    <w:bookmarkEnd w:id="0"/>
    <w:p>
      <w:pPr>
        <w:pStyle w:val="9"/>
        <w:ind w:firstLine="560" w:firstLineChars="200"/>
        <w:rPr>
          <w:rFonts w:hint="eastAsia"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1、建筑垃圾外运暂按10km考虑，结算时据实；</w:t>
      </w:r>
    </w:p>
    <w:p>
      <w:pPr>
        <w:pStyle w:val="9"/>
        <w:ind w:firstLine="560" w:firstLineChars="200"/>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2、暂列金按160000元计入；</w:t>
      </w:r>
    </w:p>
    <w:p>
      <w:pPr>
        <w:pStyle w:val="9"/>
        <w:ind w:firstLine="560" w:firstLineChars="200"/>
        <w:rPr>
          <w:rFonts w:hint="default" w:ascii="微软雅黑" w:hAnsi="微软雅黑" w:eastAsia="微软雅黑" w:cs="微软雅黑"/>
          <w:sz w:val="28"/>
          <w:szCs w:val="28"/>
          <w:lang w:val="en-US" w:eastAsia="zh-CN"/>
        </w:rPr>
      </w:pPr>
      <w:r>
        <w:rPr>
          <w:rFonts w:hint="eastAsia" w:ascii="微软雅黑" w:hAnsi="微软雅黑" w:eastAsia="微软雅黑" w:cs="微软雅黑"/>
          <w:sz w:val="28"/>
          <w:szCs w:val="28"/>
          <w:lang w:val="en-US" w:eastAsia="zh-CN"/>
        </w:rPr>
        <w:t>3、材料暂估价详见“材料(工程设备)暂估单价及调整表”。</w:t>
      </w:r>
    </w:p>
    <w:p>
      <w:pPr>
        <w:pStyle w:val="9"/>
        <w:ind w:firstLine="560" w:firstLineChars="200"/>
        <w:rPr>
          <w:rFonts w:hint="default" w:ascii="宋体" w:hAnsi="宋体" w:eastAsia="宋体" w:cs="宋体"/>
          <w:color w:val="000000" w:themeColor="text1"/>
          <w:sz w:val="28"/>
          <w:szCs w:val="28"/>
          <w:lang w:val="en-US" w:eastAsia="zh-CN"/>
          <w14:textFill>
            <w14:solidFill>
              <w14:schemeClr w14:val="tx1"/>
            </w14:solidFill>
          </w14:textFill>
        </w:rPr>
      </w:pPr>
    </w:p>
    <w:sectPr>
      <w:pgSz w:w="11906" w:h="16838"/>
      <w:pgMar w:top="1440" w:right="1080" w:bottom="1440" w:left="1080" w:header="851" w:footer="992" w:gutter="0"/>
      <w:cols w:space="0" w:num="1"/>
      <w:rtlGutter w:val="0"/>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4C847B"/>
    <w:multiLevelType w:val="singleLevel"/>
    <w:tmpl w:val="B24C847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jZjgwNDhjZTk2NzAwMTllNTVjNzhjZGQwNjA2YWEifQ=="/>
  </w:docVars>
  <w:rsids>
    <w:rsidRoot w:val="17406B3C"/>
    <w:rsid w:val="050D4661"/>
    <w:rsid w:val="06CE736B"/>
    <w:rsid w:val="07116D19"/>
    <w:rsid w:val="094F2E8F"/>
    <w:rsid w:val="0978268A"/>
    <w:rsid w:val="0D766D04"/>
    <w:rsid w:val="0EE15FA8"/>
    <w:rsid w:val="103C5B25"/>
    <w:rsid w:val="124949E7"/>
    <w:rsid w:val="12D12BB9"/>
    <w:rsid w:val="13511DA5"/>
    <w:rsid w:val="13F72231"/>
    <w:rsid w:val="15574DC0"/>
    <w:rsid w:val="17406B3C"/>
    <w:rsid w:val="1904475D"/>
    <w:rsid w:val="19524411"/>
    <w:rsid w:val="1C1C0A08"/>
    <w:rsid w:val="1C7D48E1"/>
    <w:rsid w:val="1D4245E7"/>
    <w:rsid w:val="218A3499"/>
    <w:rsid w:val="244A72FE"/>
    <w:rsid w:val="24AB2740"/>
    <w:rsid w:val="252B6690"/>
    <w:rsid w:val="266F4B5D"/>
    <w:rsid w:val="28334AAA"/>
    <w:rsid w:val="28A349F9"/>
    <w:rsid w:val="29806388"/>
    <w:rsid w:val="2BDF1B5F"/>
    <w:rsid w:val="2C365B84"/>
    <w:rsid w:val="2E557DDF"/>
    <w:rsid w:val="2F1D286D"/>
    <w:rsid w:val="30B00DB5"/>
    <w:rsid w:val="31615451"/>
    <w:rsid w:val="31806338"/>
    <w:rsid w:val="31D03873"/>
    <w:rsid w:val="33F265AE"/>
    <w:rsid w:val="363E665F"/>
    <w:rsid w:val="36F6663C"/>
    <w:rsid w:val="3D8839A0"/>
    <w:rsid w:val="3DCB45EC"/>
    <w:rsid w:val="412D7191"/>
    <w:rsid w:val="41AC44C7"/>
    <w:rsid w:val="42C63EFE"/>
    <w:rsid w:val="43551887"/>
    <w:rsid w:val="451A0F1C"/>
    <w:rsid w:val="45214052"/>
    <w:rsid w:val="46114F64"/>
    <w:rsid w:val="486D24D6"/>
    <w:rsid w:val="4936031F"/>
    <w:rsid w:val="49DF11B1"/>
    <w:rsid w:val="4B4A5C3D"/>
    <w:rsid w:val="4BE80BBE"/>
    <w:rsid w:val="4C0F5D7E"/>
    <w:rsid w:val="4D1B6F1A"/>
    <w:rsid w:val="4D6A4FB6"/>
    <w:rsid w:val="52B03C2F"/>
    <w:rsid w:val="52D33B3E"/>
    <w:rsid w:val="535D182F"/>
    <w:rsid w:val="56CE059E"/>
    <w:rsid w:val="577E3BCC"/>
    <w:rsid w:val="58C47EF0"/>
    <w:rsid w:val="591763F8"/>
    <w:rsid w:val="5D1A046E"/>
    <w:rsid w:val="5D683F69"/>
    <w:rsid w:val="5DEA21A7"/>
    <w:rsid w:val="5ED54EF5"/>
    <w:rsid w:val="5EEC1F4F"/>
    <w:rsid w:val="5FAE5456"/>
    <w:rsid w:val="62447AA3"/>
    <w:rsid w:val="64C163D2"/>
    <w:rsid w:val="65E676F8"/>
    <w:rsid w:val="670A07A5"/>
    <w:rsid w:val="681A66F1"/>
    <w:rsid w:val="68996CA3"/>
    <w:rsid w:val="6AD42215"/>
    <w:rsid w:val="6BA223FD"/>
    <w:rsid w:val="6BED10E4"/>
    <w:rsid w:val="6EE305BA"/>
    <w:rsid w:val="6FDC1B3B"/>
    <w:rsid w:val="705636CC"/>
    <w:rsid w:val="74E30336"/>
    <w:rsid w:val="767D491E"/>
    <w:rsid w:val="7971615A"/>
    <w:rsid w:val="7BAE260E"/>
    <w:rsid w:val="7DD65E4C"/>
    <w:rsid w:val="7E1E48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Body Text 2"/>
    <w:basedOn w:val="1"/>
    <w:qFormat/>
    <w:uiPriority w:val="0"/>
    <w:pPr>
      <w:spacing w:after="120" w:line="480" w:lineRule="auto"/>
      <w:ind w:firstLine="0" w:firstLineChars="0"/>
    </w:pPr>
    <w:rPr>
      <w:sz w:val="28"/>
      <w:szCs w:val="28"/>
    </w:rPr>
  </w:style>
  <w:style w:type="paragraph" w:styleId="3">
    <w:name w:val="annotation text"/>
    <w:basedOn w:val="1"/>
    <w:unhideWhenUsed/>
    <w:qFormat/>
    <w:uiPriority w:val="99"/>
    <w:pPr>
      <w:jc w:val="left"/>
    </w:pPr>
  </w:style>
  <w:style w:type="paragraph" w:styleId="4">
    <w:name w:val="Body Text Indent"/>
    <w:basedOn w:val="1"/>
    <w:qFormat/>
    <w:uiPriority w:val="0"/>
    <w:pPr>
      <w:ind w:firstLine="720" w:firstLineChars="225"/>
    </w:pPr>
    <w:rPr>
      <w:sz w:val="32"/>
      <w:u w:val="thick" w:color="FFFFFF"/>
    </w:r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9">
    <w:name w:val="正文文本 21"/>
    <w:basedOn w:val="1"/>
    <w:qFormat/>
    <w:uiPriority w:val="0"/>
    <w:pPr>
      <w:spacing w:after="120" w:line="480" w:lineRule="auto"/>
    </w:pPr>
    <w:rPr>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708</Words>
  <Characters>864</Characters>
  <Lines>0</Lines>
  <Paragraphs>0</Paragraphs>
  <TotalTime>0</TotalTime>
  <ScaleCrop>false</ScaleCrop>
  <LinksUpToDate>false</LinksUpToDate>
  <CharactersWithSpaces>876</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2019-03-30T09:21:00Z</dcterms:created>
  <dc:creator>小蜗牛</dc:creator>
  <cp:lastModifiedBy>     L °</cp:lastModifiedBy>
  <cp:lastPrinted>2019-04-04T03:09:00Z</cp:lastPrinted>
  <dcterms:modified xsi:type="dcterms:W3CDTF">2022-06-23T09:26:42Z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241107B462C04D4D9D619437CFF8A852</vt:lpwstr>
  </property>
  <property fmtid="{D5CDD505-2E9C-101B-9397-08002B2CF9AE}" pid="4" name="commondata">
    <vt:lpwstr>eyJoZGlkIjoiYWE2ZTQ4ZmMxMmJiZDUwZDZjZTk1OWNjNDRjMTM5ZjkifQ==</vt:lpwstr>
  </property>
</Properties>
</file>