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rFonts w:hint="eastAsia"/>
        </w:rPr>
      </w:pPr>
      <w:r>
        <w:rPr>
          <w:rFonts w:hint="eastAsia"/>
        </w:rPr>
        <w:t>全自动顶空</w:t>
      </w:r>
      <w:r>
        <w:rPr>
          <w:rFonts w:hint="eastAsia"/>
          <w:lang w:val="en-US" w:eastAsia="zh-CN"/>
        </w:rPr>
        <w:t>进样器</w:t>
      </w:r>
      <w:bookmarkStart w:id="0" w:name="_GoBack"/>
      <w:bookmarkEnd w:id="0"/>
    </w:p>
    <w:p>
      <w:pPr>
        <w:pStyle w:val="4"/>
        <w:spacing w:after="112"/>
        <w:rPr>
          <w:sz w:val="23"/>
          <w:szCs w:val="23"/>
        </w:rPr>
      </w:pPr>
      <w:r>
        <w:rPr>
          <w:rFonts w:hint="eastAsia"/>
          <w:sz w:val="23"/>
          <w:szCs w:val="23"/>
        </w:rPr>
        <w:t>一、主要功能及特点</w:t>
      </w:r>
    </w:p>
    <w:p>
      <w:pPr>
        <w:pStyle w:val="4"/>
        <w:spacing w:after="112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rFonts w:hint="eastAsia"/>
          <w:sz w:val="21"/>
          <w:szCs w:val="21"/>
        </w:rPr>
        <w:t>全自动系统，安全可靠，一键运行，可无人值守</w:t>
      </w:r>
    </w:p>
    <w:p>
      <w:pPr>
        <w:pStyle w:val="4"/>
        <w:spacing w:after="112"/>
        <w:rPr>
          <w:sz w:val="21"/>
          <w:szCs w:val="21"/>
        </w:rPr>
      </w:pPr>
      <w:r>
        <w:rPr>
          <w:sz w:val="21"/>
          <w:szCs w:val="21"/>
        </w:rPr>
        <w:t xml:space="preserve">2. </w:t>
      </w:r>
      <w:r>
        <w:rPr>
          <w:rFonts w:hint="eastAsia"/>
          <w:sz w:val="21"/>
          <w:szCs w:val="21"/>
        </w:rPr>
        <w:t>软硬件模块化设计、结构紧凑</w:t>
      </w:r>
    </w:p>
    <w:p>
      <w:pPr>
        <w:pStyle w:val="4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3. </w:t>
      </w:r>
      <w:r>
        <w:rPr>
          <w:rFonts w:hint="eastAsia"/>
          <w:sz w:val="21"/>
          <w:szCs w:val="21"/>
        </w:rPr>
        <w:t>大触摸屏界面信息丰富，人机交互简洁，易操作，有如下功能：</w:t>
      </w:r>
    </w:p>
    <w:p>
      <w:pPr>
        <w:pStyle w:val="4"/>
        <w:numPr>
          <w:ilvl w:val="0"/>
          <w:numId w:val="1"/>
        </w:numPr>
        <w:spacing w:after="105"/>
        <w:rPr>
          <w:sz w:val="21"/>
          <w:szCs w:val="21"/>
        </w:rPr>
      </w:pPr>
      <w:r>
        <w:rPr>
          <w:sz w:val="21"/>
          <w:szCs w:val="21"/>
        </w:rPr>
        <w:t xml:space="preserve">    a) </w:t>
      </w:r>
      <w:r>
        <w:rPr>
          <w:rFonts w:hint="eastAsia"/>
          <w:sz w:val="21"/>
          <w:szCs w:val="21"/>
        </w:rPr>
        <w:t>液晶屏显示信息包括：多方法参数设置、实时工作状态、运行过程与时间信息等</w:t>
      </w:r>
    </w:p>
    <w:p>
      <w:pPr>
        <w:pStyle w:val="4"/>
        <w:numPr>
          <w:ilvl w:val="0"/>
          <w:numId w:val="1"/>
        </w:numPr>
        <w:spacing w:after="105"/>
        <w:rPr>
          <w:sz w:val="21"/>
          <w:szCs w:val="21"/>
        </w:rPr>
      </w:pPr>
      <w:r>
        <w:rPr>
          <w:sz w:val="21"/>
          <w:szCs w:val="21"/>
        </w:rPr>
        <w:t xml:space="preserve">    b) </w:t>
      </w:r>
      <w:r>
        <w:rPr>
          <w:rFonts w:hint="eastAsia"/>
          <w:sz w:val="21"/>
          <w:szCs w:val="21"/>
        </w:rPr>
        <w:t>顶空瓶、进样系统和取样（进样）导管，通过触摸屏统一协调实现三路加热控温</w:t>
      </w:r>
    </w:p>
    <w:p>
      <w:pPr>
        <w:pStyle w:val="4"/>
        <w:numPr>
          <w:ilvl w:val="0"/>
          <w:numId w:val="1"/>
        </w:numPr>
        <w:spacing w:after="105"/>
        <w:rPr>
          <w:sz w:val="21"/>
          <w:szCs w:val="21"/>
        </w:rPr>
      </w:pPr>
      <w:r>
        <w:rPr>
          <w:sz w:val="21"/>
          <w:szCs w:val="21"/>
        </w:rPr>
        <w:t xml:space="preserve">    c) 10</w:t>
      </w:r>
      <w:r>
        <w:rPr>
          <w:rFonts w:hint="eastAsia"/>
          <w:sz w:val="21"/>
          <w:szCs w:val="21"/>
        </w:rPr>
        <w:t>种方法供编辑、存储和随时调用</w:t>
      </w:r>
    </w:p>
    <w:p>
      <w:pPr>
        <w:pStyle w:val="4"/>
        <w:numPr>
          <w:ilvl w:val="0"/>
          <w:numId w:val="1"/>
        </w:numPr>
        <w:spacing w:after="105"/>
        <w:rPr>
          <w:sz w:val="21"/>
          <w:szCs w:val="21"/>
        </w:rPr>
      </w:pPr>
      <w:r>
        <w:rPr>
          <w:sz w:val="21"/>
          <w:szCs w:val="21"/>
        </w:rPr>
        <w:t xml:space="preserve">    d) </w:t>
      </w:r>
      <w:r>
        <w:rPr>
          <w:rFonts w:hint="eastAsia"/>
          <w:sz w:val="21"/>
          <w:szCs w:val="21"/>
        </w:rPr>
        <w:t>可同步启动</w:t>
      </w:r>
      <w:r>
        <w:rPr>
          <w:sz w:val="21"/>
          <w:szCs w:val="21"/>
        </w:rPr>
        <w:t>GC</w:t>
      </w:r>
      <w:r>
        <w:rPr>
          <w:rFonts w:hint="eastAsia"/>
          <w:sz w:val="21"/>
          <w:szCs w:val="21"/>
        </w:rPr>
        <w:t>、色谱数据处理工作站，也可用外部事件程序启动本装置，实现同一样</w:t>
      </w:r>
    </w:p>
    <w:p>
      <w:pPr>
        <w:pStyle w:val="4"/>
        <w:numPr>
          <w:ilvl w:val="0"/>
          <w:numId w:val="1"/>
        </w:numPr>
        <w:spacing w:after="105"/>
        <w:rPr>
          <w:sz w:val="21"/>
          <w:szCs w:val="21"/>
        </w:rPr>
      </w:pPr>
      <w:r>
        <w:rPr>
          <w:sz w:val="21"/>
          <w:szCs w:val="21"/>
        </w:rPr>
        <w:t xml:space="preserve">    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 </w:t>
      </w:r>
      <w:r>
        <w:rPr>
          <w:rFonts w:hint="eastAsia"/>
          <w:sz w:val="21"/>
          <w:szCs w:val="21"/>
        </w:rPr>
        <w:t>品瓶多次重复进样</w:t>
      </w:r>
    </w:p>
    <w:p>
      <w:pPr>
        <w:pStyle w:val="4"/>
        <w:numPr>
          <w:ilvl w:val="0"/>
          <w:numId w:val="1"/>
        </w:numPr>
        <w:spacing w:after="105"/>
        <w:rPr>
          <w:sz w:val="21"/>
          <w:szCs w:val="21"/>
        </w:rPr>
      </w:pPr>
      <w:r>
        <w:rPr>
          <w:sz w:val="21"/>
          <w:szCs w:val="21"/>
        </w:rPr>
        <w:t xml:space="preserve">    e) </w:t>
      </w:r>
      <w:r>
        <w:rPr>
          <w:rFonts w:hint="eastAsia"/>
          <w:sz w:val="21"/>
          <w:szCs w:val="21"/>
        </w:rPr>
        <w:t>具有自检功能（板级和气路）和故障显示功能</w:t>
      </w:r>
    </w:p>
    <w:p>
      <w:pPr>
        <w:pStyle w:val="4"/>
        <w:numPr>
          <w:ilvl w:val="0"/>
          <w:numId w:val="1"/>
        </w:numPr>
        <w:spacing w:after="105"/>
        <w:rPr>
          <w:sz w:val="21"/>
          <w:szCs w:val="21"/>
        </w:rPr>
      </w:pPr>
      <w:r>
        <w:rPr>
          <w:sz w:val="21"/>
          <w:szCs w:val="21"/>
        </w:rPr>
        <w:t xml:space="preserve">4. </w:t>
      </w:r>
      <w:r>
        <w:rPr>
          <w:rFonts w:hint="eastAsia"/>
          <w:sz w:val="21"/>
          <w:szCs w:val="21"/>
        </w:rPr>
        <w:t>样品盘自动定位并在屏幕上实时显示转盘号位</w:t>
      </w:r>
    </w:p>
    <w:p>
      <w:pPr>
        <w:pStyle w:val="4"/>
        <w:numPr>
          <w:ilvl w:val="0"/>
          <w:numId w:val="1"/>
        </w:numPr>
        <w:spacing w:after="105"/>
        <w:rPr>
          <w:sz w:val="21"/>
          <w:szCs w:val="21"/>
        </w:rPr>
      </w:pPr>
      <w:r>
        <w:rPr>
          <w:sz w:val="21"/>
          <w:szCs w:val="21"/>
        </w:rPr>
        <w:t xml:space="preserve">5. </w:t>
      </w:r>
      <w:r>
        <w:rPr>
          <w:rFonts w:hint="eastAsia"/>
          <w:sz w:val="21"/>
          <w:szCs w:val="21"/>
        </w:rPr>
        <w:t>允许实验过程中二次追加样品，无需复位打断原来实验序列，灵活方便</w:t>
      </w:r>
    </w:p>
    <w:p>
      <w:pPr>
        <w:pStyle w:val="4"/>
        <w:numPr>
          <w:ilvl w:val="0"/>
          <w:numId w:val="1"/>
        </w:numPr>
        <w:spacing w:after="105"/>
        <w:rPr>
          <w:sz w:val="21"/>
          <w:szCs w:val="21"/>
        </w:rPr>
      </w:pPr>
      <w:r>
        <w:rPr>
          <w:sz w:val="21"/>
          <w:szCs w:val="21"/>
        </w:rPr>
        <w:t xml:space="preserve">6. </w:t>
      </w:r>
      <w:r>
        <w:rPr>
          <w:rFonts w:hint="eastAsia"/>
          <w:sz w:val="21"/>
          <w:szCs w:val="21"/>
        </w:rPr>
        <w:t>样品传输管（包括取样针）和进样阀有自动反吹功能，避免了不同样品的交叉污染</w:t>
      </w:r>
    </w:p>
    <w:p>
      <w:pPr>
        <w:pStyle w:val="4"/>
        <w:numPr>
          <w:ilvl w:val="0"/>
          <w:numId w:val="1"/>
        </w:numPr>
        <w:spacing w:after="105"/>
        <w:rPr>
          <w:sz w:val="21"/>
          <w:szCs w:val="21"/>
        </w:rPr>
      </w:pPr>
      <w:r>
        <w:rPr>
          <w:sz w:val="21"/>
          <w:szCs w:val="21"/>
        </w:rPr>
        <w:t xml:space="preserve">7. </w:t>
      </w:r>
      <w:r>
        <w:rPr>
          <w:rFonts w:hint="eastAsia"/>
          <w:sz w:val="21"/>
          <w:szCs w:val="21"/>
        </w:rPr>
        <w:t>六通阀与定量环的组合，有效降低死体积，提高分析灵敏度</w:t>
      </w:r>
    </w:p>
    <w:p>
      <w:pPr>
        <w:pStyle w:val="4"/>
        <w:numPr>
          <w:ilvl w:val="0"/>
          <w:numId w:val="1"/>
        </w:numPr>
        <w:spacing w:after="105"/>
        <w:rPr>
          <w:sz w:val="21"/>
          <w:szCs w:val="21"/>
        </w:rPr>
      </w:pPr>
      <w:r>
        <w:rPr>
          <w:sz w:val="21"/>
          <w:szCs w:val="21"/>
        </w:rPr>
        <w:t xml:space="preserve">8. </w:t>
      </w:r>
      <w:r>
        <w:rPr>
          <w:rFonts w:hint="eastAsia"/>
          <w:sz w:val="21"/>
          <w:szCs w:val="21"/>
        </w:rPr>
        <w:t>六通阀与传输管线链路无传输冷点，保证了样品的完整性</w:t>
      </w:r>
    </w:p>
    <w:p>
      <w:pPr>
        <w:pStyle w:val="4"/>
        <w:numPr>
          <w:ilvl w:val="0"/>
          <w:numId w:val="1"/>
        </w:numPr>
      </w:pPr>
    </w:p>
    <w:p>
      <w:pPr>
        <w:pStyle w:val="4"/>
        <w:numPr>
          <w:ilvl w:val="0"/>
          <w:numId w:val="1"/>
        </w:numPr>
      </w:pPr>
      <w:r>
        <w:rPr>
          <w:rFonts w:hint="eastAsia"/>
        </w:rPr>
        <w:t>二、</w:t>
      </w:r>
      <w:r>
        <w:rPr>
          <w:rFonts w:hint="eastAsia"/>
          <w:sz w:val="23"/>
          <w:szCs w:val="23"/>
        </w:rPr>
        <w:t>性能指标</w:t>
      </w:r>
    </w:p>
    <w:p>
      <w:pPr>
        <w:pStyle w:val="4"/>
        <w:numPr>
          <w:ilvl w:val="0"/>
          <w:numId w:val="1"/>
        </w:numPr>
        <w:spacing w:after="112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rFonts w:hint="eastAsia"/>
          <w:sz w:val="21"/>
          <w:szCs w:val="21"/>
        </w:rPr>
        <w:t>顶空炉温度控制范围：室温～</w:t>
      </w:r>
      <w:r>
        <w:rPr>
          <w:sz w:val="21"/>
          <w:szCs w:val="21"/>
        </w:rPr>
        <w:t>260</w:t>
      </w:r>
      <w:r>
        <w:rPr>
          <w:rFonts w:hint="eastAsia"/>
          <w:sz w:val="21"/>
          <w:szCs w:val="21"/>
        </w:rPr>
        <w:t>℃，步长</w:t>
      </w: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℃</w:t>
      </w:r>
    </w:p>
    <w:p>
      <w:pPr>
        <w:pStyle w:val="4"/>
        <w:numPr>
          <w:ilvl w:val="0"/>
          <w:numId w:val="1"/>
        </w:numPr>
        <w:spacing w:after="112"/>
        <w:rPr>
          <w:sz w:val="21"/>
          <w:szCs w:val="21"/>
        </w:rPr>
      </w:pPr>
      <w:r>
        <w:rPr>
          <w:sz w:val="21"/>
          <w:szCs w:val="21"/>
        </w:rPr>
        <w:t xml:space="preserve">2. </w:t>
      </w:r>
      <w:r>
        <w:rPr>
          <w:rFonts w:hint="eastAsia"/>
          <w:sz w:val="21"/>
          <w:szCs w:val="21"/>
        </w:rPr>
        <w:t>阀进样系统温度控制范围：室温～</w:t>
      </w:r>
      <w:r>
        <w:rPr>
          <w:sz w:val="21"/>
          <w:szCs w:val="21"/>
        </w:rPr>
        <w:t>220</w:t>
      </w:r>
      <w:r>
        <w:rPr>
          <w:rFonts w:hint="eastAsia"/>
          <w:sz w:val="21"/>
          <w:szCs w:val="21"/>
        </w:rPr>
        <w:t>℃，步长</w:t>
      </w: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℃</w:t>
      </w:r>
    </w:p>
    <w:p>
      <w:pPr>
        <w:pStyle w:val="4"/>
        <w:numPr>
          <w:ilvl w:val="0"/>
          <w:numId w:val="1"/>
        </w:numPr>
        <w:spacing w:after="112"/>
        <w:rPr>
          <w:sz w:val="21"/>
          <w:szCs w:val="21"/>
        </w:rPr>
      </w:pPr>
      <w:r>
        <w:rPr>
          <w:sz w:val="21"/>
          <w:szCs w:val="21"/>
        </w:rPr>
        <w:t xml:space="preserve">3. </w:t>
      </w:r>
      <w:r>
        <w:rPr>
          <w:rFonts w:hint="eastAsia"/>
          <w:sz w:val="21"/>
          <w:szCs w:val="21"/>
        </w:rPr>
        <w:t>样品传送管线温度控制范围：室温～</w:t>
      </w:r>
      <w:r>
        <w:rPr>
          <w:sz w:val="21"/>
          <w:szCs w:val="21"/>
        </w:rPr>
        <w:t>220</w:t>
      </w:r>
      <w:r>
        <w:rPr>
          <w:rFonts w:hint="eastAsia"/>
          <w:sz w:val="21"/>
          <w:szCs w:val="21"/>
        </w:rPr>
        <w:t>℃，步长</w:t>
      </w: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℃</w:t>
      </w:r>
    </w:p>
    <w:p>
      <w:pPr>
        <w:pStyle w:val="4"/>
        <w:numPr>
          <w:ilvl w:val="0"/>
          <w:numId w:val="1"/>
        </w:numPr>
        <w:spacing w:after="112"/>
        <w:rPr>
          <w:sz w:val="21"/>
          <w:szCs w:val="21"/>
        </w:rPr>
      </w:pPr>
      <w:r>
        <w:rPr>
          <w:sz w:val="21"/>
          <w:szCs w:val="21"/>
        </w:rPr>
        <w:t xml:space="preserve">4. </w:t>
      </w:r>
      <w:r>
        <w:rPr>
          <w:rFonts w:hint="eastAsia"/>
          <w:sz w:val="21"/>
          <w:szCs w:val="21"/>
        </w:rPr>
        <w:t>温度控制精度：</w:t>
      </w:r>
      <w:r>
        <w:rPr>
          <w:sz w:val="21"/>
          <w:szCs w:val="21"/>
        </w:rPr>
        <w:t xml:space="preserve">&lt; </w:t>
      </w:r>
      <w:r>
        <w:rPr>
          <w:rFonts w:hint="eastAsia"/>
          <w:sz w:val="21"/>
          <w:szCs w:val="21"/>
        </w:rPr>
        <w:t>±</w:t>
      </w:r>
      <w:r>
        <w:rPr>
          <w:sz w:val="21"/>
          <w:szCs w:val="21"/>
        </w:rPr>
        <w:t>0.1</w:t>
      </w:r>
      <w:r>
        <w:rPr>
          <w:rFonts w:hint="eastAsia"/>
          <w:sz w:val="21"/>
          <w:szCs w:val="21"/>
        </w:rPr>
        <w:t>℃</w:t>
      </w:r>
    </w:p>
    <w:p>
      <w:pPr>
        <w:pStyle w:val="4"/>
        <w:numPr>
          <w:ilvl w:val="0"/>
          <w:numId w:val="1"/>
        </w:numPr>
        <w:spacing w:after="112"/>
        <w:rPr>
          <w:sz w:val="21"/>
          <w:szCs w:val="21"/>
        </w:rPr>
      </w:pPr>
      <w:r>
        <w:rPr>
          <w:sz w:val="21"/>
          <w:szCs w:val="21"/>
        </w:rPr>
        <w:t xml:space="preserve">5. </w:t>
      </w:r>
      <w:r>
        <w:rPr>
          <w:rFonts w:hint="eastAsia"/>
          <w:sz w:val="21"/>
          <w:szCs w:val="21"/>
        </w:rPr>
        <w:t>温度控制梯度：</w:t>
      </w:r>
      <w:r>
        <w:rPr>
          <w:sz w:val="21"/>
          <w:szCs w:val="21"/>
        </w:rPr>
        <w:t xml:space="preserve">&lt; </w:t>
      </w:r>
      <w:r>
        <w:rPr>
          <w:rFonts w:hint="eastAsia"/>
          <w:sz w:val="21"/>
          <w:szCs w:val="21"/>
        </w:rPr>
        <w:t>±</w:t>
      </w:r>
      <w:r>
        <w:rPr>
          <w:sz w:val="21"/>
          <w:szCs w:val="21"/>
        </w:rPr>
        <w:t>0.1</w:t>
      </w:r>
      <w:r>
        <w:rPr>
          <w:rFonts w:hint="eastAsia"/>
          <w:sz w:val="21"/>
          <w:szCs w:val="21"/>
        </w:rPr>
        <w:t>℃</w:t>
      </w:r>
    </w:p>
    <w:p>
      <w:pPr>
        <w:pStyle w:val="4"/>
        <w:numPr>
          <w:ilvl w:val="0"/>
          <w:numId w:val="1"/>
        </w:numPr>
        <w:spacing w:after="112"/>
        <w:rPr>
          <w:sz w:val="21"/>
          <w:szCs w:val="21"/>
        </w:rPr>
      </w:pPr>
      <w:r>
        <w:rPr>
          <w:sz w:val="21"/>
          <w:szCs w:val="21"/>
        </w:rPr>
        <w:t xml:space="preserve">6. </w:t>
      </w:r>
      <w:r>
        <w:rPr>
          <w:rFonts w:hint="eastAsia"/>
          <w:sz w:val="21"/>
          <w:szCs w:val="21"/>
        </w:rPr>
        <w:t>顶空炉工位数：</w:t>
      </w:r>
      <w:r>
        <w:rPr>
          <w:sz w:val="21"/>
          <w:szCs w:val="21"/>
        </w:rPr>
        <w:t>1</w:t>
      </w:r>
    </w:p>
    <w:p>
      <w:pPr>
        <w:pStyle w:val="4"/>
        <w:numPr>
          <w:ilvl w:val="0"/>
          <w:numId w:val="1"/>
        </w:numPr>
        <w:spacing w:after="112"/>
        <w:rPr>
          <w:sz w:val="21"/>
          <w:szCs w:val="21"/>
        </w:rPr>
      </w:pPr>
      <w:r>
        <w:rPr>
          <w:sz w:val="21"/>
          <w:szCs w:val="21"/>
        </w:rPr>
        <w:t xml:space="preserve">7. </w:t>
      </w:r>
      <w:r>
        <w:rPr>
          <w:rFonts w:hint="eastAsia"/>
          <w:sz w:val="21"/>
          <w:szCs w:val="21"/>
        </w:rPr>
        <w:t>顶空瓶工位：</w:t>
      </w:r>
      <w:r>
        <w:rPr>
          <w:sz w:val="21"/>
          <w:szCs w:val="21"/>
        </w:rPr>
        <w:t>24</w:t>
      </w:r>
      <w:r>
        <w:rPr>
          <w:rFonts w:hint="eastAsia"/>
          <w:sz w:val="21"/>
          <w:szCs w:val="21"/>
        </w:rPr>
        <w:t>工位</w:t>
      </w:r>
    </w:p>
    <w:p>
      <w:pPr>
        <w:pStyle w:val="4"/>
        <w:numPr>
          <w:ilvl w:val="0"/>
          <w:numId w:val="1"/>
        </w:numPr>
        <w:spacing w:after="112"/>
        <w:rPr>
          <w:sz w:val="21"/>
          <w:szCs w:val="21"/>
        </w:rPr>
      </w:pPr>
      <w:r>
        <w:rPr>
          <w:sz w:val="21"/>
          <w:szCs w:val="21"/>
        </w:rPr>
        <w:t xml:space="preserve">8. </w:t>
      </w:r>
      <w:r>
        <w:rPr>
          <w:rFonts w:hint="eastAsia"/>
          <w:sz w:val="21"/>
          <w:szCs w:val="21"/>
        </w:rPr>
        <w:t>顶空瓶规格：标准</w:t>
      </w:r>
      <w:r>
        <w:rPr>
          <w:sz w:val="21"/>
          <w:szCs w:val="21"/>
        </w:rPr>
        <w:t>20</w:t>
      </w:r>
      <w:r>
        <w:rPr>
          <w:rFonts w:hint="eastAsia"/>
          <w:sz w:val="21"/>
          <w:szCs w:val="21"/>
        </w:rPr>
        <w:t>ｍ</w:t>
      </w:r>
      <w:r>
        <w:rPr>
          <w:sz w:val="21"/>
          <w:szCs w:val="21"/>
        </w:rPr>
        <w:t>l</w:t>
      </w:r>
      <w:r>
        <w:rPr>
          <w:rFonts w:hint="eastAsia"/>
          <w:sz w:val="21"/>
          <w:szCs w:val="21"/>
        </w:rPr>
        <w:t>（</w:t>
      </w:r>
      <w:r>
        <w:rPr>
          <w:sz w:val="21"/>
          <w:szCs w:val="21"/>
        </w:rPr>
        <w:t>10</w:t>
      </w:r>
      <w:r>
        <w:rPr>
          <w:rFonts w:hint="eastAsia"/>
          <w:sz w:val="21"/>
          <w:szCs w:val="21"/>
        </w:rPr>
        <w:t>ｍ</w:t>
      </w:r>
      <w:r>
        <w:rPr>
          <w:sz w:val="21"/>
          <w:szCs w:val="21"/>
        </w:rPr>
        <w:t>l</w:t>
      </w:r>
      <w:r>
        <w:rPr>
          <w:rFonts w:hint="eastAsia"/>
          <w:sz w:val="21"/>
          <w:szCs w:val="21"/>
        </w:rPr>
        <w:t>等规格可定制）</w:t>
      </w:r>
    </w:p>
    <w:p>
      <w:pPr>
        <w:pStyle w:val="4"/>
        <w:numPr>
          <w:ilvl w:val="0"/>
          <w:numId w:val="1"/>
        </w:numPr>
        <w:spacing w:after="112"/>
        <w:rPr>
          <w:sz w:val="21"/>
          <w:szCs w:val="21"/>
        </w:rPr>
      </w:pPr>
      <w:r>
        <w:rPr>
          <w:sz w:val="21"/>
          <w:szCs w:val="21"/>
        </w:rPr>
        <w:t xml:space="preserve">9. </w:t>
      </w:r>
      <w:r>
        <w:rPr>
          <w:rFonts w:hint="eastAsia"/>
          <w:sz w:val="21"/>
          <w:szCs w:val="21"/>
        </w:rPr>
        <w:t>进样加压范围：</w:t>
      </w:r>
      <w:r>
        <w:rPr>
          <w:sz w:val="21"/>
          <w:szCs w:val="21"/>
        </w:rPr>
        <w:t>0</w:t>
      </w:r>
      <w:r>
        <w:rPr>
          <w:rFonts w:hint="eastAsia"/>
          <w:sz w:val="21"/>
          <w:szCs w:val="21"/>
        </w:rPr>
        <w:t>～</w:t>
      </w:r>
      <w:r>
        <w:rPr>
          <w:sz w:val="21"/>
          <w:szCs w:val="21"/>
        </w:rPr>
        <w:t>0.4Mpa</w:t>
      </w:r>
      <w:r>
        <w:rPr>
          <w:rFonts w:hint="eastAsia"/>
          <w:sz w:val="21"/>
          <w:szCs w:val="21"/>
        </w:rPr>
        <w:t>，连续可调</w:t>
      </w:r>
    </w:p>
    <w:p>
      <w:pPr>
        <w:pStyle w:val="4"/>
        <w:numPr>
          <w:ilvl w:val="0"/>
          <w:numId w:val="1"/>
        </w:numPr>
        <w:spacing w:after="112"/>
        <w:rPr>
          <w:sz w:val="21"/>
          <w:szCs w:val="21"/>
        </w:rPr>
      </w:pPr>
      <w:r>
        <w:rPr>
          <w:sz w:val="21"/>
          <w:szCs w:val="21"/>
        </w:rPr>
        <w:t xml:space="preserve">10. </w:t>
      </w:r>
      <w:r>
        <w:rPr>
          <w:rFonts w:hint="eastAsia"/>
          <w:sz w:val="21"/>
          <w:szCs w:val="21"/>
        </w:rPr>
        <w:t>监测压力范围：</w:t>
      </w:r>
      <w:r>
        <w:rPr>
          <w:sz w:val="21"/>
          <w:szCs w:val="21"/>
        </w:rPr>
        <w:t>0</w:t>
      </w:r>
      <w:r>
        <w:rPr>
          <w:rFonts w:hint="eastAsia"/>
          <w:sz w:val="21"/>
          <w:szCs w:val="21"/>
        </w:rPr>
        <w:t>～</w:t>
      </w:r>
      <w:r>
        <w:rPr>
          <w:sz w:val="21"/>
          <w:szCs w:val="21"/>
        </w:rPr>
        <w:t>0.4Mpa</w:t>
      </w:r>
      <w:r>
        <w:rPr>
          <w:rFonts w:hint="eastAsia"/>
          <w:sz w:val="21"/>
          <w:szCs w:val="21"/>
        </w:rPr>
        <w:t>，压力表显示</w:t>
      </w:r>
    </w:p>
    <w:p>
      <w:pPr>
        <w:pStyle w:val="4"/>
        <w:numPr>
          <w:ilvl w:val="0"/>
          <w:numId w:val="1"/>
        </w:numPr>
        <w:spacing w:after="112"/>
        <w:rPr>
          <w:sz w:val="21"/>
          <w:szCs w:val="21"/>
        </w:rPr>
      </w:pPr>
      <w:r>
        <w:rPr>
          <w:sz w:val="21"/>
          <w:szCs w:val="21"/>
        </w:rPr>
        <w:t xml:space="preserve">11. </w:t>
      </w:r>
      <w:r>
        <w:rPr>
          <w:rFonts w:hint="eastAsia"/>
          <w:sz w:val="21"/>
          <w:szCs w:val="21"/>
        </w:rPr>
        <w:t>分析重复性：</w:t>
      </w:r>
      <w:r>
        <w:rPr>
          <w:sz w:val="21"/>
          <w:szCs w:val="21"/>
        </w:rPr>
        <w:t>RSD&lt;1.5%</w:t>
      </w:r>
      <w:r>
        <w:rPr>
          <w:rFonts w:hint="eastAsia"/>
          <w:sz w:val="21"/>
          <w:szCs w:val="21"/>
        </w:rPr>
        <w:t>（</w:t>
      </w:r>
      <w:r>
        <w:rPr>
          <w:sz w:val="21"/>
          <w:szCs w:val="21"/>
        </w:rPr>
        <w:t xml:space="preserve">200ppm </w:t>
      </w:r>
      <w:r>
        <w:rPr>
          <w:rFonts w:hint="eastAsia"/>
          <w:sz w:val="21"/>
          <w:szCs w:val="21"/>
        </w:rPr>
        <w:t>乙醇水溶液，与</w:t>
      </w:r>
      <w:r>
        <w:rPr>
          <w:sz w:val="21"/>
          <w:szCs w:val="21"/>
        </w:rPr>
        <w:t>GC</w:t>
      </w:r>
      <w:r>
        <w:rPr>
          <w:rFonts w:hint="eastAsia"/>
          <w:sz w:val="21"/>
          <w:szCs w:val="21"/>
        </w:rPr>
        <w:t>性能有关）</w:t>
      </w:r>
    </w:p>
    <w:p>
      <w:pPr>
        <w:pStyle w:val="4"/>
        <w:numPr>
          <w:ilvl w:val="0"/>
          <w:numId w:val="1"/>
        </w:numPr>
        <w:spacing w:after="112"/>
        <w:rPr>
          <w:sz w:val="21"/>
          <w:szCs w:val="21"/>
        </w:rPr>
      </w:pPr>
      <w:r>
        <w:rPr>
          <w:sz w:val="21"/>
          <w:szCs w:val="21"/>
        </w:rPr>
        <w:t xml:space="preserve">12. </w:t>
      </w:r>
      <w:r>
        <w:rPr>
          <w:rFonts w:hint="eastAsia"/>
          <w:sz w:val="21"/>
          <w:szCs w:val="21"/>
        </w:rPr>
        <w:t>供电电源：</w:t>
      </w:r>
      <w:r>
        <w:rPr>
          <w:sz w:val="21"/>
          <w:szCs w:val="21"/>
        </w:rPr>
        <w:t>AC220V 50Hz</w:t>
      </w:r>
    </w:p>
    <w:p>
      <w:pPr>
        <w:pStyle w:val="4"/>
        <w:numPr>
          <w:ilvl w:val="0"/>
          <w:numId w:val="1"/>
        </w:numPr>
        <w:spacing w:after="112"/>
        <w:rPr>
          <w:sz w:val="21"/>
          <w:szCs w:val="21"/>
        </w:rPr>
      </w:pPr>
      <w:r>
        <w:rPr>
          <w:sz w:val="21"/>
          <w:szCs w:val="21"/>
        </w:rPr>
        <w:t xml:space="preserve">13. </w:t>
      </w:r>
      <w:r>
        <w:rPr>
          <w:rFonts w:hint="eastAsia"/>
          <w:sz w:val="21"/>
          <w:szCs w:val="21"/>
        </w:rPr>
        <w:t>功率：</w:t>
      </w:r>
      <w:r>
        <w:rPr>
          <w:sz w:val="21"/>
          <w:szCs w:val="21"/>
        </w:rPr>
        <w:t>500W</w:t>
      </w:r>
    </w:p>
    <w:p/>
    <w:sectPr>
      <w:pgSz w:w="11906" w:h="17338"/>
      <w:pgMar w:top="1351" w:right="1521" w:bottom="989" w:left="1711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953BE2"/>
    <w:multiLevelType w:val="multilevel"/>
    <w:tmpl w:val="32953BE2"/>
    <w:lvl w:ilvl="0" w:tentative="0">
      <w:start w:val="1"/>
      <w:numFmt w:val="lowerLetter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czYzM1ODlhZGRlYzA3M2U1MTNmMDA1MjIyYzUyOTYifQ=="/>
  </w:docVars>
  <w:rsids>
    <w:rsidRoot w:val="005C2CB1"/>
    <w:rsid w:val="005C2CB1"/>
    <w:rsid w:val="1A571A7E"/>
    <w:rsid w:val="58B10E57"/>
    <w:rsid w:val="7F73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微软雅黑" w:eastAsia="微软雅黑" w:cs="微软雅黑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</Words>
  <Characters>679</Characters>
  <Lines>5</Lines>
  <Paragraphs>1</Paragraphs>
  <TotalTime>1</TotalTime>
  <ScaleCrop>false</ScaleCrop>
  <LinksUpToDate>false</LinksUpToDate>
  <CharactersWithSpaces>796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2024-01-24T06:39:00Z</dcterms:created>
  <dc:creator>121886218@qq.com</dc:creator>
  <cp:lastModifiedBy>南柯旧人.</cp:lastModifiedBy>
  <dcterms:modified xsi:type="dcterms:W3CDTF">2024-03-08T06:12:09Z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4C606815182C4D2A968F17E5B7EE8490_12</vt:lpwstr>
  </property>
</Properties>
</file>