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sz w:val="28"/>
          <w:szCs w:val="28"/>
          <w:lang w:val="en-US" w:eastAsia="zh-CN"/>
        </w:rPr>
      </w:pPr>
      <w:r>
        <w:rPr>
          <w:rFonts w:hint="eastAsia"/>
          <w:sz w:val="28"/>
          <w:szCs w:val="28"/>
          <w:lang w:val="en-US" w:eastAsia="zh-CN"/>
        </w:rPr>
        <w:t>兼投不兼中情况说明</w:t>
      </w:r>
    </w:p>
    <w:p>
      <w:pPr>
        <w:rPr>
          <w:rFonts w:hint="eastAsia"/>
        </w:rPr>
      </w:pPr>
    </w:p>
    <w:p>
      <w:pPr>
        <w:rPr>
          <w:rFonts w:hint="eastAsia"/>
        </w:rPr>
      </w:pPr>
    </w:p>
    <w:p>
      <w:pPr>
        <w:spacing w:line="480" w:lineRule="auto"/>
        <w:ind w:firstLine="480" w:firstLineChars="200"/>
        <w:rPr>
          <w:rFonts w:hint="eastAsia"/>
          <w:sz w:val="24"/>
          <w:szCs w:val="24"/>
        </w:rPr>
      </w:pPr>
      <w:r>
        <w:rPr>
          <w:rFonts w:hint="eastAsia"/>
          <w:sz w:val="24"/>
          <w:szCs w:val="24"/>
        </w:rPr>
        <w:t>根据招标文件第四章招标内容与技术要求1.主要商务要求-其他-特别说明第4项：“投标人可以投“包头市市区雨污管网智能探测及修复工程五期（第一部分）”所有标段，但由于本项目工期紧、任务重，为了保证项目能够按期完成，最多只能中一个标段，若投标人同时在多个标段中排名第一，评标委员会会优先选择投标限价最高的1个标段推荐其中标，剩余标段不再推荐其中标，并顺延至第二中标候选人，以此类推。”根据此原则，山东正元地球物理信息技术有限公司被推荐为包头市市区雨污管网智能探测及修复工程五期（第一部分）3标段的中标人，此标段中标人顺延至排名第二的保定金迪地下管线探测工程有限公司。</w:t>
      </w:r>
    </w:p>
    <w:p>
      <w:pPr>
        <w:spacing w:line="480" w:lineRule="auto"/>
        <w:ind w:firstLine="480" w:firstLineChars="200"/>
        <w:rPr>
          <w:rFonts w:hint="eastAsia"/>
          <w:sz w:val="24"/>
          <w:szCs w:val="24"/>
        </w:rPr>
      </w:pPr>
      <w:bookmarkStart w:id="0" w:name="_GoBack"/>
      <w:bookmarkEnd w:id="0"/>
    </w:p>
    <w:p>
      <w:pPr>
        <w:spacing w:line="480" w:lineRule="auto"/>
        <w:ind w:firstLine="480" w:firstLineChars="200"/>
        <w:jc w:val="right"/>
        <w:rPr>
          <w:rFonts w:hint="eastAsia"/>
          <w:sz w:val="24"/>
          <w:szCs w:val="24"/>
          <w:lang w:eastAsia="zh-CN"/>
        </w:rPr>
      </w:pPr>
      <w:r>
        <w:rPr>
          <w:rFonts w:hint="eastAsia"/>
          <w:sz w:val="24"/>
          <w:szCs w:val="24"/>
          <w:lang w:eastAsia="zh-CN"/>
        </w:rPr>
        <w:t>内蒙古润泰工程项目管理有限责任公司</w:t>
      </w:r>
    </w:p>
    <w:p>
      <w:pPr>
        <w:spacing w:line="480" w:lineRule="auto"/>
        <w:ind w:firstLine="480" w:firstLineChars="200"/>
        <w:jc w:val="right"/>
        <w:rPr>
          <w:rFonts w:hint="default"/>
          <w:sz w:val="24"/>
          <w:szCs w:val="24"/>
          <w:lang w:val="en-US" w:eastAsia="zh-CN"/>
        </w:rPr>
      </w:pPr>
      <w:r>
        <w:rPr>
          <w:rFonts w:hint="eastAsia"/>
          <w:sz w:val="24"/>
          <w:szCs w:val="24"/>
          <w:lang w:val="en-US" w:eastAsia="zh-CN"/>
        </w:rPr>
        <w:t>2022年7月18日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M2UxMGQwOTFkMGE5NTc5MTI1MTNkMGM0ODNhMTYifQ=="/>
  </w:docVars>
  <w:rsids>
    <w:rsidRoot w:val="00000000"/>
    <w:rsid w:val="0A97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2022-07-18T10:03:36Z</dcterms:created>
  <dc:creator>Administrator</dc:creator>
  <cp:lastModifiedBy>Administrator</cp:lastModifiedBy>
  <dcterms:modified xsi:type="dcterms:W3CDTF">2022-07-18T10:05:57Z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001692817F0B4D04B453D048D0B38557</vt:lpwstr>
  </property>
</Properties>
</file>