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中小企业数字化转型试点城市评测验收项目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呼和浩特市工业和信息化局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内蒙古思远达招标代理有限公司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150101-SYD--GK-20250001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内蒙古思远达招标代理有限公司</w:t>
      </w:r>
      <w:r>
        <w:rPr>
          <w:rFonts w:ascii="仿宋_GB2312" w:hAnsi="仿宋_GB2312" w:cs="仿宋_GB2312" w:eastAsia="仿宋_GB2312"/>
        </w:rPr>
        <w:t xml:space="preserve"> 受 </w:t>
      </w:r>
      <w:r>
        <w:rPr>
          <w:rFonts w:ascii="仿宋_GB2312" w:hAnsi="仿宋_GB2312" w:cs="仿宋_GB2312" w:eastAsia="仿宋_GB2312"/>
        </w:rPr>
        <w:t>呼和浩特市工业和信息化局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中小企业数字化转型试点城市评测验收项目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中小企业数字化转型试点城市评测验收项目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150101-SYD--GK-20250001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呼政采计划[2025]00438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5,250,000.00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中小企业数字化转型试点城市评测验收项目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5,250,000.00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内蒙古思远达招标代理有限公司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呼和浩特市赛罕区世纪四路金正大厦11楼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010020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岳嘉伟、武先生、逯先生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0471-3463588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呼和浩特市工业和信息化局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呼和浩特市机场高速路55号水岸小镇G4号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冯莹</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18147177315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代理服务费收费标准：参照原内蒙古自治区工程建设协会内工建协（2022）34号关于印发《内蒙古自治区建设工程招标代理服务收费指导意见》通知的95%收取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呼和浩特市工业和信息化局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内蒙古思远达招标代理有限公司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审查投标人提供的具有良好的商业信誉和健全的财务会计制度的相关材料或提供书面声明（格式自拟）。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审查投标人提供的依法缴纳税收和社会保障资金的相关材料或提供书面声明（格式自拟）。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审查投标人提供的具有履行合同所必需的设备和专业技术能力的证明材料或提供书面声明（格式自拟）。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根据财政部办公厅、工业和信息化部办公厅《关于做好2024年中小企业数字化转型城市试点工作的通知》（财办建〔2024〕23号）、《呼和浩特市中小企业数字化转型试点工作方案》要求，开展本项目工作。</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项目启动至验收完成，自合同签订之日起至2027年3月31日止。（具体以国家完成验收为准）</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1、支付比例40%，双方合同签订生效后，采购人向中标供应商支付合同总金额的40%价款。中标供应商向采购人提供合法合规的等额发票，采购人收到发票确认无误后，达到付款条件起30日，支付合同总金额的40.00%</w:t>
            </w:r>
          </w:p>
          <w:p>
            <w:pPr>
              <w:pStyle w:val="null5"/>
              <w:jc w:val="left"/>
            </w:pPr>
            <w:r>
              <w:rPr>
                <w:rFonts w:ascii="仿宋_GB2312" w:hAnsi="仿宋_GB2312" w:cs="仿宋_GB2312" w:eastAsia="仿宋_GB2312"/>
              </w:rPr>
              <w:t>2、支付比例30%，完成中期验收后，2026年2月份，采购人向中标供应商支付合同总金额的30%价款。中标供应商向采购人提供合法合规的等额发票，采购人收到发票确认无误后，达到付款条件起30日，支付合同总金额的30.00%</w:t>
            </w:r>
          </w:p>
          <w:p>
            <w:pPr>
              <w:pStyle w:val="null5"/>
              <w:jc w:val="left"/>
            </w:pPr>
            <w:r>
              <w:rPr>
                <w:rFonts w:ascii="仿宋_GB2312" w:hAnsi="仿宋_GB2312" w:cs="仿宋_GB2312" w:eastAsia="仿宋_GB2312"/>
              </w:rPr>
              <w:t>3、支付比例30%，完成终期验收后，采购人向中标供应商支付合同总金额的剩余30%价款。中标供应商向采购人提供合法合规的等额发票，采购人收到发票确认无误后，达到付款条件起30日，支付合同总金额的30.00%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标的名称：中小企业数字化转型试点城市评测验收项目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560"/>
              <w:jc w:val="left"/>
            </w:pPr>
            <w:r>
              <w:rPr>
                <w:rFonts w:ascii="仿宋_GB2312" w:hAnsi="仿宋_GB2312" w:cs="仿宋_GB2312" w:eastAsia="仿宋_GB2312"/>
                <w:sz w:val="28"/>
              </w:rPr>
              <w:t>1、供应商主要职责包括但不限于：</w:t>
            </w:r>
          </w:p>
          <w:p>
            <w:pPr>
              <w:pStyle w:val="null5"/>
              <w:ind w:firstLine="560"/>
              <w:jc w:val="left"/>
            </w:pPr>
            <w:r>
              <w:rPr>
                <w:rFonts w:ascii="仿宋_GB2312" w:hAnsi="仿宋_GB2312" w:cs="仿宋_GB2312" w:eastAsia="仿宋_GB2312"/>
                <w:sz w:val="28"/>
              </w:rPr>
              <w:t>（</w:t>
            </w:r>
            <w:r>
              <w:rPr>
                <w:rFonts w:ascii="仿宋_GB2312" w:hAnsi="仿宋_GB2312" w:cs="仿宋_GB2312" w:eastAsia="仿宋_GB2312"/>
                <w:sz w:val="28"/>
              </w:rPr>
              <w:t>1）制定评测方案。确保按照工信部中小企业数字化水平评测要求和成效验收要求，科学合理地开展试点企业数字化水平评测和成效验收工作。</w:t>
            </w:r>
          </w:p>
          <w:p>
            <w:pPr>
              <w:pStyle w:val="null5"/>
              <w:ind w:firstLine="560"/>
              <w:jc w:val="left"/>
            </w:pPr>
            <w:r>
              <w:rPr>
                <w:rFonts w:ascii="仿宋_GB2312" w:hAnsi="仿宋_GB2312" w:cs="仿宋_GB2312" w:eastAsia="仿宋_GB2312"/>
                <w:sz w:val="28"/>
              </w:rPr>
              <w:t>（</w:t>
            </w:r>
            <w:r>
              <w:rPr>
                <w:rFonts w:ascii="仿宋_GB2312" w:hAnsi="仿宋_GB2312" w:cs="仿宋_GB2312" w:eastAsia="仿宋_GB2312"/>
                <w:sz w:val="28"/>
              </w:rPr>
              <w:t>2）编制验收规范性文件。秉持“完成一批、验收一批”的原则，以工信部最终验收要求为依据评估企业改造成效。</w:t>
            </w:r>
          </w:p>
          <w:p>
            <w:pPr>
              <w:pStyle w:val="null5"/>
              <w:ind w:firstLine="560"/>
              <w:jc w:val="left"/>
            </w:pPr>
            <w:r>
              <w:rPr>
                <w:rFonts w:ascii="仿宋_GB2312" w:hAnsi="仿宋_GB2312" w:cs="仿宋_GB2312" w:eastAsia="仿宋_GB2312"/>
                <w:sz w:val="28"/>
              </w:rPr>
              <w:t>（</w:t>
            </w:r>
            <w:r>
              <w:rPr>
                <w:rFonts w:ascii="仿宋_GB2312" w:hAnsi="仿宋_GB2312" w:cs="仿宋_GB2312" w:eastAsia="仿宋_GB2312"/>
                <w:sz w:val="28"/>
              </w:rPr>
              <w:t>3）出具评测验收报告。综合评定各试点企业的数字化水平等级，并组织专家对评测结果进行复核认定，对试点企业数字化转型项目给出通过、不通过或需整改的评定。</w:t>
            </w:r>
          </w:p>
          <w:p>
            <w:pPr>
              <w:pStyle w:val="null5"/>
              <w:ind w:firstLine="560"/>
              <w:jc w:val="left"/>
            </w:pPr>
            <w:r>
              <w:rPr>
                <w:rFonts w:ascii="仿宋_GB2312" w:hAnsi="仿宋_GB2312" w:cs="仿宋_GB2312" w:eastAsia="仿宋_GB2312"/>
                <w:sz w:val="28"/>
              </w:rPr>
              <w:t>（</w:t>
            </w:r>
            <w:r>
              <w:rPr>
                <w:rFonts w:ascii="仿宋_GB2312" w:hAnsi="仿宋_GB2312" w:cs="仿宋_GB2312" w:eastAsia="仿宋_GB2312"/>
                <w:sz w:val="28"/>
              </w:rPr>
              <w:t>4）配合智库支撑机构、监督机构、公共服务平台等完成相关工作。</w:t>
            </w:r>
          </w:p>
          <w:p>
            <w:pPr>
              <w:pStyle w:val="null5"/>
              <w:ind w:firstLine="560"/>
              <w:jc w:val="left"/>
            </w:pPr>
            <w:r>
              <w:rPr>
                <w:rFonts w:ascii="仿宋_GB2312" w:hAnsi="仿宋_GB2312" w:cs="仿宋_GB2312" w:eastAsia="仿宋_GB2312"/>
                <w:sz w:val="28"/>
              </w:rPr>
              <w:t>2、服务要求及标准。</w:t>
            </w:r>
            <w:r>
              <w:rPr>
                <w:rFonts w:ascii="仿宋_GB2312" w:hAnsi="仿宋_GB2312" w:cs="仿宋_GB2312" w:eastAsia="仿宋_GB2312"/>
                <w:sz w:val="28"/>
                <w:color w:val="000000"/>
              </w:rPr>
              <w:t>根据财政部办公厅、工业和信息化部办公厅《关于做好</w:t>
            </w:r>
            <w:r>
              <w:rPr>
                <w:rFonts w:ascii="仿宋_GB2312" w:hAnsi="仿宋_GB2312" w:cs="仿宋_GB2312" w:eastAsia="仿宋_GB2312"/>
                <w:sz w:val="28"/>
                <w:color w:val="000000"/>
              </w:rPr>
              <w:t>2024年中小企业数字化转型城市试点工作的通知》（财办建〔2024〕23号）和内蒙古自治区相关工作要求，结合《呼和浩特市中小企业数字化转型城市试点工作专项资金管理办法》中“对完成数字化改造后的试点企业，开展数字化水平评测服务和成效验收工作”相关工作要求，为切实保证试点企业数字化改造符合试点工作要求，开展本项目工作。主要包括如下具体工作：</w:t>
            </w:r>
          </w:p>
          <w:p>
            <w:pPr>
              <w:pStyle w:val="null5"/>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1）中小企业数字化转型试点项目验收实施方案研制；</w:t>
            </w:r>
          </w:p>
          <w:p>
            <w:pPr>
              <w:pStyle w:val="null5"/>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2）中小企业数字化转型城市试点改造企业数字化水平评测工作，</w:t>
            </w:r>
            <w:r>
              <w:rPr>
                <w:rFonts w:ascii="仿宋_GB2312" w:hAnsi="仿宋_GB2312" w:cs="仿宋_GB2312" w:eastAsia="仿宋_GB2312"/>
                <w:sz w:val="28"/>
              </w:rPr>
              <w:t>达到一企一报告；</w:t>
            </w:r>
          </w:p>
          <w:p>
            <w:pPr>
              <w:pStyle w:val="null5"/>
              <w:ind w:firstLine="560"/>
              <w:jc w:val="left"/>
            </w:pPr>
            <w:r>
              <w:rPr>
                <w:rFonts w:ascii="仿宋_GB2312" w:hAnsi="仿宋_GB2312" w:cs="仿宋_GB2312" w:eastAsia="仿宋_GB2312"/>
                <w:sz w:val="28"/>
              </w:rPr>
              <w:t>（</w:t>
            </w:r>
            <w:r>
              <w:rPr>
                <w:rFonts w:ascii="仿宋_GB2312" w:hAnsi="仿宋_GB2312" w:cs="仿宋_GB2312" w:eastAsia="仿宋_GB2312"/>
                <w:sz w:val="28"/>
              </w:rPr>
              <w:t>3）中小企业数字化转型城市试点改造企业的数字化改造的成效验收工作及其他补贴类项目遴选。</w:t>
            </w:r>
          </w:p>
          <w:p>
            <w:pPr>
              <w:pStyle w:val="null5"/>
              <w:ind w:firstLine="20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对呼和浩特市特色食品加工、纺织服装加工、生物医药制造、农矿专用设备制造、新材料制造、结构性金属制品制造等六个细分行业的企业，并按照《中小企业数字化水平评测指标（2024年版）》，对企业改造后的数字化水平等级及成效进行验收。以确保呼和浩特市各试点中小企业数字化改造项目科学有序合规开展，保质保量按时推进，协调维护试点企业、服务商等各方合法权益为目标，根据呼和浩特市试点行业中小企业数字化水平实际情况，分批次开展中小企业数字化改造项目评测验收等，为后续项目验收提供充分依据，进一步保障呼和浩特市中小企业数字化转型城市试点工作达到财政部、工信部验收标准。</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技术要求响应情况</w:t>
            </w:r>
          </w:p>
        </w:tc>
        <w:tc>
          <w:tcPr>
            <w:tcW w:type="dxa" w:w="3115"/>
          </w:tcPr>
          <w:p>
            <w:pPr>
              <w:pStyle w:val="null5"/>
              <w:jc w:val="left"/>
            </w:pPr>
            <w:r>
              <w:rPr>
                <w:rFonts w:ascii="仿宋_GB2312" w:hAnsi="仿宋_GB2312" w:cs="仿宋_GB2312" w:eastAsia="仿宋_GB2312"/>
              </w:rPr>
              <w:t>根据投标人对招标文件中技术要求的响应情况进行评审，内容完整且满足采购人要求的得16分，每有1项内容不满足扣2分，扣完为止。</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项目理解</w:t>
            </w:r>
          </w:p>
        </w:tc>
        <w:tc>
          <w:tcPr>
            <w:tcW w:type="dxa" w:w="3115"/>
          </w:tcPr>
          <w:p>
            <w:pPr>
              <w:pStyle w:val="null5"/>
              <w:jc w:val="left"/>
            </w:pPr>
            <w:r>
              <w:rPr>
                <w:rFonts w:ascii="仿宋_GB2312" w:hAnsi="仿宋_GB2312" w:cs="仿宋_GB2312" w:eastAsia="仿宋_GB2312"/>
              </w:rPr>
              <w:t>根据投标人对项目的理解和认识情况进行综合评价，包括但不限于：①项目背景分析；②项目实施目标分析；③项目实施路径规划；④具体工作要求理解。每缺少一项内容扣3分，每项存在缺陷或不足、内容不完整或不符合项目实际情况的最多扣3分。 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工作方案</w:t>
            </w:r>
          </w:p>
        </w:tc>
        <w:tc>
          <w:tcPr>
            <w:tcW w:type="dxa" w:w="3115"/>
          </w:tcPr>
          <w:p>
            <w:pPr>
              <w:pStyle w:val="null5"/>
              <w:jc w:val="left"/>
            </w:pPr>
            <w:r>
              <w:rPr>
                <w:rFonts w:ascii="仿宋_GB2312" w:hAnsi="仿宋_GB2312" w:cs="仿宋_GB2312" w:eastAsia="仿宋_GB2312"/>
              </w:rPr>
              <w:t>根据投标人提供的评测验收实施工作方案情况进行综合评价，包括但不限于：①工作总则；②实施原则；③实施内容；④验收方式及流程。每缺少一项内容扣3分，每项存在缺陷或不足、内容不完整或不符合项目实际情况的最多扣3分。 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根据投标人提供的项目进度计划方案情况进行综合评价，包括但不限于：①进度时间安排；②项目各节点详细内容实施计划；③进度保障措施。每缺少一项内容扣2分，每项存在缺陷或不足、内容不完整或不符合项目实际情况的最多扣2分。 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实施保障方案</w:t>
            </w:r>
          </w:p>
        </w:tc>
        <w:tc>
          <w:tcPr>
            <w:tcW w:type="dxa" w:w="3115"/>
          </w:tcPr>
          <w:p>
            <w:pPr>
              <w:pStyle w:val="null5"/>
              <w:jc w:val="left"/>
            </w:pPr>
            <w:r>
              <w:rPr>
                <w:rFonts w:ascii="仿宋_GB2312" w:hAnsi="仿宋_GB2312" w:cs="仿宋_GB2312" w:eastAsia="仿宋_GB2312"/>
              </w:rPr>
              <w:t>根据投标人提供的项目实施保障方案情况进行综合评价，包括但不限于：①实施团队组织架构；②职责分工；③内部制度；④保障计划及流程。每缺少一项内容扣3分，每项存在缺陷或不足、内容不完整或不符合项目实际情况的最多扣3分。 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售后方案</w:t>
            </w:r>
          </w:p>
        </w:tc>
        <w:tc>
          <w:tcPr>
            <w:tcW w:type="dxa" w:w="3115"/>
          </w:tcPr>
          <w:p>
            <w:pPr>
              <w:pStyle w:val="null5"/>
              <w:jc w:val="left"/>
            </w:pPr>
            <w:r>
              <w:rPr>
                <w:rFonts w:ascii="仿宋_GB2312" w:hAnsi="仿宋_GB2312" w:cs="仿宋_GB2312" w:eastAsia="仿宋_GB2312"/>
              </w:rPr>
              <w:t>根据投标人提供的项目售后方案情况进行综合评价，包括但不限于：①售后服务保障措施及承诺；②响应机制；③技术支持；④人员保障方案。每缺少一项内容扣3分，每项存在缺陷或不足、内容不完整或不符合项目实际情况的最多扣3分。 注：缺陷或不足是指内容逻辑混乱，不符合相关的国家、行业标准；不完整指内容具有明显缺陷，前后内容无法连贯；不符合项目实际情况指内容脱离了实际情况，不利于采购人实施。</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项目业绩</w:t>
            </w:r>
          </w:p>
        </w:tc>
        <w:tc>
          <w:tcPr>
            <w:tcW w:type="dxa" w:w="3115"/>
          </w:tcPr>
          <w:p>
            <w:pPr>
              <w:pStyle w:val="null5"/>
              <w:jc w:val="left"/>
            </w:pPr>
            <w:r>
              <w:rPr>
                <w:rFonts w:ascii="仿宋_GB2312" w:hAnsi="仿宋_GB2312" w:cs="仿宋_GB2312" w:eastAsia="仿宋_GB2312"/>
              </w:rPr>
              <w:t>投标人提供（2022年01月至本项目投标截止日）完成相关或类似项目业绩，有一个得3分，最多得15分。 注：1.证明文件：合同或委托协议的首页及关键页；要求合同或委托协议清晰无遮档，提供复印件加盖公章，否则不得分。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项目团队</w:t>
            </w:r>
          </w:p>
        </w:tc>
        <w:tc>
          <w:tcPr>
            <w:tcW w:type="dxa" w:w="3115"/>
          </w:tcPr>
          <w:p>
            <w:pPr>
              <w:pStyle w:val="null5"/>
              <w:jc w:val="left"/>
            </w:pPr>
            <w:r>
              <w:rPr>
                <w:rFonts w:ascii="仿宋_GB2312" w:hAnsi="仿宋_GB2312" w:cs="仿宋_GB2312" w:eastAsia="仿宋_GB2312"/>
              </w:rPr>
              <w:t>1.项目负责人具有相关领域副高级及以上职称证书得2分。 2.项目团队成员（除项目负责人以外）具有相关领域中级及以上职称证书的，每提供一人得1分，最高得3分； 注：①相关领域指：电子信息、情报、通信、机械、电气、自动化、计算机软件、质量专业或其他与数字化专业相关等专业。②提供相关人员职称证书以及开标前三个月（不含当月）内任意一个月在本单位缴纳的社保证明材料。</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