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78318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投标相关注意事项</w:t>
      </w:r>
      <w:bookmarkEnd w:id="0"/>
    </w:p>
    <w:p w14:paraId="4F0EB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0069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1.本项目中第12包、第13包、第14包复印类型为“激光/喷墨”，供应商响应时，激光和喷墨只能选择其中一项，满足其中一项即为满足此项要求，参数偏离规则为正偏离。</w:t>
      </w:r>
    </w:p>
    <w:p w14:paraId="7F1AA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项目为全流程电子化采购项目，为规避系统瞬时访问拥堵、本地运行环境适配异常、操作流程不熟悉等问题，保障各供应商顺畅参与采购活动，请各供应商提前查阅系统官方发布的操作手册完成学习，并在投标截止时间前至少30分钟，登录本项目对应的政府采购电子化交易系统，提前完成账号身份校验、设备调试、功能预检测等操作，排查本地网络稳定性、浏览器兼容性、系统操作权限等自身侧潜在问题。若因供应商操作不熟悉、本地软硬件环境故障等非平台端原因，导致无法正常完成投标文件上传、签到、线上解密等项目核心流程，相关后果由供应商自行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12F94"/>
    <w:rsid w:val="5DC1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2026-07-11T09:30:00Z</dcterms:created>
  <dc:creator>苏日娜</dc:creator>
  <cp:lastModifiedBy>苏日娜</cp:lastModifiedBy>
  <dcterms:modified xsi:type="dcterms:W3CDTF">2026-07-11T09:33:54Z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A656051665574C9F8FB4B3B1118FD762_11</vt:lpwstr>
  </property>
  <property fmtid="{D5CDD505-2E9C-101B-9397-08002B2CF9AE}" pid="4" name="KSOTemplateDocerSaveRecord">
    <vt:lpwstr>eyJoZGlkIjoiMTg1NzI2NzdhYjRhNjRjNmE4ZWNjZmVmODQzYWEyYzgiLCJ1c2VySWQiOiI1Mzg2MDI1MDEifQ==</vt:lpwstr>
  </property>
</Properties>
</file>