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739C6E">
      <w:pPr>
        <w:spacing w:line="660" w:lineRule="exact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附件</w:t>
      </w:r>
      <w:r>
        <w:rPr>
          <w:rFonts w:ascii="仿宋_GB2312" w:hAnsi="仿宋" w:eastAsia="仿宋_GB2312" w:cs="仿宋"/>
          <w:sz w:val="32"/>
          <w:szCs w:val="32"/>
        </w:rPr>
        <w:t>：</w:t>
      </w:r>
    </w:p>
    <w:p w14:paraId="61D80378">
      <w:pPr>
        <w:spacing w:line="660" w:lineRule="exact"/>
        <w:jc w:val="center"/>
        <w:rPr>
          <w:rFonts w:ascii="方正小标宋简体" w:hAnsi="华文楷体" w:eastAsia="方正小标宋简体" w:cs="华文楷体"/>
          <w:b/>
          <w:bCs/>
          <w:sz w:val="44"/>
          <w:szCs w:val="44"/>
        </w:rPr>
      </w:pPr>
      <w:r>
        <w:rPr>
          <w:rFonts w:hint="eastAsia" w:ascii="方正小标宋简体" w:hAnsi="仿宋" w:eastAsia="方正小标宋简体" w:cs="仿宋"/>
          <w:sz w:val="44"/>
          <w:szCs w:val="44"/>
        </w:rPr>
        <w:t>内蒙古自治区公共资源交易中心、</w:t>
      </w:r>
      <w:r>
        <w:rPr>
          <w:rFonts w:hint="eastAsia" w:ascii="方正小标宋简体" w:hAnsi="宋体" w:eastAsia="方正小标宋简体" w:cs="宋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呼和浩特市政府采购中心关于物业管理服务框架协议采购需求</w:t>
      </w:r>
    </w:p>
    <w:p w14:paraId="172343A7">
      <w:pPr>
        <w:jc w:val="center"/>
        <w:rPr>
          <w:rFonts w:ascii="华文楷体" w:hAnsi="华文楷体" w:eastAsia="华文楷体" w:cs="华文楷体"/>
          <w:b/>
          <w:bCs/>
          <w:sz w:val="36"/>
          <w:szCs w:val="36"/>
        </w:rPr>
      </w:pPr>
    </w:p>
    <w:p w14:paraId="3ACF5F92">
      <w:pPr>
        <w:numPr>
          <w:ilvl w:val="0"/>
          <w:numId w:val="1"/>
        </w:numPr>
        <w:jc w:val="left"/>
        <w:rPr>
          <w:rFonts w:ascii="仿宋_GB2312" w:hAnsi="仿宋" w:eastAsia="仿宋_GB2312" w:cs="仿宋"/>
          <w:b/>
          <w:bCs/>
          <w:sz w:val="32"/>
          <w:szCs w:val="32"/>
        </w:rPr>
      </w:pPr>
      <w:r>
        <w:rPr>
          <w:rFonts w:hint="eastAsia" w:ascii="仿宋_GB2312" w:hAnsi="仿宋" w:eastAsia="仿宋_GB2312" w:cs="仿宋"/>
          <w:b/>
          <w:bCs/>
          <w:sz w:val="32"/>
          <w:szCs w:val="32"/>
        </w:rPr>
        <w:t>项目基本情况。</w:t>
      </w:r>
    </w:p>
    <w:p w14:paraId="624BC0DB">
      <w:pPr>
        <w:numPr>
          <w:ilvl w:val="0"/>
          <w:numId w:val="2"/>
        </w:numPr>
        <w:spacing w:line="440" w:lineRule="exact"/>
        <w:ind w:left="368" w:leftChars="175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项目名称</w:t>
      </w:r>
      <w:r>
        <w:rPr>
          <w:rFonts w:ascii="仿宋_GB2312" w:hAnsi="仿宋" w:eastAsia="仿宋_GB2312" w:cs="仿宋"/>
          <w:sz w:val="32"/>
          <w:szCs w:val="32"/>
        </w:rPr>
        <w:t>：</w:t>
      </w:r>
      <w:r>
        <w:rPr>
          <w:rFonts w:hint="eastAsia" w:ascii="仿宋_GB2312" w:hAnsi="仿宋" w:eastAsia="仿宋_GB2312" w:cs="仿宋"/>
          <w:sz w:val="32"/>
          <w:szCs w:val="32"/>
        </w:rPr>
        <w:t>物业管理服务框架协议采购</w:t>
      </w:r>
    </w:p>
    <w:p w14:paraId="0D0E1533">
      <w:pPr>
        <w:numPr>
          <w:ilvl w:val="0"/>
          <w:numId w:val="2"/>
        </w:numPr>
        <w:spacing w:line="440" w:lineRule="exact"/>
        <w:ind w:left="368" w:leftChars="175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项目分包数：1包。</w:t>
      </w:r>
    </w:p>
    <w:p w14:paraId="481CD6E0">
      <w:pPr>
        <w:numPr>
          <w:ilvl w:val="0"/>
          <w:numId w:val="2"/>
        </w:numPr>
        <w:spacing w:line="440" w:lineRule="exact"/>
        <w:ind w:left="368" w:leftChars="175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评审方法：价格优先法。</w:t>
      </w:r>
    </w:p>
    <w:p w14:paraId="50418835">
      <w:pPr>
        <w:numPr>
          <w:ilvl w:val="0"/>
          <w:numId w:val="2"/>
        </w:numPr>
        <w:spacing w:line="440" w:lineRule="exact"/>
        <w:ind w:left="368" w:leftChars="175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供应商报价类型：折扣。</w:t>
      </w:r>
    </w:p>
    <w:p w14:paraId="6BE3C6B1">
      <w:pPr>
        <w:numPr>
          <w:ilvl w:val="0"/>
          <w:numId w:val="2"/>
        </w:numPr>
        <w:spacing w:line="440" w:lineRule="exact"/>
        <w:ind w:left="368" w:leftChars="175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框架协议期限：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1</w:t>
      </w:r>
      <w:r>
        <w:rPr>
          <w:rFonts w:hint="eastAsia" w:ascii="仿宋_GB2312" w:hAnsi="仿宋" w:eastAsia="仿宋_GB2312" w:cs="仿宋"/>
          <w:sz w:val="32"/>
          <w:szCs w:val="32"/>
        </w:rPr>
        <w:t>年。</w:t>
      </w:r>
    </w:p>
    <w:p w14:paraId="0DE0B542">
      <w:pPr>
        <w:numPr>
          <w:ilvl w:val="0"/>
          <w:numId w:val="2"/>
        </w:numPr>
        <w:spacing w:line="440" w:lineRule="exact"/>
        <w:ind w:left="368" w:leftChars="175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落实政府采购政策资格审查：不专门面向中小企业。</w:t>
      </w:r>
    </w:p>
    <w:p w14:paraId="3732DAA6">
      <w:pPr>
        <w:numPr>
          <w:ilvl w:val="0"/>
          <w:numId w:val="2"/>
        </w:numPr>
        <w:spacing w:line="440" w:lineRule="exact"/>
        <w:ind w:left="368" w:leftChars="175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小微企业价格扣除比例：20%</w:t>
      </w:r>
      <w:r>
        <w:rPr>
          <w:rFonts w:ascii="仿宋_GB2312" w:hAnsi="仿宋" w:eastAsia="仿宋_GB2312" w:cs="仿宋"/>
          <w:sz w:val="32"/>
          <w:szCs w:val="32"/>
        </w:rPr>
        <w:t>.</w:t>
      </w:r>
    </w:p>
    <w:p w14:paraId="3F323CE3">
      <w:pPr>
        <w:numPr>
          <w:ilvl w:val="0"/>
          <w:numId w:val="1"/>
        </w:numPr>
        <w:jc w:val="left"/>
        <w:rPr>
          <w:rFonts w:ascii="仿宋_GB2312" w:hAnsi="仿宋" w:eastAsia="仿宋_GB2312" w:cs="仿宋"/>
          <w:b/>
          <w:bCs/>
          <w:sz w:val="32"/>
          <w:szCs w:val="32"/>
        </w:rPr>
      </w:pPr>
      <w:r>
        <w:rPr>
          <w:rFonts w:hint="eastAsia" w:ascii="仿宋_GB2312" w:hAnsi="仿宋" w:eastAsia="仿宋_GB2312" w:cs="仿宋"/>
          <w:b/>
          <w:bCs/>
          <w:sz w:val="32"/>
          <w:szCs w:val="32"/>
        </w:rPr>
        <w:t>采购内容。</w:t>
      </w:r>
    </w:p>
    <w:p w14:paraId="7963EF5E">
      <w:pPr>
        <w:numPr>
          <w:ilvl w:val="0"/>
          <w:numId w:val="3"/>
        </w:numPr>
        <w:spacing w:line="440" w:lineRule="exact"/>
        <w:ind w:left="368" w:leftChars="175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报价要求。</w:t>
      </w:r>
    </w:p>
    <w:tbl>
      <w:tblPr>
        <w:tblStyle w:val="6"/>
        <w:tblW w:w="8755" w:type="dxa"/>
        <w:tblInd w:w="0" w:type="dxa"/>
        <w:tblBorders>
          <w:top w:val="single" w:color="666666" w:sz="4" w:space="0"/>
          <w:left w:val="single" w:color="666666" w:sz="4" w:space="0"/>
          <w:bottom w:val="single" w:color="666666" w:sz="4" w:space="0"/>
          <w:right w:val="single" w:color="666666" w:sz="4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4394"/>
        <w:gridCol w:w="1775"/>
        <w:gridCol w:w="1627"/>
      </w:tblGrid>
      <w:tr w14:paraId="4E3F18D9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959" w:type="dxa"/>
            <w:vAlign w:val="center"/>
          </w:tcPr>
          <w:p w14:paraId="35311EE3">
            <w:pPr>
              <w:pStyle w:val="9"/>
              <w:jc w:val="center"/>
              <w:rPr>
                <w:rFonts w:hint="default" w:ascii="仿宋_GB2312" w:hAnsi="仿宋" w:eastAsia="仿宋_GB2312" w:cs="仿宋"/>
                <w:b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b/>
                <w:kern w:val="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394" w:type="dxa"/>
            <w:vAlign w:val="center"/>
          </w:tcPr>
          <w:p w14:paraId="0EF0B801">
            <w:pPr>
              <w:pStyle w:val="9"/>
              <w:jc w:val="center"/>
              <w:rPr>
                <w:rFonts w:hint="default" w:ascii="仿宋_GB2312" w:hAnsi="仿宋" w:eastAsia="仿宋_GB2312" w:cs="仿宋"/>
                <w:b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b/>
                <w:kern w:val="2"/>
                <w:sz w:val="32"/>
                <w:szCs w:val="32"/>
                <w:lang w:eastAsia="zh-CN"/>
              </w:rPr>
              <w:t>报价明细</w:t>
            </w:r>
          </w:p>
        </w:tc>
        <w:tc>
          <w:tcPr>
            <w:tcW w:w="1775" w:type="dxa"/>
            <w:vAlign w:val="center"/>
          </w:tcPr>
          <w:p w14:paraId="4FB7B810">
            <w:pPr>
              <w:pStyle w:val="9"/>
              <w:jc w:val="center"/>
              <w:rPr>
                <w:rFonts w:hint="default" w:ascii="仿宋_GB2312" w:hAnsi="仿宋" w:eastAsia="仿宋_GB2312" w:cs="仿宋"/>
                <w:b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b/>
                <w:kern w:val="2"/>
                <w:sz w:val="32"/>
                <w:szCs w:val="32"/>
                <w:lang w:eastAsia="zh-CN"/>
              </w:rPr>
              <w:t>供应商报价类型</w:t>
            </w:r>
          </w:p>
        </w:tc>
        <w:tc>
          <w:tcPr>
            <w:tcW w:w="1627" w:type="dxa"/>
            <w:vAlign w:val="center"/>
          </w:tcPr>
          <w:p w14:paraId="6EEE06B9">
            <w:pPr>
              <w:pStyle w:val="9"/>
              <w:jc w:val="center"/>
              <w:rPr>
                <w:rFonts w:hint="default" w:ascii="仿宋_GB2312" w:hAnsi="仿宋" w:eastAsia="仿宋_GB2312" w:cs="仿宋"/>
                <w:b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b/>
                <w:kern w:val="2"/>
                <w:sz w:val="32"/>
                <w:szCs w:val="32"/>
                <w:lang w:eastAsia="zh-CN"/>
              </w:rPr>
              <w:t>计价单位</w:t>
            </w:r>
          </w:p>
        </w:tc>
      </w:tr>
      <w:tr w14:paraId="35C80FA0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959" w:type="dxa"/>
            <w:vAlign w:val="center"/>
          </w:tcPr>
          <w:p w14:paraId="5520A02B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394" w:type="dxa"/>
            <w:vAlign w:val="center"/>
          </w:tcPr>
          <w:p w14:paraId="006284AC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物业综合服务</w:t>
            </w:r>
          </w:p>
        </w:tc>
        <w:tc>
          <w:tcPr>
            <w:tcW w:w="1775" w:type="dxa"/>
            <w:vAlign w:val="center"/>
          </w:tcPr>
          <w:p w14:paraId="18FC4936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折扣</w:t>
            </w:r>
          </w:p>
        </w:tc>
        <w:tc>
          <w:tcPr>
            <w:tcW w:w="1627" w:type="dxa"/>
            <w:vAlign w:val="center"/>
          </w:tcPr>
          <w:p w14:paraId="4DFFA34F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%</w:t>
            </w:r>
          </w:p>
        </w:tc>
      </w:tr>
      <w:tr w14:paraId="0DA050A1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59" w:type="dxa"/>
            <w:vAlign w:val="center"/>
          </w:tcPr>
          <w:p w14:paraId="1B0BDF06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4394" w:type="dxa"/>
            <w:vAlign w:val="center"/>
          </w:tcPr>
          <w:p w14:paraId="6C94B9EE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环境卫生保洁服务</w:t>
            </w:r>
          </w:p>
        </w:tc>
        <w:tc>
          <w:tcPr>
            <w:tcW w:w="1775" w:type="dxa"/>
            <w:vAlign w:val="center"/>
          </w:tcPr>
          <w:p w14:paraId="27924BAB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折扣</w:t>
            </w:r>
          </w:p>
        </w:tc>
        <w:tc>
          <w:tcPr>
            <w:tcW w:w="1627" w:type="dxa"/>
          </w:tcPr>
          <w:p w14:paraId="359A7009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ascii="仿宋_GB2312" w:hAnsi="仿宋" w:eastAsia="仿宋_GB2312" w:cs="仿宋"/>
                <w:sz w:val="32"/>
                <w:szCs w:val="32"/>
              </w:rPr>
              <w:t>%</w:t>
            </w:r>
          </w:p>
        </w:tc>
      </w:tr>
      <w:tr w14:paraId="40B98D3D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59" w:type="dxa"/>
            <w:vAlign w:val="center"/>
          </w:tcPr>
          <w:p w14:paraId="57F7C5B7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4394" w:type="dxa"/>
            <w:vAlign w:val="center"/>
          </w:tcPr>
          <w:p w14:paraId="6392287A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房屋及公共设施设备维修维护</w:t>
            </w:r>
          </w:p>
        </w:tc>
        <w:tc>
          <w:tcPr>
            <w:tcW w:w="1775" w:type="dxa"/>
            <w:vAlign w:val="center"/>
          </w:tcPr>
          <w:p w14:paraId="3C93AA55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折扣</w:t>
            </w:r>
          </w:p>
        </w:tc>
        <w:tc>
          <w:tcPr>
            <w:tcW w:w="1627" w:type="dxa"/>
          </w:tcPr>
          <w:p w14:paraId="34506B45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ascii="仿宋_GB2312" w:hAnsi="仿宋" w:eastAsia="仿宋_GB2312" w:cs="仿宋"/>
                <w:sz w:val="32"/>
                <w:szCs w:val="32"/>
              </w:rPr>
              <w:t>%</w:t>
            </w:r>
          </w:p>
        </w:tc>
      </w:tr>
      <w:tr w14:paraId="2105A52D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959" w:type="dxa"/>
            <w:vAlign w:val="center"/>
          </w:tcPr>
          <w:p w14:paraId="6DA024DF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4394" w:type="dxa"/>
            <w:vAlign w:val="center"/>
          </w:tcPr>
          <w:p w14:paraId="066DBD13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绿化养护服务</w:t>
            </w:r>
          </w:p>
        </w:tc>
        <w:tc>
          <w:tcPr>
            <w:tcW w:w="1775" w:type="dxa"/>
            <w:vAlign w:val="center"/>
          </w:tcPr>
          <w:p w14:paraId="1587E078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折扣</w:t>
            </w:r>
          </w:p>
        </w:tc>
        <w:tc>
          <w:tcPr>
            <w:tcW w:w="1627" w:type="dxa"/>
          </w:tcPr>
          <w:p w14:paraId="28BFCCE6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ascii="仿宋_GB2312" w:hAnsi="仿宋" w:eastAsia="仿宋_GB2312" w:cs="仿宋"/>
                <w:sz w:val="32"/>
                <w:szCs w:val="32"/>
              </w:rPr>
              <w:t>%</w:t>
            </w:r>
          </w:p>
        </w:tc>
      </w:tr>
      <w:tr w14:paraId="12AF5CE7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959" w:type="dxa"/>
            <w:vAlign w:val="center"/>
          </w:tcPr>
          <w:p w14:paraId="04921BDB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4394" w:type="dxa"/>
            <w:vAlign w:val="center"/>
          </w:tcPr>
          <w:p w14:paraId="4E8BD86A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秩序维护及安防管理服务</w:t>
            </w:r>
          </w:p>
        </w:tc>
        <w:tc>
          <w:tcPr>
            <w:tcW w:w="1775" w:type="dxa"/>
            <w:vAlign w:val="center"/>
          </w:tcPr>
          <w:p w14:paraId="62CF1881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折扣</w:t>
            </w:r>
          </w:p>
        </w:tc>
        <w:tc>
          <w:tcPr>
            <w:tcW w:w="1627" w:type="dxa"/>
          </w:tcPr>
          <w:p w14:paraId="4BA41306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ascii="仿宋_GB2312" w:hAnsi="仿宋" w:eastAsia="仿宋_GB2312" w:cs="仿宋"/>
                <w:sz w:val="32"/>
                <w:szCs w:val="32"/>
              </w:rPr>
              <w:t>%</w:t>
            </w:r>
          </w:p>
        </w:tc>
      </w:tr>
      <w:tr w14:paraId="2B623C6F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59" w:type="dxa"/>
            <w:vAlign w:val="center"/>
          </w:tcPr>
          <w:p w14:paraId="57E17916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4394" w:type="dxa"/>
            <w:vAlign w:val="center"/>
          </w:tcPr>
          <w:p w14:paraId="22CF52D0">
            <w:pPr>
              <w:pStyle w:val="9"/>
              <w:jc w:val="center"/>
              <w:rPr>
                <w:rFonts w:hint="default" w:ascii="仿宋_GB2312" w:hAnsi="仿宋" w:eastAsia="仿宋_GB2312" w:cs="仿宋"/>
                <w:kern w:val="2"/>
                <w:sz w:val="32"/>
                <w:szCs w:val="32"/>
                <w:lang w:eastAsia="zh-CN"/>
              </w:rPr>
            </w:pPr>
            <w:r>
              <w:rPr>
                <w:rFonts w:ascii="仿宋_GB2312" w:hAnsi="仿宋" w:eastAsia="仿宋_GB2312" w:cs="仿宋"/>
                <w:kern w:val="2"/>
                <w:sz w:val="32"/>
                <w:szCs w:val="32"/>
                <w:lang w:eastAsia="zh-CN"/>
              </w:rPr>
              <w:t>会议服务</w:t>
            </w:r>
          </w:p>
        </w:tc>
        <w:tc>
          <w:tcPr>
            <w:tcW w:w="1775" w:type="dxa"/>
            <w:vAlign w:val="center"/>
          </w:tcPr>
          <w:p w14:paraId="556BC1AE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折扣</w:t>
            </w:r>
          </w:p>
        </w:tc>
        <w:tc>
          <w:tcPr>
            <w:tcW w:w="1627" w:type="dxa"/>
          </w:tcPr>
          <w:p w14:paraId="2F2C3C8C">
            <w:pPr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ascii="仿宋_GB2312" w:hAnsi="仿宋" w:eastAsia="仿宋_GB2312" w:cs="仿宋"/>
                <w:sz w:val="32"/>
                <w:szCs w:val="32"/>
              </w:rPr>
              <w:t>%</w:t>
            </w:r>
          </w:p>
        </w:tc>
      </w:tr>
    </w:tbl>
    <w:p w14:paraId="2408F826">
      <w:pPr>
        <w:numPr>
          <w:ilvl w:val="0"/>
          <w:numId w:val="3"/>
        </w:numPr>
        <w:spacing w:line="440" w:lineRule="exact"/>
        <w:ind w:left="368" w:leftChars="175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报价说明。</w:t>
      </w:r>
    </w:p>
    <w:p w14:paraId="1CCB368C">
      <w:pPr>
        <w:spacing w:line="440" w:lineRule="exact"/>
        <w:ind w:firstLine="851" w:firstLineChars="266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上述报价内容按照统一折扣，如响应文件出现多个折扣时，则响应文件无效。例如：响应报价98%代表98折。供应商的响应报价作为第一阶段入围价格，是第二阶段成交供应商的最高限价。（中标单价=中标折扣*最高限额标准） 所有数据项默认最多可输入/展示至小数点后2位，超出小数点位的数值采用四舍五入的方式进行精确。 注：1、此次折扣报价仅包含第二阶段完成相关服务内容的物业服务费，人员费用除外。 第二阶段的人员费用按照合同中双方约定的金额支付，且需满足当地最低工资标准、社会保险。 2、物业综合服务是第二阶段服务内容的必选内容，其他为可选内容。 3、第二阶段合同结算金额=物业综合服务中标单价*建筑面积+可选服务内容中标单价*相对应的建筑面积…+合同约定的人员费用。</w:t>
      </w:r>
    </w:p>
    <w:p w14:paraId="5B5FC22D">
      <w:pPr>
        <w:numPr>
          <w:ilvl w:val="0"/>
          <w:numId w:val="1"/>
        </w:numPr>
        <w:jc w:val="left"/>
        <w:rPr>
          <w:rFonts w:ascii="仿宋_GB2312" w:hAnsi="仿宋" w:eastAsia="仿宋_GB2312" w:cs="仿宋"/>
          <w:b/>
          <w:bCs/>
          <w:sz w:val="32"/>
          <w:szCs w:val="32"/>
        </w:rPr>
      </w:pPr>
      <w:r>
        <w:rPr>
          <w:rFonts w:hint="eastAsia" w:ascii="仿宋_GB2312" w:hAnsi="仿宋" w:eastAsia="仿宋_GB2312" w:cs="仿宋"/>
          <w:b/>
          <w:bCs/>
          <w:sz w:val="32"/>
          <w:szCs w:val="32"/>
        </w:rPr>
        <w:t>服务内容。</w:t>
      </w:r>
    </w:p>
    <w:p w14:paraId="6987DBA6">
      <w:pPr>
        <w:spacing w:line="440" w:lineRule="exact"/>
        <w:ind w:firstLine="851" w:firstLineChars="266"/>
        <w:jc w:val="left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1、服务技术参数要求。</w:t>
      </w:r>
    </w:p>
    <w:tbl>
      <w:tblPr>
        <w:tblStyle w:val="6"/>
        <w:tblW w:w="0" w:type="auto"/>
        <w:jc w:val="center"/>
        <w:tblBorders>
          <w:top w:val="single" w:color="666666" w:sz="4" w:space="0"/>
          <w:left w:val="single" w:color="666666" w:sz="4" w:space="0"/>
          <w:bottom w:val="single" w:color="666666" w:sz="4" w:space="0"/>
          <w:right w:val="single" w:color="666666" w:sz="4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797"/>
        <w:gridCol w:w="1676"/>
        <w:gridCol w:w="4278"/>
      </w:tblGrid>
      <w:tr w14:paraId="2FC7AE2C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</w:tcPr>
          <w:p w14:paraId="767372ED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序号</w:t>
            </w:r>
          </w:p>
        </w:tc>
        <w:tc>
          <w:tcPr>
            <w:tcW w:w="1797" w:type="dxa"/>
          </w:tcPr>
          <w:p w14:paraId="40E914CD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服务项</w:t>
            </w:r>
          </w:p>
          <w:p w14:paraId="47B8388E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类型</w:t>
            </w:r>
          </w:p>
        </w:tc>
        <w:tc>
          <w:tcPr>
            <w:tcW w:w="1676" w:type="dxa"/>
          </w:tcPr>
          <w:p w14:paraId="38E99775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服务项</w:t>
            </w:r>
          </w:p>
          <w:p w14:paraId="2F086AEE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名称</w:t>
            </w:r>
          </w:p>
        </w:tc>
        <w:tc>
          <w:tcPr>
            <w:tcW w:w="4278" w:type="dxa"/>
            <w:vAlign w:val="center"/>
          </w:tcPr>
          <w:p w14:paraId="5CEFD157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服务项对应描述</w:t>
            </w:r>
          </w:p>
        </w:tc>
      </w:tr>
      <w:tr w14:paraId="485B6F99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3F332CAA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1</w:t>
            </w:r>
          </w:p>
        </w:tc>
        <w:tc>
          <w:tcPr>
            <w:tcW w:w="1797" w:type="dxa"/>
            <w:vAlign w:val="center"/>
          </w:tcPr>
          <w:p w14:paraId="09A9CDB4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服务内容</w:t>
            </w:r>
          </w:p>
        </w:tc>
        <w:tc>
          <w:tcPr>
            <w:tcW w:w="1676" w:type="dxa"/>
            <w:vAlign w:val="center"/>
          </w:tcPr>
          <w:p w14:paraId="2C3BEB70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物业服务</w:t>
            </w:r>
          </w:p>
        </w:tc>
        <w:tc>
          <w:tcPr>
            <w:tcW w:w="4278" w:type="dxa"/>
          </w:tcPr>
          <w:p w14:paraId="4141AF9B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物业管理服务包括基本服务、房屋维护服务、公用设施设备维护服务、保洁服务、绿化服务、保安服务、会议服务等。 注：详见《物业管理服务政府采购需求标准（办公场所类）（试行）》财办库〔2024〕113号</w:t>
            </w:r>
          </w:p>
        </w:tc>
      </w:tr>
      <w:tr w14:paraId="3AAB310D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318A3954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2</w:t>
            </w:r>
          </w:p>
        </w:tc>
        <w:tc>
          <w:tcPr>
            <w:tcW w:w="1797" w:type="dxa"/>
            <w:vAlign w:val="center"/>
          </w:tcPr>
          <w:p w14:paraId="6B4D2F2C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服务内容</w:t>
            </w:r>
          </w:p>
        </w:tc>
        <w:tc>
          <w:tcPr>
            <w:tcW w:w="1676" w:type="dxa"/>
            <w:vAlign w:val="center"/>
          </w:tcPr>
          <w:p w14:paraId="58534333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物业综合服务</w:t>
            </w:r>
          </w:p>
        </w:tc>
        <w:tc>
          <w:tcPr>
            <w:tcW w:w="4278" w:type="dxa"/>
          </w:tcPr>
          <w:p w14:paraId="5D5034E2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最高限额标准：每平方米每年6元；费用构成说明：物业综合服务费主要指物业管理人员费用、日常办公费用、固定资产折旧费用和责任险费等综合性费用。备注：建筑面积（必选内容） 本表数据含税金（按6%计）</w:t>
            </w:r>
          </w:p>
        </w:tc>
      </w:tr>
      <w:tr w14:paraId="4A5B180F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0F506191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3</w:t>
            </w:r>
          </w:p>
        </w:tc>
        <w:tc>
          <w:tcPr>
            <w:tcW w:w="1797" w:type="dxa"/>
            <w:vAlign w:val="center"/>
          </w:tcPr>
          <w:p w14:paraId="04D46558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服务内容</w:t>
            </w:r>
          </w:p>
        </w:tc>
        <w:tc>
          <w:tcPr>
            <w:tcW w:w="1676" w:type="dxa"/>
            <w:vAlign w:val="center"/>
          </w:tcPr>
          <w:p w14:paraId="79F60064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环境卫生保洁服务</w:t>
            </w:r>
          </w:p>
        </w:tc>
        <w:tc>
          <w:tcPr>
            <w:tcW w:w="4278" w:type="dxa"/>
          </w:tcPr>
          <w:p w14:paraId="12445E54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最高限额标准：每平方米每年12元；费用构成说明：环境卫生保洁服务费主要指办公楼公共部位、卫生间、办公区域道路及停车场（库）等公共场地的卫生保洁工作所需费用、耗材费用和清掏清运费用等。备注：建筑面积 本表数据含税金（按6%计）</w:t>
            </w:r>
          </w:p>
        </w:tc>
      </w:tr>
      <w:tr w14:paraId="21845F8E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466E0841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4</w:t>
            </w:r>
          </w:p>
        </w:tc>
        <w:tc>
          <w:tcPr>
            <w:tcW w:w="1797" w:type="dxa"/>
            <w:vAlign w:val="center"/>
          </w:tcPr>
          <w:p w14:paraId="6ACC00B8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服务内容</w:t>
            </w:r>
          </w:p>
        </w:tc>
        <w:tc>
          <w:tcPr>
            <w:tcW w:w="1676" w:type="dxa"/>
            <w:vAlign w:val="center"/>
          </w:tcPr>
          <w:p w14:paraId="24DDE12C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房屋及公共设施设备维修维护</w:t>
            </w:r>
          </w:p>
        </w:tc>
        <w:tc>
          <w:tcPr>
            <w:tcW w:w="4278" w:type="dxa"/>
          </w:tcPr>
          <w:p w14:paraId="6E762A9A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最高限额标准：每平方米每年2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>5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元；费用构成说明：房屋及公共设施设备维修维护费主要指房屋日常维修维护、给排水设备维修维护、供配电及照明系统维修维护、供暖设备维修维护、消防系统维修维护、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>设施设备运行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、弱电系统维修维护、配电室值班、等工作所需费用和耗材费用（单件不超过500元）。备注：建筑面积，含单件500元及以下维修维护材料。 本表数据含税金（按6%计）</w:t>
            </w:r>
          </w:p>
        </w:tc>
      </w:tr>
      <w:tr w14:paraId="60F0008F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7F5E173D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5</w:t>
            </w:r>
          </w:p>
        </w:tc>
        <w:tc>
          <w:tcPr>
            <w:tcW w:w="1797" w:type="dxa"/>
            <w:vAlign w:val="center"/>
          </w:tcPr>
          <w:p w14:paraId="0320EE08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服务内容</w:t>
            </w:r>
          </w:p>
        </w:tc>
        <w:tc>
          <w:tcPr>
            <w:tcW w:w="1676" w:type="dxa"/>
            <w:vAlign w:val="center"/>
          </w:tcPr>
          <w:p w14:paraId="47499629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绿化养护服务</w:t>
            </w:r>
          </w:p>
        </w:tc>
        <w:tc>
          <w:tcPr>
            <w:tcW w:w="4278" w:type="dxa"/>
          </w:tcPr>
          <w:p w14:paraId="7278E2B8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最高限额标准：每平方米每年12元；费用构成说明：绿化养护服务费主要指树木、花草、绿地的绿化管理服务所需费用、耗材费用以及小面积补植补栽苗木费用。备注：室外绿地面积（含水系、园林景观和建筑小品面积） 本表数据含税金（按6%计）</w:t>
            </w:r>
          </w:p>
        </w:tc>
      </w:tr>
      <w:tr w14:paraId="17C7495F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4724597C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6</w:t>
            </w:r>
          </w:p>
        </w:tc>
        <w:tc>
          <w:tcPr>
            <w:tcW w:w="1797" w:type="dxa"/>
            <w:vAlign w:val="center"/>
          </w:tcPr>
          <w:p w14:paraId="749F3C35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服务内容</w:t>
            </w:r>
          </w:p>
        </w:tc>
        <w:tc>
          <w:tcPr>
            <w:tcW w:w="1676" w:type="dxa"/>
            <w:vAlign w:val="center"/>
          </w:tcPr>
          <w:p w14:paraId="178F30CA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秩序维护及安防管理服务</w:t>
            </w:r>
          </w:p>
        </w:tc>
        <w:tc>
          <w:tcPr>
            <w:tcW w:w="4278" w:type="dxa"/>
          </w:tcPr>
          <w:p w14:paraId="7BCAC71D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最高限额标准：每平方米每年16元；费用构成说明：秩序维护及安防管理服务费主要指日常巡查、公共秩序维护、突发事件处理、人员出入管理、车辆出入管理、消监控室值班、消防安全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>管理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等工作所需费用、耗材费用和演练费用等。备注：建筑面积，含停车管理。 本表数据含税金（按6%计）</w:t>
            </w:r>
          </w:p>
        </w:tc>
      </w:tr>
      <w:tr w14:paraId="0F07A2B1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10056C36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7</w:t>
            </w:r>
          </w:p>
        </w:tc>
        <w:tc>
          <w:tcPr>
            <w:tcW w:w="1797" w:type="dxa"/>
            <w:vAlign w:val="center"/>
          </w:tcPr>
          <w:p w14:paraId="67D934BC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服务内容</w:t>
            </w:r>
          </w:p>
        </w:tc>
        <w:tc>
          <w:tcPr>
            <w:tcW w:w="1676" w:type="dxa"/>
            <w:vAlign w:val="center"/>
          </w:tcPr>
          <w:p w14:paraId="2DC8407D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会议服务</w:t>
            </w:r>
          </w:p>
        </w:tc>
        <w:tc>
          <w:tcPr>
            <w:tcW w:w="4278" w:type="dxa"/>
          </w:tcPr>
          <w:p w14:paraId="002224B5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最高限额标准：每平方米每半天0.6元；费用构成说明：会议服务费主要指会场准备、会中服务、会后整理、会场卫生等工作所需费用和耗材费用。备注：会议室建筑面积，按照会议服务天数计算。 本表数据含税金（按6%计）</w:t>
            </w:r>
          </w:p>
        </w:tc>
      </w:tr>
      <w:tr w14:paraId="3A219349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62C9E3AF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8</w:t>
            </w:r>
          </w:p>
        </w:tc>
        <w:tc>
          <w:tcPr>
            <w:tcW w:w="1797" w:type="dxa"/>
            <w:vAlign w:val="center"/>
          </w:tcPr>
          <w:p w14:paraId="0A636B19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服务标准</w:t>
            </w:r>
          </w:p>
        </w:tc>
        <w:tc>
          <w:tcPr>
            <w:tcW w:w="1676" w:type="dxa"/>
            <w:vAlign w:val="center"/>
          </w:tcPr>
          <w:p w14:paraId="0F1380B7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物业服务</w:t>
            </w:r>
          </w:p>
        </w:tc>
        <w:tc>
          <w:tcPr>
            <w:tcW w:w="4278" w:type="dxa"/>
          </w:tcPr>
          <w:p w14:paraId="6A90ED77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采购人参照《物业管理服务政府采购需求标准（办公场所类）（试行）》执行，采购人可以对本需求标准所列的服务内容及服务标准作必要的调整，也可以对相关指标提出更高要求，但不得超出实际需要。采购需求的所有内容，应当包含在合同文本中。 注：服务标准涉及的国家标准有更新的，执行国家最新标准。</w:t>
            </w:r>
          </w:p>
        </w:tc>
      </w:tr>
      <w:tr w14:paraId="7A2DEC80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60F39839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9</w:t>
            </w:r>
          </w:p>
        </w:tc>
        <w:tc>
          <w:tcPr>
            <w:tcW w:w="1797" w:type="dxa"/>
            <w:vAlign w:val="center"/>
          </w:tcPr>
          <w:p w14:paraId="7D1FEE2D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技术保障</w:t>
            </w:r>
          </w:p>
        </w:tc>
        <w:tc>
          <w:tcPr>
            <w:tcW w:w="1676" w:type="dxa"/>
            <w:vAlign w:val="center"/>
          </w:tcPr>
          <w:p w14:paraId="09D8A237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物业服务技术保障</w:t>
            </w:r>
          </w:p>
        </w:tc>
        <w:tc>
          <w:tcPr>
            <w:tcW w:w="4278" w:type="dxa"/>
          </w:tcPr>
          <w:p w14:paraId="67C208C1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供应商所配备的服务设备、技术保障能力须符合国家及行业的相关标准。 注：采购人已无偿提供的作业设备，不在此重复要求。</w:t>
            </w:r>
          </w:p>
        </w:tc>
      </w:tr>
      <w:tr w14:paraId="3F59530D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09284D14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10</w:t>
            </w:r>
          </w:p>
        </w:tc>
        <w:tc>
          <w:tcPr>
            <w:tcW w:w="1797" w:type="dxa"/>
            <w:vAlign w:val="center"/>
          </w:tcPr>
          <w:p w14:paraId="7FCCA8CA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所涉及货物质量的标准</w:t>
            </w:r>
          </w:p>
        </w:tc>
        <w:tc>
          <w:tcPr>
            <w:tcW w:w="1676" w:type="dxa"/>
            <w:vAlign w:val="center"/>
          </w:tcPr>
          <w:p w14:paraId="3813BFEA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所涉及货物质量的标准</w:t>
            </w:r>
          </w:p>
        </w:tc>
        <w:tc>
          <w:tcPr>
            <w:tcW w:w="4278" w:type="dxa"/>
          </w:tcPr>
          <w:p w14:paraId="7B42C6D0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物业服务涉及的零星维修材料、低值易耗品、苗木、客耗品等产品质量必须符合国家及行业制订公布的各项相关标准。</w:t>
            </w:r>
          </w:p>
        </w:tc>
      </w:tr>
      <w:tr w14:paraId="37B98B3B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53386935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11</w:t>
            </w:r>
          </w:p>
        </w:tc>
        <w:tc>
          <w:tcPr>
            <w:tcW w:w="1797" w:type="dxa"/>
            <w:vAlign w:val="center"/>
          </w:tcPr>
          <w:p w14:paraId="3917F020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其他服务要求</w:t>
            </w:r>
          </w:p>
        </w:tc>
        <w:tc>
          <w:tcPr>
            <w:tcW w:w="1676" w:type="dxa"/>
            <w:vAlign w:val="center"/>
          </w:tcPr>
          <w:p w14:paraId="129B8727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服务人员要求</w:t>
            </w:r>
          </w:p>
        </w:tc>
        <w:tc>
          <w:tcPr>
            <w:tcW w:w="4278" w:type="dxa"/>
          </w:tcPr>
          <w:p w14:paraId="2D0B3AA7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供应商须承诺第二阶段的服务人员年龄、学历、工作经验应当与所在岗位能力要求相匹配，到岗前应当经过必要的岗前培训以达到岗位能力要求，国家、行业规定应当取得职业资格证书或特种作业证书（如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>：医疗垃圾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处理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>、电梯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维护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>、消防检查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类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>等相关内容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）的，应当按规定持证上岗。</w:t>
            </w:r>
          </w:p>
        </w:tc>
      </w:tr>
      <w:tr w14:paraId="69E69A9D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1" w:type="dxa"/>
            <w:vAlign w:val="center"/>
          </w:tcPr>
          <w:p w14:paraId="7A8CBCF8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12</w:t>
            </w:r>
          </w:p>
        </w:tc>
        <w:tc>
          <w:tcPr>
            <w:tcW w:w="1797" w:type="dxa"/>
            <w:vAlign w:val="center"/>
          </w:tcPr>
          <w:p w14:paraId="043A6C8F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其他服务要求</w:t>
            </w:r>
          </w:p>
        </w:tc>
        <w:tc>
          <w:tcPr>
            <w:tcW w:w="1676" w:type="dxa"/>
            <w:vAlign w:val="center"/>
          </w:tcPr>
          <w:p w14:paraId="5063642B">
            <w:pPr>
              <w:spacing w:line="440" w:lineRule="exact"/>
              <w:jc w:val="center"/>
              <w:rPr>
                <w:rFonts w:ascii="仿宋_GB2312" w:hAnsi="仿宋" w:eastAsia="仿宋_GB2312" w:cs="仿宋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其他服务要求</w:t>
            </w:r>
          </w:p>
        </w:tc>
        <w:tc>
          <w:tcPr>
            <w:tcW w:w="4278" w:type="dxa"/>
          </w:tcPr>
          <w:p w14:paraId="1006A4A2">
            <w:pPr>
              <w:spacing w:line="440" w:lineRule="exact"/>
              <w:rPr>
                <w:rFonts w:ascii="仿宋_GB2312" w:hAnsi="仿宋" w:eastAsia="仿宋_GB2312" w:cs="仿宋"/>
                <w:sz w:val="32"/>
                <w:szCs w:val="32"/>
                <w:highlight w:val="yellow"/>
              </w:rPr>
            </w:pP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财政部</w:t>
            </w:r>
            <w:r>
              <w:rPr>
                <w:rFonts w:ascii="仿宋_GB2312" w:hAnsi="仿宋" w:eastAsia="仿宋_GB2312" w:cs="仿宋"/>
                <w:sz w:val="32"/>
                <w:szCs w:val="32"/>
              </w:rPr>
              <w:t>《物业管理服务政府采购需求标准（办公场所类）（试行）》</w:t>
            </w:r>
            <w:r>
              <w:rPr>
                <w:rFonts w:hint="eastAsia" w:ascii="仿宋_GB2312" w:hAnsi="仿宋" w:eastAsia="仿宋_GB2312" w:cs="仿宋"/>
                <w:sz w:val="32"/>
                <w:szCs w:val="32"/>
              </w:rPr>
              <w:t>中规定的其他内容。</w:t>
            </w:r>
          </w:p>
        </w:tc>
      </w:tr>
    </w:tbl>
    <w:p w14:paraId="7D659870">
      <w:pPr>
        <w:jc w:val="left"/>
        <w:rPr>
          <w:rFonts w:ascii="仿宋_GB2312" w:hAnsi="仿宋" w:eastAsia="仿宋_GB2312" w:cs="仿宋"/>
          <w:b/>
          <w:bCs/>
          <w:sz w:val="32"/>
          <w:szCs w:val="32"/>
        </w:rPr>
      </w:pPr>
    </w:p>
    <w:p w14:paraId="6C8694B3">
      <w:pPr>
        <w:jc w:val="left"/>
        <w:rPr>
          <w:rFonts w:ascii="仿宋_GB2312" w:hAnsi="仿宋" w:eastAsia="仿宋_GB2312" w:cs="仿宋"/>
          <w:sz w:val="32"/>
          <w:szCs w:val="32"/>
        </w:rPr>
      </w:pPr>
      <w:bookmarkStart w:id="0" w:name="_GoBack"/>
      <w:bookmarkEnd w:id="0"/>
    </w:p>
    <w:p w14:paraId="19B15C7B">
      <w:pPr>
        <w:ind w:firstLine="420" w:firstLineChars="175"/>
        <w:jc w:val="left"/>
        <w:rPr>
          <w:rFonts w:ascii="仿宋" w:hAnsi="仿宋" w:eastAsia="仿宋" w:cs="仿宋"/>
          <w:sz w:val="24"/>
        </w:rPr>
      </w:pPr>
    </w:p>
    <w:p w14:paraId="26138A36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5E5261"/>
    <w:multiLevelType w:val="singleLevel"/>
    <w:tmpl w:val="9C5E526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070112D"/>
    <w:multiLevelType w:val="singleLevel"/>
    <w:tmpl w:val="A070112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C7158B83"/>
    <w:multiLevelType w:val="singleLevel"/>
    <w:tmpl w:val="C7158B8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2E4379"/>
    <w:rsid w:val="000451F0"/>
    <w:rsid w:val="001167E4"/>
    <w:rsid w:val="00231130"/>
    <w:rsid w:val="002834A3"/>
    <w:rsid w:val="002D49BE"/>
    <w:rsid w:val="0031764A"/>
    <w:rsid w:val="0043395E"/>
    <w:rsid w:val="00467252"/>
    <w:rsid w:val="004F1CC5"/>
    <w:rsid w:val="007827EF"/>
    <w:rsid w:val="007831FD"/>
    <w:rsid w:val="008105B4"/>
    <w:rsid w:val="008A6E95"/>
    <w:rsid w:val="00921B0F"/>
    <w:rsid w:val="009356AE"/>
    <w:rsid w:val="00972638"/>
    <w:rsid w:val="009D25A9"/>
    <w:rsid w:val="00A71AC6"/>
    <w:rsid w:val="00B00783"/>
    <w:rsid w:val="00B72C59"/>
    <w:rsid w:val="00BE0089"/>
    <w:rsid w:val="00C77ADD"/>
    <w:rsid w:val="00CD54C6"/>
    <w:rsid w:val="00DE1756"/>
    <w:rsid w:val="00E447EE"/>
    <w:rsid w:val="00ED66DB"/>
    <w:rsid w:val="00F13D05"/>
    <w:rsid w:val="00F63A78"/>
    <w:rsid w:val="00FF6FDA"/>
    <w:rsid w:val="13411349"/>
    <w:rsid w:val="17F56B59"/>
    <w:rsid w:val="1B360AB2"/>
    <w:rsid w:val="21427DA6"/>
    <w:rsid w:val="235A2F13"/>
    <w:rsid w:val="442E4379"/>
    <w:rsid w:val="44C92E3C"/>
    <w:rsid w:val="47F5469D"/>
    <w:rsid w:val="7265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3"/>
    <w:qFormat/>
    <w:uiPriority w:val="0"/>
    <w:pPr>
      <w:keepNext/>
      <w:keepLines/>
      <w:spacing w:line="360" w:lineRule="auto"/>
      <w:jc w:val="center"/>
      <w:outlineLvl w:val="1"/>
    </w:pPr>
    <w:rPr>
      <w:rFonts w:ascii="仿宋_GB2312" w:eastAsia="仿宋_GB2312"/>
      <w:b/>
      <w:bCs/>
      <w:kern w:val="0"/>
      <w:sz w:val="32"/>
      <w:szCs w:val="32"/>
      <w:lang w:val="zh-CN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0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标题 2 Char"/>
    <w:basedOn w:val="8"/>
    <w:link w:val="2"/>
    <w:qFormat/>
    <w:uiPriority w:val="0"/>
    <w:rPr>
      <w:rFonts w:ascii="仿宋_GB2312" w:eastAsia="仿宋_GB2312"/>
      <w:b/>
      <w:bCs/>
      <w:sz w:val="32"/>
      <w:szCs w:val="32"/>
      <w:lang w:val="zh-CN"/>
    </w:rPr>
  </w:style>
  <w:style w:type="character" w:customStyle="1" w:styleId="14">
    <w:name w:val="批注框文本 Char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5</Pages>
  <Words>2158</Words>
  <Characters>2188</Characters>
  <Lines>16</Lines>
  <Paragraphs>4</Paragraphs>
  <TotalTime>1368</TotalTime>
  <ScaleCrop>false</ScaleCrop>
  <LinksUpToDate>false</LinksUpToDate>
  <CharactersWithSpaces>2202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2026-03-13T05:24:00Z</dcterms:created>
  <dc:creator>郑磊</dc:creator>
  <cp:lastModifiedBy>Yukiri</cp:lastModifiedBy>
  <cp:lastPrinted>2026-03-13T05:23:00Z</cp:lastPrinted>
  <dcterms:modified xsi:type="dcterms:W3CDTF">2026-10-29T08:07:05Z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CF4A444EFEF0425BA8AD34020FA18759_11</vt:lpwstr>
  </property>
  <property fmtid="{D5CDD505-2E9C-101B-9397-08002B2CF9AE}" pid="4" name="KSOTemplateDocerSaveRecord">
    <vt:lpwstr>eyJoZGlkIjoiMzEwNTM5NzYwMDRjMzkwZTVkZjY2ODkwMGIxNGU0OTUiLCJ1c2VySWQiOiI0MjI0NDQzMDUifQ==</vt:lpwstr>
  </property>
</Properties>
</file>