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赤峰市数字经济（算力产业）发展规划</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赤峰市中拓项目管理有限责任公司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CFZT-2025-001FW</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赤峰市中拓项目管理有限责任公司</w:t>
      </w:r>
      <w:r>
        <w:rPr>
          <w:rFonts w:ascii="仿宋_GB2312" w:hAnsi="仿宋_GB2312" w:cs="仿宋_GB2312" w:eastAsia="仿宋_GB2312"/>
        </w:rPr>
        <w:t xml:space="preserve"> 受 </w:t>
      </w:r>
      <w:r>
        <w:rPr>
          <w:rFonts w:ascii="仿宋_GB2312" w:hAnsi="仿宋_GB2312" w:cs="仿宋_GB2312" w:eastAsia="仿宋_GB2312"/>
        </w:rPr>
        <w:t>赤峰市发展和改革委员会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赤峰市数字经济（算力产业）发展规划</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赤峰市数字经济（算力产业）发展规划</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CFZT-2025-001FW</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赤政采计划[2025]00285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赤峰市数字经济（算力产业）发展规划</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赤峰市中拓项目管理有限责任公司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内蒙古自治区赤峰市红山区内蒙古自治区赤峰市红山区钢铁西街居委会1幢金泰综合楼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024411</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王云贺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13204765419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赤峰市党政综合楼A652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牛顺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15604761329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代理服务费收费标准：代理服务费收费标准：参照原《内蒙古自治区工程建设协会关于印发&lt; 内蒙古自 治区建设工程招标代理服务收费指导意见&gt;的通知》（内工建协【2022】34号）文件规定下浮5%收取。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采购包1：单价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赤峰市发展和改革委员会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赤峰市中拓项目管理有限责任公司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审查投标人提供的2023年度经会计师事务所出具的财务审计报告或其基本开户银行出具的近一年内的银行资信证明或投标人提供的“具备良好的商业信誉和健全的财务会计制度”书面声明。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审查投标人提供以下内容的1及2或3 1. 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注：其他组织和自然人如提供1及2也需要提供缴纳税收的凭据金额缴纳社保的凭据。依法免税或不需要缴纳社会保障资金的投标人，应提供相应文件证明其依法免税或不需要缴纳社会保障资金。 3.提供“参加政府采购依法缴纳税收和社会保障资金的良好记录”承诺书。（依法免税或不需要缴纳社会保障资金的投标人，应提供相应文件证明其依法免税或不需要缴纳社会保障资金，不可直接提供“参加政府采购依法缴纳税收和社会保障资金的良好记录”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审查投标人出具的“具有履行合同所必须的设备和专业技术能力”书面声明函。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审查投标人出具的“参加政府采购前3年内在经营活动中无重大违法记录”书面声明函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4"/>
        </w:rPr>
        <w:t>以规划引领经济社会发展，是党治国理政的重要方式，是中国特色社会主义发展模式的重要体现。从发展趋势看，数据是发展新质生产力的关键要素。算力作为处理数据、应用数据的核心基础设施已逐步成为数字经济发展的重要引擎，成为国民经济发展的重要基础设施。目前，各地亦争相投入到智算中心建设的热潮中。从助推经济发展看，发展算力经济既可以通过提供优质高效的算力资源作为赤峰市参与东北振兴、京津冀协同发展的契机，也可以在解决赤峰市绿电消纳不足。同时，为赤峰市政务服务、产业发展、城市建设、医疗教育、物流金融等领域提供算力支撑，促进数字经济全面发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合同签订后180日历天完成全部服务内容</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 期: 支付比例 20%，签订合同后支付合同总金额的20%；，达到付款条件起60日，支付合同总金额的20.00%</w:t>
            </w:r>
          </w:p>
          <w:p>
            <w:pPr>
              <w:pStyle w:val="null5"/>
              <w:jc w:val="left"/>
            </w:pPr>
            <w:r>
              <w:rPr>
                <w:rFonts w:ascii="仿宋_GB2312" w:hAnsi="仿宋_GB2312" w:cs="仿宋_GB2312" w:eastAsia="仿宋_GB2312"/>
              </w:rPr>
              <w:t>2、2 期: 支付比例 40%，完成规划编制初稿并交付初步成果文件后支付合同总金额的40%；，达到付款条件起60日，支付合同总金额的40.00%</w:t>
            </w:r>
          </w:p>
          <w:p>
            <w:pPr>
              <w:pStyle w:val="null5"/>
              <w:jc w:val="left"/>
            </w:pPr>
            <w:r>
              <w:rPr>
                <w:rFonts w:ascii="仿宋_GB2312" w:hAnsi="仿宋_GB2312" w:cs="仿宋_GB2312" w:eastAsia="仿宋_GB2312"/>
              </w:rPr>
              <w:t>3、3 期: 支付比例 40%，完成规划编制终稿验收通过后支付合同总金额的40%；，达到付款条件起60日，支付合同总金额的40.00%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1、期次1，说明：期次1，说明：交付初步成果文件，初步成果文件需要满足采购人和合同要求；</w:t>
            </w:r>
          </w:p>
          <w:p>
            <w:pPr>
              <w:pStyle w:val="null5"/>
              <w:jc w:val="left"/>
            </w:pPr>
            <w:r>
              <w:rPr>
                <w:rFonts w:ascii="仿宋_GB2312" w:hAnsi="仿宋_GB2312" w:cs="仿宋_GB2312" w:eastAsia="仿宋_GB2312"/>
              </w:rPr>
              <w:t>2、期次2，说明：期次2，说明：通过专家评审并经市政府常务会议审议通过，方可验收。</w:t>
            </w:r>
          </w:p>
          <w:p>
            <w:pPr>
              <w:pStyle w:val="null5"/>
              <w:jc w:val="left"/>
            </w:pPr>
            <w:r>
              <w:rPr>
                <w:rFonts w:ascii="仿宋_GB2312" w:hAnsi="仿宋_GB2312" w:cs="仿宋_GB2312" w:eastAsia="仿宋_GB2312"/>
              </w:rPr>
              <w:t>3、期次3，说明：专家评审并经市政府常务会议审议通过。最终验收。</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1、投标有效期：从提交投标（响应）文件的截止之日起90日历天；</w:t>
              <w:br/>
              <w:t>2、项目实施服务方案:供应商需提供本项目的整体技术方案（内容包括但不限于项目理解及分析、研究内容、服务保障措施、质量保证措施、进度计划及保证措施、组织管理措施等）方案要科学合理，充分全面，能够体现项目的特点，充分考虑创新性、针对性、符合区域发展等，投标人要结合自身情况及对招标项目的理解，编制完整、科学合理，充分全面的项目实施服务方案，保证实施服务方案可以指导项目的实施或者促进项目实施达到行业更高水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标的名称：赤峰市数字经济（算力产业）发展规划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rPr>
                    <w:t>一、项目概况</w:t>
                  </w:r>
                </w:p>
                <w:p>
                  <w:pPr>
                    <w:pStyle w:val="null5"/>
                    <w:jc w:val="left"/>
                  </w:pPr>
                  <w:r>
                    <w:rPr>
                      <w:rFonts w:ascii="仿宋_GB2312" w:hAnsi="仿宋_GB2312" w:cs="仿宋_GB2312" w:eastAsia="仿宋_GB2312"/>
                      <w:sz w:val="20"/>
                    </w:rPr>
                    <w:t>以规划引领经济社会发展，是党治国理政的重要方式，是中国特色社会主义发展模式的重要体现。从发展趋势看，数据是发展新质生产力的关键要素。算力作为处理数据、应用数据的核心基础设施已逐步成为数字经济发展的重要引擎，成为国民经济发展的重要基础设施。目前，各地亦争相投入到智算中心建设的热潮中。从助推经济发展看，发展算力经济既可以通过提供优质高效的算力资源作为赤峰市参与东北振兴、京津冀协同发展的契机，也可以在解决赤峰市绿电消纳不足。同时，为赤峰市政务服务、产业发展、城市建设、医疗教育、物流金融等领域提供算力支撑，促进数字经济全面发展。</w:t>
                  </w:r>
                </w:p>
                <w:p>
                  <w:pPr>
                    <w:pStyle w:val="null5"/>
                    <w:jc w:val="left"/>
                  </w:pPr>
                  <w:r>
                    <w:rPr>
                      <w:rFonts w:ascii="仿宋_GB2312" w:hAnsi="仿宋_GB2312" w:cs="仿宋_GB2312" w:eastAsia="仿宋_GB2312"/>
                      <w:sz w:val="20"/>
                    </w:rPr>
                    <w:t>二、采购需求</w:t>
                  </w:r>
                </w:p>
                <w:p>
                  <w:pPr>
                    <w:pStyle w:val="null5"/>
                    <w:jc w:val="left"/>
                  </w:pPr>
                  <w:r>
                    <w:rPr>
                      <w:rFonts w:ascii="仿宋_GB2312" w:hAnsi="仿宋_GB2312" w:cs="仿宋_GB2312" w:eastAsia="仿宋_GB2312"/>
                      <w:sz w:val="20"/>
                    </w:rPr>
                    <w:t>1.</w:t>
                  </w:r>
                  <w:r>
                    <w:rPr>
                      <w:rFonts w:ascii="仿宋_GB2312" w:hAnsi="仿宋_GB2312" w:cs="仿宋_GB2312" w:eastAsia="仿宋_GB2312"/>
                      <w:sz w:val="20"/>
                    </w:rPr>
                    <w:t>编制目的：本项目要求通过梳理总结赤峰市当前数字经济（算力产业）发展经验，分析未来赤峰市数字经济（算力产业）面临的主要形势，对赤峰市今后时期数字经济（算力产业）发展的奋斗目标、指导方针和重点任务举措进行系统的谋划，编制形成《赤峰市数字经济（算力产业）发展规划》及相关汇报材料。</w:t>
                  </w:r>
                </w:p>
                <w:p>
                  <w:pPr>
                    <w:pStyle w:val="null5"/>
                    <w:jc w:val="left"/>
                  </w:pPr>
                  <w:r>
                    <w:rPr>
                      <w:rFonts w:ascii="仿宋_GB2312" w:hAnsi="仿宋_GB2312" w:cs="仿宋_GB2312" w:eastAsia="仿宋_GB2312"/>
                      <w:sz w:val="20"/>
                    </w:rPr>
                    <w:t>2.</w:t>
                  </w:r>
                  <w:r>
                    <w:rPr>
                      <w:rFonts w:ascii="仿宋_GB2312" w:hAnsi="仿宋_GB2312" w:cs="仿宋_GB2312" w:eastAsia="仿宋_GB2312"/>
                      <w:sz w:val="20"/>
                    </w:rPr>
                    <w:t>主要研究内容：</w:t>
                  </w:r>
                </w:p>
                <w:p>
                  <w:pPr>
                    <w:pStyle w:val="null5"/>
                    <w:jc w:val="left"/>
                  </w:pPr>
                  <w:r>
                    <w:rPr>
                      <w:rFonts w:ascii="仿宋_GB2312" w:hAnsi="仿宋_GB2312" w:cs="仿宋_GB2312" w:eastAsia="仿宋_GB2312"/>
                      <w:sz w:val="20"/>
                    </w:rPr>
                    <w:t>《赤峰市数字经济（算力产业）发展规划》内容包括但不限于：总结赤峰市当前数字经济发展总体情况和发展经验，分析当前仍存在的困难问题；研判分析“十五五”时期赤峰市算力产业发展面临的机遇和挑战，根据规划编制工作需求，规划主要围绕赤峰市算力产业发展、赤峰城市算力网、赤峰市算力电力协同创新、赤峰市算力监测调度体系建设、技术创新和算力产业发展、专题培训及人才队伍建设、算力与数据的一体化应用、落实“数据要素×”行动实施路径等方面开展研究，积极推动赤峰市融入全国一体化算力网和建设蒙东地区算力节点城市等。提出赤峰市“十五五”时期算力产业发展指导思想、基本原则、主要目标和指标体系；提出赤峰市发展算力产业的重点任务；提出保障赤峰市数字经济（算力产业）发展规划实施的举措。</w:t>
                  </w:r>
                </w:p>
                <w:p>
                  <w:pPr>
                    <w:pStyle w:val="null5"/>
                    <w:jc w:val="left"/>
                  </w:pPr>
                  <w:r>
                    <w:rPr>
                      <w:rFonts w:ascii="仿宋_GB2312" w:hAnsi="仿宋_GB2312" w:cs="仿宋_GB2312" w:eastAsia="仿宋_GB2312"/>
                      <w:sz w:val="20"/>
                    </w:rPr>
                    <w:t>3.</w:t>
                  </w:r>
                  <w:r>
                    <w:rPr>
                      <w:rFonts w:ascii="仿宋_GB2312" w:hAnsi="仿宋_GB2312" w:cs="仿宋_GB2312" w:eastAsia="仿宋_GB2312"/>
                      <w:sz w:val="20"/>
                    </w:rPr>
                    <w:t>编制要求：应符合党的二十大和二十届二中、三中全会精神，落实自治区党委、自治区政府工作部署和赤峰市委、市政府工作安排，全面落实国家、自治区的最新部署最新要求，具有前瞻性、时效性、指导性、科学合理性。应符合赤峰市经济社会发展实际，具有操作性、可行性、针对性，能够切实指导赤峰市在今后时期数字经济（算力产业）领域工作。应符合国家、自治区要求的规划《纲要》编制体例，内容齐全、数据准确、论据充分、结论明确，符合国家、地方政策导向及布局要求和评审标准。</w:t>
                  </w:r>
                </w:p>
                <w:p>
                  <w:pPr>
                    <w:pStyle w:val="null5"/>
                    <w:jc w:val="left"/>
                  </w:pPr>
                  <w:r>
                    <w:rPr>
                      <w:rFonts w:ascii="仿宋_GB2312" w:hAnsi="仿宋_GB2312" w:cs="仿宋_GB2312" w:eastAsia="仿宋_GB2312"/>
                      <w:sz w:val="20"/>
                    </w:rPr>
                    <w:t>4.</w:t>
                  </w:r>
                  <w:r>
                    <w:rPr>
                      <w:rFonts w:ascii="仿宋_GB2312" w:hAnsi="仿宋_GB2312" w:cs="仿宋_GB2312" w:eastAsia="仿宋_GB2312"/>
                      <w:sz w:val="20"/>
                    </w:rPr>
                    <w:t>团队要求：编制团队须设置项目负责人岗位，应保证有足够的人力、物力等资源按时、按量、按质完成本项目所有的工作内容，拟派人员一经确定不得随意更换（经采购人批准的除外）。</w:t>
                  </w:r>
                </w:p>
                <w:p>
                  <w:pPr>
                    <w:pStyle w:val="null5"/>
                    <w:jc w:val="left"/>
                  </w:pPr>
                  <w:r>
                    <w:rPr>
                      <w:rFonts w:ascii="仿宋_GB2312" w:hAnsi="仿宋_GB2312" w:cs="仿宋_GB2312" w:eastAsia="仿宋_GB2312"/>
                      <w:sz w:val="20"/>
                    </w:rPr>
                    <w:t>5.</w:t>
                  </w:r>
                  <w:r>
                    <w:rPr>
                      <w:rFonts w:ascii="仿宋_GB2312" w:hAnsi="仿宋_GB2312" w:cs="仿宋_GB2312" w:eastAsia="仿宋_GB2312"/>
                      <w:sz w:val="20"/>
                    </w:rPr>
                    <w:t>后续服务：成交供应商需配合采购人做好项目资料归档工作，并在《赤峰市数字经济（算力产业）发展规划》验收通过后，及时将研究过程中形成的相关资料移交采购人。</w:t>
                  </w:r>
                </w:p>
                <w:p>
                  <w:pPr>
                    <w:pStyle w:val="null5"/>
                    <w:jc w:val="left"/>
                  </w:pPr>
                  <w:r>
                    <w:rPr>
                      <w:rFonts w:ascii="仿宋_GB2312" w:hAnsi="仿宋_GB2312" w:cs="仿宋_GB2312" w:eastAsia="仿宋_GB2312"/>
                      <w:sz w:val="20"/>
                    </w:rPr>
                    <w:t>6.</w:t>
                  </w:r>
                  <w:r>
                    <w:rPr>
                      <w:rFonts w:ascii="仿宋_GB2312" w:hAnsi="仿宋_GB2312" w:cs="仿宋_GB2312" w:eastAsia="仿宋_GB2312"/>
                      <w:sz w:val="20"/>
                    </w:rPr>
                    <w:t>成果要求：中标人应当提交《赤峰市数字经济（算力产业）发展规划》规划报告书文本及相关图件及说明，形式为电子版和纸质印刷版及配套的规划起草说明、PPT形式的电子汇报材料。</w:t>
                  </w:r>
                </w:p>
                <w:p>
                  <w:pPr>
                    <w:pStyle w:val="null5"/>
                    <w:jc w:val="left"/>
                  </w:pPr>
                  <w:r>
                    <w:rPr>
                      <w:rFonts w:ascii="仿宋_GB2312" w:hAnsi="仿宋_GB2312" w:cs="仿宋_GB2312" w:eastAsia="仿宋_GB2312"/>
                      <w:sz w:val="20"/>
                    </w:rPr>
                    <w:t>7.</w:t>
                  </w:r>
                  <w:r>
                    <w:rPr>
                      <w:rFonts w:ascii="仿宋_GB2312" w:hAnsi="仿宋_GB2312" w:cs="仿宋_GB2312" w:eastAsia="仿宋_GB2312"/>
                      <w:sz w:val="20"/>
                    </w:rPr>
                    <w:t>其他要求：（1）成交供应商提交报告成果后,采购人应按照采购文件约定的服务标准要求及本项目合同约定进行验收，未能通过采购人验收的，成交供应商应在按照采购人意见重新调整后及时通知采购人再次进行验收；成交供应商应在本项目合同约定的期限内向采购人提交合格的报告成果。（2）供应商应保证本项目所提供的所有服务、成果不涉及侵犯任何第三方的专利权、商标权或著作权等。（3）供应商须对项目实施过程中的数据保密，且制定针对本项目的保密制度，加强对实施人员的管理和培训。</w:t>
                  </w:r>
                </w:p>
              </w:tc>
            </w:tr>
          </w:tbl>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项目理解及分析</w:t>
            </w:r>
          </w:p>
        </w:tc>
        <w:tc>
          <w:tcPr>
            <w:tcW w:type="dxa" w:w="3115"/>
          </w:tcPr>
          <w:p>
            <w:pPr>
              <w:pStyle w:val="null5"/>
              <w:jc w:val="left"/>
            </w:pPr>
            <w:r>
              <w:rPr>
                <w:rFonts w:ascii="仿宋_GB2312" w:hAnsi="仿宋_GB2312" w:cs="仿宋_GB2312" w:eastAsia="仿宋_GB2312"/>
              </w:rPr>
              <w:t>根据投标人提供的项目理解及分析内容进行评审：（1）对项目认识全面透彻，项目背景理解充分全面，对项目实际情况把握充分准确，相关内容充分详实具有针对性的得15分（2）对项目认识较好，项目背景熟悉情况较好，对项目实际情况把握较为准确的得11分；（3）对项目认识较为一般，基本熟悉项目背景，对项目实际情况把握基本准确的得7分；（4）项目认识较差，不熟悉项目背景，对项目实际情况把握不准确，内容描述简短或内容有所欠缺的得3分；（5）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研究内容</w:t>
            </w:r>
          </w:p>
        </w:tc>
        <w:tc>
          <w:tcPr>
            <w:tcW w:type="dxa" w:w="3115"/>
          </w:tcPr>
          <w:p>
            <w:pPr>
              <w:pStyle w:val="null5"/>
              <w:jc w:val="left"/>
            </w:pPr>
            <w:r>
              <w:rPr>
                <w:rFonts w:ascii="仿宋_GB2312" w:hAnsi="仿宋_GB2312" w:cs="仿宋_GB2312" w:eastAsia="仿宋_GB2312"/>
              </w:rPr>
              <w:t>根据投标人提供的项目研究内容进行评审：（1）分析准确、方向明确，重点突出，思路清晰，内容准备充分、详实、富有前瞻性、全局性、针对性，有利于项目实施的得15分；（2）分析方向较为明确，重点较为突出，思路较为清晰，内容较详实的得11分；（3）分析方向基本明确， 重点介绍一般，思路基本清晰，内容一般的得7分；（4）分析方向不明确，无重点，内容描述简短或内容有所欠缺或有部分不合理的得3分；（5）未提供的不得分。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服务保障措施</w:t>
            </w:r>
          </w:p>
        </w:tc>
        <w:tc>
          <w:tcPr>
            <w:tcW w:type="dxa" w:w="3115"/>
          </w:tcPr>
          <w:p>
            <w:pPr>
              <w:pStyle w:val="null5"/>
              <w:jc w:val="left"/>
            </w:pPr>
            <w:r>
              <w:rPr>
                <w:rFonts w:ascii="仿宋_GB2312" w:hAnsi="仿宋_GB2312" w:cs="仿宋_GB2312" w:eastAsia="仿宋_GB2312"/>
              </w:rPr>
              <w:t>根据投标人提供的服务保障承诺内容进行评审： 供应商针对本项目采购需求提供相关承诺（1）承诺包括成果质量、职业道德、 与采购人的配合、服务保障及后续服务等全方位服务内容、有具体的完成时间等方面的承诺，承诺内容全面且切实可行的得 10 分；（2）承诺内容全面，有具体的完成时间和成果质量承诺，完全满足采购人要求的得 7 分；（3）承诺内容不够详细，仅针对以上内容进行简单阐述，基本满足采购人需求的得 4 分；（4）承诺内容与本项目相关性不大，无明显针对性的得 1 分；（5）未提供的不得分。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提供的质量保证措施进行评审：（1）质量保证措施充分、全面细致、详实具有针对性的得10分；（2）有提出措施，质量保证措施较好较为全面，总体合理可行的得7分；（3）有提出措施，质量保证措施一般、不够全面，总体基本可行的得5分；（4）保障措施缺失、措施描述简短或内容有所欠缺或有部分不合理的得2分；（5）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进度计划及保证措施</w:t>
            </w:r>
          </w:p>
        </w:tc>
        <w:tc>
          <w:tcPr>
            <w:tcW w:type="dxa" w:w="3115"/>
          </w:tcPr>
          <w:p>
            <w:pPr>
              <w:pStyle w:val="null5"/>
              <w:jc w:val="left"/>
            </w:pPr>
            <w:r>
              <w:rPr>
                <w:rFonts w:ascii="仿宋_GB2312" w:hAnsi="仿宋_GB2312" w:cs="仿宋_GB2312" w:eastAsia="仿宋_GB2312"/>
              </w:rPr>
              <w:t>根据投标人提供的进度计划及保证措施进行评审：（1）方案完整度高，有明确的阶段性安排，计划连贯有序、节奏可控、保障体系机制完备的得5分；（2）方案基本完整，计划基本连贯，措施基本满足的得3分；（3）有提供项目工作进度计划，描述较为简略或内容有所欠缺或有部分不合理的得1分；（4）未提供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组织管理措施</w:t>
            </w:r>
          </w:p>
        </w:tc>
        <w:tc>
          <w:tcPr>
            <w:tcW w:type="dxa" w:w="3115"/>
          </w:tcPr>
          <w:p>
            <w:pPr>
              <w:pStyle w:val="null5"/>
              <w:jc w:val="left"/>
            </w:pPr>
            <w:r>
              <w:rPr>
                <w:rFonts w:ascii="仿宋_GB2312" w:hAnsi="仿宋_GB2312" w:cs="仿宋_GB2312" w:eastAsia="仿宋_GB2312"/>
              </w:rPr>
              <w:t>根据投标人提供的组织管理措施进行评审：（1）方案完整度高、保障措施全面充分、具有完善的组织架构 、岗位职责明确的得5分；（2）方案基本完整，管理措施基本明确，岗位设置基本合理的得3分；（3）方案完整度较差、描述较为简略或内容有所欠缺或有部分不合理的得1分；（4）未提供的不得分。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投标人拟派项目负责人具有正高级（含教授级或研究员级）技术职称的，加3分；具有副高级技术职称的，加1.5分，其他不得分，如项目负责人具有多项技术职称的只计取一项；（需提供相关证明文件或资料）</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其他人员配置及人员能力</w:t>
            </w:r>
          </w:p>
        </w:tc>
        <w:tc>
          <w:tcPr>
            <w:tcW w:type="dxa" w:w="3115"/>
          </w:tcPr>
          <w:p>
            <w:pPr>
              <w:pStyle w:val="null5"/>
              <w:jc w:val="left"/>
            </w:pPr>
            <w:r>
              <w:rPr>
                <w:rFonts w:ascii="仿宋_GB2312" w:hAnsi="仿宋_GB2312" w:cs="仿宋_GB2312" w:eastAsia="仿宋_GB2312"/>
              </w:rPr>
              <w:t>1、项目团队成员（除项目负责人外）每提供一名具有正高级（含教授级或研究员级）技术职称的，加3分，每提供一名具有副高级技术职称的，加2分；每提供一名具有中级技术职称的，加1分，本项最高得9分（注：①具有中级职称的项目团队成员最多计取5名，超过5名按5名计；②同一人具有多项技术职称的只计取一个）；（需提供相关证明文件或资料） 2、项目团队成员正式发表或出版过有关数据算力、数字经济、数据要素等相关领域方面的论文或书籍的，每提供1项得1.5分，最高得6分（需提供相关证明文件或资料）</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荣誉奖励</w:t>
            </w:r>
          </w:p>
        </w:tc>
        <w:tc>
          <w:tcPr>
            <w:tcW w:type="dxa" w:w="3115"/>
          </w:tcPr>
          <w:p>
            <w:pPr>
              <w:pStyle w:val="null5"/>
              <w:jc w:val="left"/>
            </w:pPr>
            <w:r>
              <w:rPr>
                <w:rFonts w:ascii="仿宋_GB2312" w:hAnsi="仿宋_GB2312" w:cs="仿宋_GB2312" w:eastAsia="仿宋_GB2312"/>
              </w:rPr>
              <w:t>投标人曾在数据算力、数字经济、数据要素等相关领域方面获得过荣誉奖项的，每提供一个荣誉奖项得1.5分，最高得3分；不满足或未提供的不得分（需提供相关证明文件或资料）</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投标人自2019年1月1日至今承揽过数据算力、数字经济、数据要素等相关领域类似项目的，每提供1份业绩得1.5分，最高得9分（提供清晰的合同原件扫描件，时间以合同签订时间为准）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