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2025年第一季度中蒙药原料、饮片采购项目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兴安盟蒙医院（兴安盟残疾人蒙医职业学校）</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国讯招标集团有限公司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152203-GXJT-GK-20250002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国讯招标集团有限公司</w:t>
      </w:r>
      <w:r>
        <w:rPr>
          <w:rFonts w:ascii="仿宋_GB2312" w:hAnsi="仿宋_GB2312" w:cs="仿宋_GB2312" w:eastAsia="仿宋_GB2312"/>
        </w:rPr>
        <w:t xml:space="preserve"> 受 </w:t>
      </w:r>
      <w:r>
        <w:rPr>
          <w:rFonts w:ascii="仿宋_GB2312" w:hAnsi="仿宋_GB2312" w:cs="仿宋_GB2312" w:eastAsia="仿宋_GB2312"/>
        </w:rPr>
        <w:t>兴安盟蒙医院（兴安盟残疾人蒙医职业学校）</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2025年第一季度中蒙药原料、饮片采购项目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2025年第一季度中蒙药原料、饮片采购项目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152203-GXJT-GK-20250002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兴财购计划[2025]00153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人工麝香</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325,000.00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151,489.00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艾叶</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10,500.00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白矾</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白硇砂</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白芍</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百合</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陈皮</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川芎</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刺柏叶</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三七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硫黄</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鸡血藤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金莲花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酒大黄</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两头尖</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首乌藤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满山红</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16,500.00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芒硝</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没药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大枣</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莪术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儿茶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茯苓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茯神</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广藿香</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诃子肉</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合欢花</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140.00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何首乌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胡椒</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黄柏</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土大黄</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文冠木</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薤白</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蒺藜</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延胡索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茵陈</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365.00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玉米须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53.00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郁金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栀子</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板蓝根</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375.00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冰片</w:t>
            </w:r>
          </w:p>
        </w:tc>
        <w:tc>
          <w:tcPr>
            <w:tcW w:type="dxa" w:w="831"/>
          </w:tcPr>
          <w:p>
            <w:pPr>
              <w:pStyle w:val="null5"/>
              <w:jc w:val="right"/>
            </w:pPr>
            <w:r>
              <w:rPr>
                <w:rFonts w:ascii="仿宋_GB2312" w:hAnsi="仿宋_GB2312" w:cs="仿宋_GB2312" w:eastAsia="仿宋_GB2312"/>
              </w:rPr>
              <w:t>70.00</w:t>
            </w:r>
          </w:p>
        </w:tc>
        <w:tc>
          <w:tcPr>
            <w:tcW w:type="dxa" w:w="831"/>
          </w:tcPr>
          <w:p>
            <w:pPr>
              <w:pStyle w:val="null5"/>
              <w:jc w:val="right"/>
            </w:pPr>
            <w:r>
              <w:rPr>
                <w:rFonts w:ascii="仿宋_GB2312" w:hAnsi="仿宋_GB2312" w:cs="仿宋_GB2312" w:eastAsia="仿宋_GB2312"/>
              </w:rPr>
              <w:t>59,500.00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姜黄</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佩兰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硼砂</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乳香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三棱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桑叶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山川柳</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山萸肉</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葡萄干</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793,620.00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冬虫夏草</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720,000.00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牛胆粉</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香墨</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血竭</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茜草</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山奈</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商陆</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煅磁石</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制炉甘石</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制石决明</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制碱面</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1,750.00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木鳖子仁</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制甘遂</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细辛</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358,350.00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朱砂</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176,000.00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银朱</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125,000.00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麻黄</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16,500.00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草乌叶</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制草乌</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制马钱子</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生草乌</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510,700.00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羚羊角粉</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120,000.00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阿魏</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白巨胜</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白头翁</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赤瓟子</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川楝子</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大黄</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大托叶云实</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石膏</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石榴</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降香</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菊花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瞿麦</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决明子</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1,750.00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连翘</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莲子</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龙骨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漏芦花</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2,200.00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鹿茸</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豆蔻</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广枣</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2,300.00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海金沙</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黑冰片</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黑种草子</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胡黄连</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44,000.00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手参</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28,000.00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紫草</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紫草茸</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紫河车</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6,900.00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紫檀香</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采购包预算金额（元）: 426,725.00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沉香</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90,000.00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人参</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天竺黄（天然）</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珍珠</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寒水石</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檀香</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苦参</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木香</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诃子</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石菖蒲</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土木香</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水菖蒲</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375.00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草果</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right"/>
            </w:pPr>
            <w:r>
              <w:rPr>
                <w:rFonts w:ascii="仿宋_GB2312" w:hAnsi="仿宋_GB2312" w:cs="仿宋_GB2312" w:eastAsia="仿宋_GB2312"/>
              </w:rPr>
              <w:t>12,750.00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沙参</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5,250.00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山沉香</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当归</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麦冬</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丹参</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丁香</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26,000.00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甘松</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采购包预算金额（元）: 216,410.00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禹粮土</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苦地丁</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600.00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苦买菜</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款冬花</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蓝盆花</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木棉花</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木棉花萼</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木通</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牛心</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17,500.00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刀豆</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地锦草</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冬葵果</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杜仲</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多叶棘豆</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方海</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榧子</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1,300.00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酸枣仁</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干姜</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1,200.00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贯众</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275.00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黄精</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天冬</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天花粉</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2,600.00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兔心</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五灵脂</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菥蓂子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香青兰</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橡子</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小茴香</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1,050.00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悬钩子木</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旋覆花</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1,700.00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芫荽子</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360.00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益母草</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益智</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8,500.00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余甘子</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玉簪花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2,300.00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枳壳</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550.00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猪血</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1,650.00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紫花地丁</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1,750.00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北沙参</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荜茇</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波棱瓜子</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6,900.00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枇杷叶</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秦艽</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秦艽花</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2,500.00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青皮</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苘麻子</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拳参</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肉豆蔻</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肉桂</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2,250.00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沙棘</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山茶花</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650.00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石花</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180.00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石莲子</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使君子</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975.00</w:t>
            </w:r>
          </w:p>
        </w:tc>
        <w:tc>
          <w:tcPr>
            <w:tcW w:type="dxa" w:w="831"/>
          </w:tcPr>
          <w:p>
            <w:pPr>
              <w:pStyle w:val="null5"/>
              <w:jc w:val="left"/>
            </w:pPr>
            <w:r>
              <w:rPr>
                <w:rFonts w:ascii="仿宋_GB2312" w:hAnsi="仿宋_GB2312" w:cs="仿宋_GB2312" w:eastAsia="仿宋_GB2312"/>
              </w:rPr>
              <w:t>kg</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1、特定资格性要求：投标人如为生产企业，应具有《药品生产许可证》，生产范围须包含人工麝香；投标人如为经营企业，应具有《药品经营许可证》（药品经营许可证范围须包含中药饮片）。</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1、特定资格性要求：投标人如为生产企业，应具有《药品生产许可证》；投标人如为经营企业，应具有《药品经营许可证》（药品经营许可证范围须包含中药饮片）。</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1、特定资格性要求：投标人如为生产企业，应具有《药品生产许可证》；投标人如为经营企业，应具有《药品经营许可证》（药品经营许可证范围须包含中药饮片）。</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特定资格性要求：投标人如为生产企业，应具有《药品生产许可证》，生产范围须含毒性饮片，麻黄须单独提供生产企业收购许可证；投标人如为经营企业，应具有《药品经营许可证》（药品经营许可证范围须包含医疗用毒性药品）或具有《医疗用毒性药品经营批件》。麻黄须单独提供生产企业收购许可证。</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1、特定资格性要求：投标人如为生产企业，应具有《药品生产许可证》；投标人如为经营企业，应具有《药品经营许可证》（药品经营许可证范围须包含中药饮片）。</w:t>
      </w:r>
    </w:p>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1、特定资格性要求：投标人如为生产企业，应具有《药品生产许可证》；投标人如为经营企业，应具有《药品经营许可证》（药品经营许可证范围须包含中药饮片）。</w:t>
      </w:r>
    </w:p>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1、特定资格性要求：投标人如为生产企业，应具有《药品生产许可证》；投标人如为经营企业，应具有《药品经营许可证》（药品经营许可证范围须包含中药饮片）。</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国讯招标集团有限公司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北京市市辖区西城区广安门外大街168号1幢18层1-18B01A</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100055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张子克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010-88805800-8016/8025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兴安盟蒙医院（兴安盟残疾人蒙医职业学校）</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兴安盟蒙医院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谭琨</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0482-8283300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7</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p>
            <w:pPr>
              <w:pStyle w:val="null5"/>
              <w:jc w:val="left"/>
            </w:pPr>
            <w:r>
              <w:rPr>
                <w:rFonts w:ascii="仿宋_GB2312" w:hAnsi="仿宋_GB2312" w:cs="仿宋_GB2312" w:eastAsia="仿宋_GB2312"/>
              </w:rPr>
              <w:t>采购包6：综合评分法</w:t>
            </w:r>
          </w:p>
          <w:p>
            <w:pPr>
              <w:pStyle w:val="null5"/>
              <w:jc w:val="left"/>
            </w:pPr>
            <w:r>
              <w:rPr>
                <w:rFonts w:ascii="仿宋_GB2312" w:hAnsi="仿宋_GB2312" w:cs="仿宋_GB2312" w:eastAsia="仿宋_GB2312"/>
              </w:rPr>
              <w:t>采购包7：综合评分法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p>
            <w:pPr>
              <w:pStyle w:val="null5"/>
              <w:jc w:val="left"/>
            </w:pPr>
            <w:r>
              <w:rPr>
                <w:rFonts w:ascii="仿宋_GB2312" w:hAnsi="仿宋_GB2312" w:cs="仿宋_GB2312" w:eastAsia="仿宋_GB2312"/>
              </w:rPr>
              <w:t>采购包6：不接受</w:t>
            </w:r>
          </w:p>
          <w:p>
            <w:pPr>
              <w:pStyle w:val="null5"/>
              <w:jc w:val="left"/>
            </w:pPr>
            <w:r>
              <w:rPr>
                <w:rFonts w:ascii="仿宋_GB2312" w:hAnsi="仿宋_GB2312" w:cs="仿宋_GB2312" w:eastAsia="仿宋_GB2312"/>
              </w:rPr>
              <w:t>采购包7：不接受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p>
            <w:pPr>
              <w:pStyle w:val="null5"/>
              <w:jc w:val="left"/>
            </w:pPr>
            <w:r>
              <w:rPr>
                <w:rFonts w:ascii="仿宋_GB2312" w:hAnsi="仿宋_GB2312" w:cs="仿宋_GB2312" w:eastAsia="仿宋_GB2312"/>
              </w:rPr>
              <w:t>采购包6：3家</w:t>
            </w:r>
          </w:p>
          <w:p>
            <w:pPr>
              <w:pStyle w:val="null5"/>
              <w:jc w:val="left"/>
            </w:pPr>
            <w:r>
              <w:rPr>
                <w:rFonts w:ascii="仿宋_GB2312" w:hAnsi="仿宋_GB2312" w:cs="仿宋_GB2312" w:eastAsia="仿宋_GB2312"/>
              </w:rPr>
              <w:t>采购包7：3家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p>
            <w:pPr>
              <w:pStyle w:val="null5"/>
              <w:jc w:val="left"/>
            </w:pPr>
            <w:r>
              <w:rPr>
                <w:rFonts w:ascii="仿宋_GB2312" w:hAnsi="仿宋_GB2312" w:cs="仿宋_GB2312" w:eastAsia="仿宋_GB2312"/>
              </w:rPr>
              <w:t>采购包6：1名</w:t>
            </w:r>
          </w:p>
          <w:p>
            <w:pPr>
              <w:pStyle w:val="null5"/>
              <w:jc w:val="left"/>
            </w:pPr>
            <w:r>
              <w:rPr>
                <w:rFonts w:ascii="仿宋_GB2312" w:hAnsi="仿宋_GB2312" w:cs="仿宋_GB2312" w:eastAsia="仿宋_GB2312"/>
              </w:rPr>
              <w:t>采购包7：1名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p>
            <w:pPr>
              <w:pStyle w:val="null5"/>
              <w:jc w:val="left"/>
            </w:pPr>
            <w:r>
              <w:rPr>
                <w:rFonts w:ascii="仿宋_GB2312" w:hAnsi="仿宋_GB2312" w:cs="仿宋_GB2312" w:eastAsia="仿宋_GB2312"/>
              </w:rPr>
              <w:t>采购包6：3名</w:t>
            </w:r>
          </w:p>
          <w:p>
            <w:pPr>
              <w:pStyle w:val="null5"/>
              <w:jc w:val="left"/>
            </w:pPr>
            <w:r>
              <w:rPr>
                <w:rFonts w:ascii="仿宋_GB2312" w:hAnsi="仿宋_GB2312" w:cs="仿宋_GB2312" w:eastAsia="仿宋_GB2312"/>
              </w:rPr>
              <w:t>采购包7：3名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p>
            <w:pPr>
              <w:pStyle w:val="null5"/>
              <w:jc w:val="left"/>
            </w:pPr>
            <w:r>
              <w:rPr>
                <w:rFonts w:ascii="仿宋_GB2312" w:hAnsi="仿宋_GB2312" w:cs="仿宋_GB2312" w:eastAsia="仿宋_GB2312"/>
              </w:rPr>
              <w:t>采购包6：总价</w:t>
            </w:r>
          </w:p>
          <w:p>
            <w:pPr>
              <w:pStyle w:val="null5"/>
              <w:jc w:val="left"/>
            </w:pPr>
            <w:r>
              <w:rPr>
                <w:rFonts w:ascii="仿宋_GB2312" w:hAnsi="仿宋_GB2312" w:cs="仿宋_GB2312" w:eastAsia="仿宋_GB2312"/>
              </w:rPr>
              <w:t>采购包7：总价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p>
            <w:pPr>
              <w:pStyle w:val="null5"/>
              <w:jc w:val="left"/>
            </w:pPr>
            <w:r>
              <w:rPr>
                <w:rFonts w:ascii="仿宋_GB2312" w:hAnsi="仿宋_GB2312" w:cs="仿宋_GB2312" w:eastAsia="仿宋_GB2312"/>
              </w:rPr>
              <w:t>采购包6：组织现场踏勘：否</w:t>
            </w:r>
          </w:p>
          <w:p>
            <w:pPr>
              <w:pStyle w:val="null5"/>
              <w:jc w:val="left"/>
            </w:pPr>
            <w:r>
              <w:rPr>
                <w:rFonts w:ascii="仿宋_GB2312" w:hAnsi="仿宋_GB2312" w:cs="仿宋_GB2312" w:eastAsia="仿宋_GB2312"/>
              </w:rPr>
              <w:t>采购包7：组织现场踏勘：否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本项目可兼投7包，本项目可兼中7包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兴安盟蒙医院（兴安盟残疾人蒙医职业学校）</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国讯招标集团有限公司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投标人如为生产企业，应具有《药品生产许可证》，生产范围须包含人工麝香；投标人如为经营企业，应具有《药品经营许可证》（药品经营许可证范围须包含中药饮片）。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投标人如为生产企业，应具有《药品生产许可证》；投标人如为经营企业，应具有《药品经营许可证》（药品经营许可证范围须包含中药饮片）。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投标人如为生产企业，应具有《药品生产许可证》；投标人如为经营企业，应具有《药品经营许可证》（药品经营许可证范围须包含中药饮片）。</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生产范围须含毒性饮片，麻黄须单独提供生产企业收购许可证；投标人如为经营企业，应具有《药品经营许可证》（药品经营许可证范围须包含医疗用毒性药品）或具有《医疗用毒性药品经营批件》。麻黄须单独提供生产企业收购许可证。</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投标人如为生产企业，应具有《药品生产许可证》；投标人如为经营企业，应具有《药品经营许可证》（药品经营许可证范围须包含中药饮片）。</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投标人如为生产企业，应具有《药品生产许可证》；投标人如为经营企业，应具有《药品经营许可证》（药品经营许可证范围须包含中药饮片）。</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投标人如为生产企业，应具有《药品生产许可证》；投标人如为经营企业，应具有《药品经营许可证》（药品经营许可证范围须包含中药饮片）。</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2025年第一季度中蒙药原料、饮片采购项目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1、合同签订后30日内支付合同总价的30%，达到付款条件起30日，支付合同总金额的30.00%</w:t>
            </w:r>
          </w:p>
          <w:p>
            <w:pPr>
              <w:pStyle w:val="null5"/>
              <w:jc w:val="left"/>
            </w:pPr>
            <w:r>
              <w:rPr>
                <w:rFonts w:ascii="仿宋_GB2312" w:hAnsi="仿宋_GB2312" w:cs="仿宋_GB2312" w:eastAsia="仿宋_GB2312"/>
              </w:rPr>
              <w:t>2、中药饮片原材料到货、检验合格后99日内支付合同总价的30%，具体支付时间以医院支付时间为准，达到付款条件起99日，支付合同总金额的30.00%</w:t>
            </w:r>
          </w:p>
          <w:p>
            <w:pPr>
              <w:pStyle w:val="null5"/>
              <w:jc w:val="left"/>
            </w:pPr>
            <w:r>
              <w:rPr>
                <w:rFonts w:ascii="仿宋_GB2312" w:hAnsi="仿宋_GB2312" w:cs="仿宋_GB2312" w:eastAsia="仿宋_GB2312"/>
              </w:rPr>
              <w:t>3、投料使用2批次以上无质量问题，99日内支付合同总价的40%，具体支付时间以医院支付时间为准，达到付款条件起99日，支付合同总金额的40.00%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1.投标人报价必须全品种报价，按照采购明细表格顺序填写报价，报价不能为零。否则视为报价无效，作为无效投标处理。</w:t>
              <w:br/>
              <w:t>2.若中药饮片及原材料品种执行国家或省际联盟带量采购，则按相关政策执行。</w:t>
              <w:br/>
              <w:t>3.质量要求：所有品种应为选货一等品，符合《2020年中华人民共和国药典》或者省、自治区直辖市卫生行政部门制定的《中药炮制规范》的规定，配送企业饮片质量经医院或相关部门鉴定出现有不合格的，采购人有权与中标人解除合同，鉴定费用由中标人承担。</w:t>
              <w:br/>
              <w:t>4.生产中药饮片及原材料应选用与药品性质相适应及符合药品质量要求的包装材料和容器。严禁选用与药品性质不相适应和对药品质量可能产生影响的包装材料。</w:t>
              <w:br/>
              <w:t xml:space="preserve"> 5.中药饮片及原材料的包装必须符合国家中医药管理局颁发的《中药饮片包装管理办法》及国家、地方相关规定 。</w:t>
              <w:br/>
              <w:t>6.中药饮片及原材料在发运过程中必须要有包装。每件包装上必须注明药品名称、产地、生产日期、生产 企业等，并附有质量合格的标志。</w:t>
              <w:br/>
              <w:t xml:space="preserve"> 7. 对不符合质量、有效期、包装和订单数量要求及破损的中药饮片及原材料，采购人有权拒绝接收，投标人应对不符合要求的中药饮片及原材料在2日内进行更换，不得影响采购人的临床使用，造成损失由投标人承担。验收合格并不免除投标人提供药品的质量保证责任。</w:t>
              <w:br/>
              <w:t>8.投标人所供中药饮片及原材料在接收到采购人计划后15个自然日内供货，如在采购人验收过程中有不满足采购人需求的中药饮片及原材料,采购人有权要求投标人更换满足需求的中药饮片及原材料，如一个品种更换2次后仍不符合供应需求及标准，医院有权与其解除合同。</w:t>
              <w:br/>
              <w:t xml:space="preserve"> 9.投标报价及分项报价超出招标文件中规定的预算金额或者最高限价，按无效标处理；</w:t>
              <w:br/>
              <w:t xml:space="preserve"> 10配送要求：配送药品到医院要求地点，并在医院安排专职人员协助验收、清点药品，特别是毒性、贵重药材。</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标的名称：人工麝香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包装公斤装</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标的名称：阿胶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标的名称：艾叶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标的名称：白矾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标的名称：白硇砂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标的名称：白芍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标的名称：百合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标的名称：陈皮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标的名称：川芎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标的名称：刺柏叶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标的名称：三七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标的名称：硫黄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标的名称：鸡血藤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标的名称：金莲花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标的名称：酒大黄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标的名称：两头尖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标的名称：首乌藤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标的名称：满山红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标的名称：芒硝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标的名称：没药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标的名称：大枣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标的名称：莪术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标的名称：儿茶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标的名称：茯苓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标的名称：茯神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标的名称：广藿香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标的名称：诃子肉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标的名称：合欢花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标的名称：何首乌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标的名称：胡椒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白胡椒，饮片、选货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标的名称：黄柏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标的名称：土大黄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标的名称：文冠木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标的名称：薤白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标的名称：蒺藜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标的名称：延胡索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标的名称：茵陈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标的名称：玉米须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标的名称：郁金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标的名称：栀子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饮片、选货、栀子苷含量高于5%</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标的名称：板蓝根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标的名称：冰片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标的名称：姜黄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标的名称：佩兰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标的名称：硼砂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标的名称：乳香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标的名称：三棱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标的名称：桑叶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标的名称：山川柳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检验标准：《内蒙古蒙药材标准》1986年版</w:t>
            </w:r>
          </w:p>
        </w:tc>
      </w:tr>
    </w:tbl>
    <w:p>
      <w:pPr>
        <w:pStyle w:val="null5"/>
        <w:jc w:val="left"/>
      </w:pPr>
      <w:r>
        <w:rPr>
          <w:rFonts w:ascii="仿宋_GB2312" w:hAnsi="仿宋_GB2312" w:cs="仿宋_GB2312" w:eastAsia="仿宋_GB2312"/>
        </w:rPr>
        <w:t>标的名称：山萸肉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标的名称：葡萄干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饮片、选货、索索葡萄</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标的名称：冬虫夏草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天然冬虫夏草（产地青海）， 无断货、非人工养殖虫草；长3-5cm，直径0.5-08cm：表面深黄色至黄棕色，有环纹20～30个，近头部的环纹较细；头部红棕色；足8对，中部4对较明显；质脆，易折断，断面略平坦，淡黄白色。子座细长圆柱形，长4～7cm，直径约0.3cm；表面深棕色至棕褐色，有细纵皱纹，上部稍膨大；质柔韧，断面类白色。气微腥，味微苦。</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标的名称：牛胆粉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标的名称：香墨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标的名称：血竭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标的名称：茜草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标的名称：山奈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标的名称：商陆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标的名称：煅磁石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标的名称：制炉甘石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标的名称：制石决明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标的名称：制碱面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标的名称：木鳖子仁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标的名称：制甘遂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标的名称：细辛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标的名称：朱砂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 （朱红色极细粉末，体轻，以手指撮之无粒状物，以磁铁吸之，无铁末）</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标的名称：银朱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标的名称：麻黄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标的名称：草乌叶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标的名称：制草乌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饮片、选货（表面黑褐色，质脆，稍有麻舌感）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标的名称：制马钱子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标的名称：生草乌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饮片、选货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标的名称：羚羊角粉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最小包装5克以上，带绿标</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标的名称：阿魏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五彩阿魏，脂膏状者黏稠，灰白色。具强烈而持久的蒜样特异臭气，味辛辣，嚼之有灼烧感。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标的名称：白巨胜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标的名称：白头翁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标的名称：赤瓟子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标的名称：川楝子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标的名称：大黄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标的名称：大托叶云实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标的名称：石膏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标的名称：石榴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选货、颜色新鲜黄红色，带籽、无发霉</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标的名称：降香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标的名称：菊花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标的名称：瞿麦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标的名称：决明子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标的名称：连翘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标的名称：莲子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标的名称：龙骨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标的名称：漏芦花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标的名称：鹿茸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（梅花鹿茸、花鹿茸、长17～20cm，锯口直径4～5cm，）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标的名称：豆蔻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标的名称：广枣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标的名称：海金沙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选货（棕黄色或浅棕黄色，</w:t>
            </w:r>
            <w:r>
              <w:br/>
            </w:r>
            <w:r>
              <w:rPr>
                <w:rFonts w:ascii="仿宋_GB2312" w:hAnsi="仿宋_GB2312" w:cs="仿宋_GB2312" w:eastAsia="仿宋_GB2312"/>
              </w:rPr>
              <w:t xml:space="preserve"> 气微，味淡，总灰分不得过15%）</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标的名称：黑冰片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选货、野生炮制品、灰分（不得超过30%）合格</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标的名称：黑种草子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标的名称：胡黄连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标的名称：手参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选货、透明货、个子大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标的名称：紫草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标的名称：紫草茸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选货、干净、块大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标的名称：紫河车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标的名称：紫檀香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选货（一般长约1m，直径10～30cm）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标的名称：沉香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选货原材料、个子货，粉碎纤维少，无静电（可见黑褐色树脂与黄块、含量高于0.15%以上）</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标的名称：人参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选货（主根呈纺锤形或圆柱形，长10～15cm，直径1～ 2cm）原材料、个子货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标的名称：天竺黄（天然）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 天然天竺黄无参人工天竺黄等杂质（呈片块、表面灰蓝色、灰黄色或灰白色，有的洁白色，半透明，吸湿性强）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标的名称：珍珠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标的名称：寒水石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选货原材料、个子货北寒水石</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检验标准：《内蒙古蒙药材标准》1986年版</w:t>
            </w:r>
          </w:p>
        </w:tc>
      </w:tr>
    </w:tbl>
    <w:p>
      <w:pPr>
        <w:pStyle w:val="null5"/>
        <w:jc w:val="left"/>
      </w:pPr>
      <w:r>
        <w:rPr>
          <w:rFonts w:ascii="仿宋_GB2312" w:hAnsi="仿宋_GB2312" w:cs="仿宋_GB2312" w:eastAsia="仿宋_GB2312"/>
        </w:rPr>
        <w:t>标的名称：檀香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 （黄褐色，光滑细腻， 直径10-30cm，含量高3.,5%</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标的名称：苦参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标的名称：木香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选货原材料、个子货，金诃子</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标的名称：诃子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选货原材料、个子货，金诃子</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标的名称：石菖蒲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标的名称：土木香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标的名称：水菖蒲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标的名称：草果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标的名称：沙参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标的名称：山沉香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选货原材料、个子货（木心棕褐色）</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标的名称：当归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标的名称：麦冬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标的名称：丹参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标的名称：丁香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标的名称：甘松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选货原材料、个子货、干净</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标的名称：禹粮土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标的名称：苦地丁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标的名称：苦买菜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检验标准：卫生部药品标准（蒙药分册）1998版</w:t>
            </w:r>
          </w:p>
        </w:tc>
      </w:tr>
    </w:tbl>
    <w:p>
      <w:pPr>
        <w:pStyle w:val="null5"/>
        <w:jc w:val="left"/>
      </w:pPr>
      <w:r>
        <w:rPr>
          <w:rFonts w:ascii="仿宋_GB2312" w:hAnsi="仿宋_GB2312" w:cs="仿宋_GB2312" w:eastAsia="仿宋_GB2312"/>
        </w:rPr>
        <w:t>标的名称：款冬花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标的名称：蓝盆花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标的名称：木棉花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标的名称：木棉花萼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标的名称：木通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2020版中国药典</w:t>
            </w:r>
          </w:p>
        </w:tc>
      </w:tr>
    </w:tbl>
    <w:p>
      <w:pPr>
        <w:pStyle w:val="null5"/>
        <w:jc w:val="left"/>
      </w:pPr>
      <w:r>
        <w:rPr>
          <w:rFonts w:ascii="仿宋_GB2312" w:hAnsi="仿宋_GB2312" w:cs="仿宋_GB2312" w:eastAsia="仿宋_GB2312"/>
        </w:rPr>
        <w:t>标的名称：牛心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选货、无油无脂肪</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标的名称：刀豆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检验标准：《内蒙古蒙药材标准》2015年版</w:t>
            </w:r>
          </w:p>
        </w:tc>
      </w:tr>
    </w:tbl>
    <w:p>
      <w:pPr>
        <w:pStyle w:val="null5"/>
        <w:jc w:val="left"/>
      </w:pPr>
      <w:r>
        <w:rPr>
          <w:rFonts w:ascii="仿宋_GB2312" w:hAnsi="仿宋_GB2312" w:cs="仿宋_GB2312" w:eastAsia="仿宋_GB2312"/>
        </w:rPr>
        <w:t>标的名称：地锦草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标的名称：冬葵果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标的名称：杜仲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标的名称：多叶棘豆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标的名称：方海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选货、红黄色、水洗货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标的名称：榧子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标的名称：酸枣仁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选货（本品呈扁圆形或扁椭圆形，长5～9mm，宽5～7mm，厚约3mm）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标的名称：干姜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标的名称：贯众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标的名称：黄精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标的名称：天冬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标的名称：天花粉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标的名称：兔心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选货、无油无脂肪</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标的名称：五灵脂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标的名称：菥蓂子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标的名称：香青兰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道地药材</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标的名称：橡子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标的名称：小茴香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标的名称：悬钩子木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检验标准：《中华人民共和国卫生部药品标准》蒙药分册（1998）</w:t>
            </w:r>
          </w:p>
        </w:tc>
      </w:tr>
    </w:tbl>
    <w:p>
      <w:pPr>
        <w:pStyle w:val="null5"/>
        <w:jc w:val="left"/>
      </w:pPr>
      <w:r>
        <w:rPr>
          <w:rFonts w:ascii="仿宋_GB2312" w:hAnsi="仿宋_GB2312" w:cs="仿宋_GB2312" w:eastAsia="仿宋_GB2312"/>
        </w:rPr>
        <w:t>标的名称：旋覆花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标的名称：芫荽子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标的名称：益母草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选货、颜色新鲜</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标的名称：益智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标的名称：余甘子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标的名称：玉簪花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标的名称：枳壳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标的名称：猪血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标的名称：紫花地丁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标的名称：北沙参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标的名称：荜茇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标的名称：波棱瓜子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标的名称：枇杷叶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标的名称：秦艽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标的名称：秦艽花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检验标准：《内蒙古蒙药饮片炮制规范》2020年版</w:t>
            </w:r>
          </w:p>
        </w:tc>
      </w:tr>
    </w:tbl>
    <w:p>
      <w:pPr>
        <w:pStyle w:val="null5"/>
        <w:jc w:val="left"/>
      </w:pPr>
      <w:r>
        <w:rPr>
          <w:rFonts w:ascii="仿宋_GB2312" w:hAnsi="仿宋_GB2312" w:cs="仿宋_GB2312" w:eastAsia="仿宋_GB2312"/>
        </w:rPr>
        <w:t>标的名称：青皮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标的名称：苘麻子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标的名称：拳参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标的名称：肉豆蔻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选货（本品呈卵圆形或椭圆形，长2～3cm，直径1.5～2.5cm）、无霉变、黄曲毒霉素符合药典</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标的名称：肉桂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刮皮、符合蒙药使用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标的名称：沙棘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标的名称：山茶花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标的名称：石花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检验标准：《内蒙古蒙药材标准》2021年版</w:t>
            </w:r>
          </w:p>
        </w:tc>
      </w:tr>
    </w:tbl>
    <w:p>
      <w:pPr>
        <w:pStyle w:val="null5"/>
        <w:jc w:val="left"/>
      </w:pPr>
      <w:r>
        <w:rPr>
          <w:rFonts w:ascii="仿宋_GB2312" w:hAnsi="仿宋_GB2312" w:cs="仿宋_GB2312" w:eastAsia="仿宋_GB2312"/>
        </w:rPr>
        <w:t>标的名称：石莲子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jc w:val="left"/>
      </w:pPr>
      <w:r>
        <w:rPr>
          <w:rFonts w:ascii="仿宋_GB2312" w:hAnsi="仿宋_GB2312" w:cs="仿宋_GB2312" w:eastAsia="仿宋_GB2312"/>
        </w:rPr>
        <w:t>标的名称：使君子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选货</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检验标准：2020版中国药典</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 5分； （3）投标人仓储能力较差或未提供仓储服务方案。提供的仓储日常管理方案不合理、库房管理制度不够全面的得 2分；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9分； （2）投标人提供的配送方案较先进合理，能够基本满足配送需求，包装形式统一，标准较明确，基本满足招标文件要求的得 6分； （3）投标人提供的配送及包装方案很简单，标准不明确，可行性一般，仅能部分满足招标文件要求的得 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 5分； （3）投标人仓储能力较差或未提供仓储服务方案。提供的仓储日常管理方案不合理、库房管理制度不够全面的得 2分；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 分； （2）投标人提供的配送方案较先进合理，能够基本满足配送需求，包装形式统一，标准较明确，基本满足招标文件要求的得 6分； （3）投标人提供的配送及包装方案很简单，标准不明确，可行性一般，仅能部分满足招标文件要求的得 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 5分； （3）投标人仓储能力较差或未提供仓储服务方案。提供的仓储日常管理方案不合理、库房管理制度不够全面的得 2 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9分； （2）投标人提供的配送方案较先进合理，能够基本满足配送需求，包装形式统一，标准较明确，基本满足招标文件要求的得 6分； （3）投标人提供的配送及包装方案很简单，标准不明确，可行性一般，仅能部分满足招标文件要求的得 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 5分； （3）投标人仓储能力较差或未提供仓储服务方案。提供的仓储日常管理方案不合理、库房管理制度不够全面的得 2 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9分； （2）投标人提供的配送方案较先进合理，能够基本满足配送需求，包装形式统一，标准较明确，基本满足招标文件要求的得6分； （3）投标人提供的配送及包装方案很简单，标准不明确，可行性一般，仅能部分满足招标文件要求的得 3 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 5分； （3）投标人仓储能力较差或未提供仓储服务方案。提供的仓储日常管理方案不合理、库房管理制度不够全面的得 2 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 分； （2）投标人提供的配送方案较先进合理，能够基本满足配送需求，包装形式统一，标准较明确，基本满足招标文件要求的得 6分； （3）投标人提供的配送及包装方案很简单，标准不明确，可行性一般，仅能部分满足招标文件要求的得 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采购包6：</w:t>
      </w:r>
    </w:p>
    <w:p>
      <w:pPr>
        <w:pStyle w:val="null5"/>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 5分； （3）投标人仓储能力较差或未提供仓储服务方案。提供的仓储日常管理方案不合理、库房管理制度不够全面的得 2 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9分； （2）投标人提供的配送方案较先进合理，能够基本满足配送需求，包装形式统一，标准较明确，基本满足招标文件要求的得6分； （3）投标人提供的配送及包装方案很简单，标准不明确，可行性一般，仅能部分满足招标文件要求的得 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采购包7：</w:t>
      </w:r>
    </w:p>
    <w:p>
      <w:pPr>
        <w:pStyle w:val="null5"/>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对投标人仓储能力的评价</w:t>
            </w:r>
          </w:p>
        </w:tc>
        <w:tc>
          <w:tcPr>
            <w:tcW w:type="dxa" w:w="3115"/>
          </w:tcPr>
          <w:p>
            <w:pPr>
              <w:pStyle w:val="null5"/>
              <w:jc w:val="left"/>
            </w:pPr>
            <w:r>
              <w:rPr>
                <w:rFonts w:ascii="仿宋_GB2312" w:hAnsi="仿宋_GB2312" w:cs="仿宋_GB2312" w:eastAsia="仿宋_GB2312"/>
              </w:rPr>
              <w:t>在满足招标文件基本要求的前提下，根据投标人对中药饮片的仓储保障能力进行评价，其中： （1）投标人仓储能力完备，提供全部独立仓储空间，设有常温库、阴凉库、冷库、易串味库，仓储日常管理方案合理、有良好的仓储管理机制、库房管理制度全面、仓库内外环境无污染源，药材储备量能够充分满足医院需求的得 8分； （2）投标人仓储能力一般，提供部分独立仓储空间，仓储日常管理方案比较合理、库房管理制度较全面、仓库内外环境无污染源，药材储备量基本满足医院需求得5分； （3）投标人仓储能力较差或未提供仓储服务方案。提供的仓储日常管理方案不合理、库房管理制度不够全面的得 2 分； （4）其他或无相关内容，不得分。 注：提供相应的房产证或租赁合同或其它合法有效的证明文件并附相关仓库图片。未按要求提供者，不予认可。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对投标人配送及包装能力的评价</w:t>
            </w:r>
          </w:p>
        </w:tc>
        <w:tc>
          <w:tcPr>
            <w:tcW w:type="dxa" w:w="3115"/>
          </w:tcPr>
          <w:p>
            <w:pPr>
              <w:pStyle w:val="null5"/>
              <w:jc w:val="left"/>
            </w:pPr>
            <w:r>
              <w:rPr>
                <w:rFonts w:ascii="仿宋_GB2312" w:hAnsi="仿宋_GB2312" w:cs="仿宋_GB2312" w:eastAsia="仿宋_GB2312"/>
              </w:rPr>
              <w:t>根据投标人配送方案（供货、配送工作流程）的先进性、合理性、及时性、物流配送方式和配送工具等进行评价，其中： （1）投标人提供的配送方案先进合理，能够及时满足配送需求，包装形式统一，标准明确，完全满足招标文件要求的得 9 分； （2）投标人提供的配送方案较先进合理，能够基本满足配送需求，包装形式统一，标准较明确，基本满足招标文件要求的得 6分； （3）投标人提供的配送及包装方案很简单，标准不明确，可行性一般，仅能部分满足招标文件要求的得 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药品质量保证体系及措施</w:t>
            </w:r>
          </w:p>
        </w:tc>
        <w:tc>
          <w:tcPr>
            <w:tcW w:type="dxa" w:w="3115"/>
          </w:tcPr>
          <w:p>
            <w:pPr>
              <w:pStyle w:val="null5"/>
              <w:jc w:val="left"/>
            </w:pPr>
            <w:r>
              <w:rPr>
                <w:rFonts w:ascii="仿宋_GB2312" w:hAnsi="仿宋_GB2312" w:cs="仿宋_GB2312" w:eastAsia="仿宋_GB2312"/>
              </w:rPr>
              <w:t>根据投标人提供的药品质量保证体系及措施进行综合评审。 （1）所提供药品质量、产地等信息明确，药品质量保证措施承诺十分完善 、十分合理，有质量问题不会影响采购人使用的前提下进行调换补充，完全满足采购需求，得9分； （2）所提供药品质量、产地等信息比较明确 ，药品质量保证措施承诺比较完善，有质量问题不会影响采购人使用的前提 下进行调换补充，满足采购需求，得6分； （3）所提供药品质量、产地 等信息基本明确，药品质量保证措施承诺基本完善，有质量问题不会影响采购人使用的前提下进行调换补充，基本满足采购需求，得3分； （4）其他或无相关内容，不得分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药品卫生安全保证措施</w:t>
            </w:r>
          </w:p>
        </w:tc>
        <w:tc>
          <w:tcPr>
            <w:tcW w:type="dxa" w:w="3115"/>
          </w:tcPr>
          <w:p>
            <w:pPr>
              <w:pStyle w:val="null5"/>
              <w:jc w:val="left"/>
            </w:pPr>
            <w:r>
              <w:rPr>
                <w:rFonts w:ascii="仿宋_GB2312" w:hAnsi="仿宋_GB2312" w:cs="仿宋_GB2312" w:eastAsia="仿宋_GB2312"/>
              </w:rPr>
              <w:t>据投标人提供的药品卫生安全保证措施进行综合评审： （1）提供的药品卫生安全措施合理、可行，得8分； （2）提供的药品卫生安全措施比较合理、可行，得5分； （3）提供的药品卫生安全措施一般，得2分；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对投标人拟采取的应急预案的评价</w:t>
            </w:r>
          </w:p>
        </w:tc>
        <w:tc>
          <w:tcPr>
            <w:tcW w:type="dxa" w:w="3115"/>
          </w:tcPr>
          <w:p>
            <w:pPr>
              <w:pStyle w:val="null5"/>
              <w:jc w:val="left"/>
            </w:pPr>
            <w:r>
              <w:rPr>
                <w:rFonts w:ascii="仿宋_GB2312" w:hAnsi="仿宋_GB2312" w:cs="仿宋_GB2312" w:eastAsia="仿宋_GB2312"/>
              </w:rPr>
              <w:t>根据招标文件要求，针对投标人提供的应急预案进行综合评价，其中： （1）应急预案针对急需供货、物流紧急问题保障、质量问题处理以及提前识别和预防可能发生的重大隐患事故、突发疫情、保障中药饮片安全和供应等因素等方面，能够提供完善详细的处理方案和处置措施，能够最大程度降低对采购人的影响，科学合理，细致完善的得8分； （2）应急预案针对急需供货、物流紧急问题保障、质量问题处理以及提前识别和预防可能发生的重大隐患事故、突发疫情、保障中药饮片安全和供应等因素等方面，能提供较为完善的处理方案和处置措施，能够在一定程度上降低对采购人的影响，较为科学合理，细致完善的得5分； （3）应急预案针对针对急需供货、物流紧急问题保障、质量问题处理以及提前识别和预防可能发生的重大隐患事故、突发疫情、保障中药饮片安全和供应等因素等方面，提供的处理方案简单、处置措施较为描述不清晰的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根据投标人提供的售后服务方案进行评价，包括但不限于以下内容：售后服务体系、管理制度、售后服务内容（售后服务点、备品有库存、供应及时、服务标准、年限、响应时间、定期回访等） （1）售后服务方案非常详细完整、有较强针对性、合理可行、措施得力、流程规范有条理，得8分； （2）售后服务方案基本详细完整、针对性较欠缺、合理可行较欠缺、措施基本得力、流程规范条理性较欠缺，得5分； （3）售后服务方案完整度一般、针对性欠缺、措施不太得力、流程规范条理性弱得2分； （4）其他或无相关内容，不得分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同类项目业绩</w:t>
            </w:r>
          </w:p>
        </w:tc>
        <w:tc>
          <w:tcPr>
            <w:tcW w:type="dxa" w:w="3115"/>
          </w:tcPr>
          <w:p>
            <w:pPr>
              <w:pStyle w:val="null5"/>
              <w:jc w:val="left"/>
            </w:pPr>
            <w:r>
              <w:rPr>
                <w:rFonts w:ascii="仿宋_GB2312" w:hAnsi="仿宋_GB2312" w:cs="仿宋_GB2312" w:eastAsia="仿宋_GB2312"/>
              </w:rPr>
              <w:t>投标人（2022年1月1日至投标截止时间止）投标人承揽的中药饮片供货业绩，每提供1份得2分，最高为10分。投标人需提供采购合同（需包含但不限于合同首页、采购内容页和双方签字盖章页）复印件作为证明材料，未提供证明材料或材料不齐全的项目业绩不予认可。</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采购包6：</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采购包7：</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