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B8AC0">
      <w:pPr>
        <w:pStyle w:val="4"/>
        <w:widowControl/>
        <w:snapToGrid/>
        <w:spacing w:before="0" w:beforeAutospacing="0" w:after="0" w:afterAutospacing="0" w:line="360" w:lineRule="auto"/>
        <w:ind w:left="210" w:leftChars="100"/>
        <w:jc w:val="center"/>
        <w:textAlignment w:val="baseline"/>
        <w:rPr>
          <w:rFonts w:hint="eastAsia" w:ascii="宋体" w:hAnsi="宋体" w:eastAsia="宋体" w:cs="宋体"/>
          <w:b/>
          <w:bCs/>
          <w:i w:val="0"/>
          <w:caps w:val="0"/>
          <w:spacing w:val="0"/>
          <w:w w:val="100"/>
          <w:sz w:val="44"/>
          <w:szCs w:val="44"/>
          <w:lang w:val="en-US" w:eastAsia="zh-CN"/>
        </w:rPr>
      </w:pPr>
      <w:r>
        <w:rPr>
          <w:rFonts w:hint="eastAsia" w:ascii="宋体" w:hAnsi="宋体" w:eastAsia="宋体" w:cs="宋体"/>
          <w:b/>
          <w:bCs/>
          <w:i w:val="0"/>
          <w:caps w:val="0"/>
          <w:spacing w:val="0"/>
          <w:w w:val="100"/>
          <w:sz w:val="44"/>
          <w:szCs w:val="44"/>
          <w:lang w:val="en-US" w:eastAsia="zh-CN"/>
        </w:rPr>
        <w:t>编制说明</w:t>
      </w:r>
    </w:p>
    <w:p w14:paraId="18016B3E">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rPr>
      </w:pPr>
      <w:r>
        <w:rPr>
          <w:rFonts w:hint="eastAsia" w:ascii="宋体" w:hAnsi="宋体" w:eastAsia="宋体" w:cs="宋体"/>
          <w:b/>
          <w:bCs/>
          <w:i w:val="0"/>
          <w:caps w:val="0"/>
          <w:spacing w:val="0"/>
          <w:w w:val="100"/>
          <w:sz w:val="32"/>
          <w:szCs w:val="32"/>
          <w:lang w:val="en-US" w:eastAsia="zh-CN"/>
        </w:rPr>
        <w:t>一</w:t>
      </w:r>
      <w:r>
        <w:rPr>
          <w:rFonts w:hint="eastAsia" w:ascii="宋体" w:hAnsi="宋体" w:eastAsia="宋体" w:cs="宋体"/>
          <w:b/>
          <w:bCs/>
          <w:i w:val="0"/>
          <w:caps w:val="0"/>
          <w:spacing w:val="0"/>
          <w:w w:val="100"/>
          <w:sz w:val="32"/>
          <w:szCs w:val="32"/>
        </w:rPr>
        <w:t>、编制依据</w:t>
      </w:r>
    </w:p>
    <w:p w14:paraId="189FDFF6">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b w:val="0"/>
          <w:i w:val="0"/>
          <w:caps w:val="0"/>
          <w:spacing w:val="0"/>
          <w:w w:val="100"/>
          <w:sz w:val="32"/>
          <w:szCs w:val="32"/>
          <w:lang w:eastAsia="zh-CN"/>
        </w:rPr>
      </w:pPr>
      <w:r>
        <w:rPr>
          <w:rFonts w:hint="eastAsia" w:ascii="宋体" w:hAnsi="宋体" w:eastAsia="宋体" w:cs="宋体"/>
          <w:b w:val="0"/>
          <w:i w:val="0"/>
          <w:caps w:val="0"/>
          <w:spacing w:val="0"/>
          <w:w w:val="100"/>
          <w:sz w:val="32"/>
          <w:szCs w:val="32"/>
        </w:rPr>
        <w:t>1、依据设计院出具的设计图纸</w:t>
      </w:r>
      <w:r>
        <w:rPr>
          <w:rFonts w:hint="eastAsia" w:ascii="宋体" w:hAnsi="宋体" w:eastAsia="宋体" w:cs="宋体"/>
          <w:b w:val="0"/>
          <w:i w:val="0"/>
          <w:caps w:val="0"/>
          <w:spacing w:val="0"/>
          <w:w w:val="100"/>
          <w:sz w:val="32"/>
          <w:szCs w:val="32"/>
          <w:lang w:val="en-US" w:eastAsia="zh-CN"/>
        </w:rPr>
        <w:t>及设计概算</w:t>
      </w:r>
      <w:r>
        <w:rPr>
          <w:rFonts w:hint="eastAsia" w:ascii="宋体" w:hAnsi="宋体" w:eastAsia="宋体" w:cs="宋体"/>
          <w:b w:val="0"/>
          <w:i w:val="0"/>
          <w:caps w:val="0"/>
          <w:spacing w:val="0"/>
          <w:w w:val="100"/>
          <w:sz w:val="32"/>
          <w:szCs w:val="32"/>
          <w:lang w:eastAsia="zh-CN"/>
        </w:rPr>
        <w:t>；</w:t>
      </w:r>
    </w:p>
    <w:p w14:paraId="705C05B7">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color w:val="auto"/>
          <w:kern w:val="0"/>
          <w:sz w:val="32"/>
          <w:szCs w:val="32"/>
          <w:highlight w:val="none"/>
          <w:lang w:eastAsia="zh-CN" w:bidi="ar"/>
        </w:rPr>
      </w:pPr>
      <w:r>
        <w:rPr>
          <w:rFonts w:hint="eastAsia" w:ascii="宋体" w:hAnsi="宋体" w:eastAsia="宋体" w:cs="宋体"/>
          <w:b w:val="0"/>
          <w:i w:val="0"/>
          <w:caps w:val="0"/>
          <w:spacing w:val="0"/>
          <w:w w:val="100"/>
          <w:sz w:val="32"/>
          <w:szCs w:val="32"/>
        </w:rPr>
        <w:t>2、工程量清单计价执行《建设工程工程量清单计价规范》(GB50500-2013)</w:t>
      </w:r>
      <w:r>
        <w:rPr>
          <w:rFonts w:hint="eastAsia" w:ascii="宋体" w:hAnsi="宋体" w:eastAsia="宋体" w:cs="宋体"/>
          <w:b w:val="0"/>
          <w:i w:val="0"/>
          <w:caps w:val="0"/>
          <w:spacing w:val="0"/>
          <w:w w:val="100"/>
          <w:sz w:val="32"/>
          <w:szCs w:val="32"/>
          <w:lang w:val="en-US" w:eastAsia="zh-CN"/>
        </w:rPr>
        <w:t>及</w:t>
      </w:r>
      <w:r>
        <w:rPr>
          <w:rFonts w:hint="eastAsia" w:ascii="宋体" w:hAnsi="宋体" w:eastAsia="宋体" w:cs="宋体"/>
          <w:color w:val="auto"/>
          <w:kern w:val="0"/>
          <w:sz w:val="32"/>
          <w:szCs w:val="32"/>
          <w:highlight w:val="none"/>
          <w:lang w:bidi="ar"/>
        </w:rPr>
        <w:t>解释和勘误</w:t>
      </w:r>
      <w:r>
        <w:rPr>
          <w:rFonts w:hint="eastAsia" w:ascii="宋体" w:hAnsi="宋体" w:eastAsia="宋体" w:cs="宋体"/>
          <w:color w:val="auto"/>
          <w:kern w:val="0"/>
          <w:sz w:val="32"/>
          <w:szCs w:val="32"/>
          <w:highlight w:val="none"/>
          <w:lang w:eastAsia="zh-CN" w:bidi="ar"/>
        </w:rPr>
        <w:t>；</w:t>
      </w:r>
    </w:p>
    <w:p w14:paraId="13A6FB26">
      <w:pPr>
        <w:numPr>
          <w:ilvl w:val="0"/>
          <w:numId w:val="0"/>
        </w:numPr>
        <w:tabs>
          <w:tab w:val="left" w:pos="640"/>
          <w:tab w:val="left" w:pos="840"/>
          <w:tab w:val="left" w:pos="1050"/>
          <w:tab w:val="left" w:pos="1134"/>
          <w:tab w:val="left" w:pos="1260"/>
          <w:tab w:val="left" w:pos="1680"/>
          <w:tab w:val="left" w:pos="1890"/>
          <w:tab w:val="left" w:pos="2100"/>
        </w:tabs>
        <w:spacing w:line="240" w:lineRule="auto"/>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b w:val="0"/>
          <w:i w:val="0"/>
          <w:caps w:val="0"/>
          <w:spacing w:val="0"/>
          <w:w w:val="100"/>
          <w:sz w:val="32"/>
          <w:szCs w:val="32"/>
        </w:rPr>
        <w:t>3、</w:t>
      </w:r>
      <w:r>
        <w:rPr>
          <w:rFonts w:hint="eastAsia" w:ascii="宋体" w:hAnsi="宋体" w:eastAsia="宋体" w:cs="宋体"/>
          <w:color w:val="auto"/>
          <w:kern w:val="0"/>
          <w:sz w:val="32"/>
          <w:szCs w:val="32"/>
          <w:highlight w:val="none"/>
          <w:lang w:bidi="ar"/>
        </w:rPr>
        <w:t>定额执行2017届《内蒙古自治区房屋建筑与装饰工程预算定额》</w:t>
      </w:r>
      <w:r>
        <w:rPr>
          <w:rFonts w:hint="eastAsia" w:ascii="宋体" w:hAnsi="宋体" w:eastAsia="宋体" w:cs="宋体"/>
          <w:color w:val="auto"/>
          <w:kern w:val="0"/>
          <w:sz w:val="32"/>
          <w:szCs w:val="32"/>
          <w:highlight w:val="none"/>
          <w:lang w:eastAsia="zh-CN" w:bidi="ar"/>
        </w:rPr>
        <w:t>、《内蒙古自治区通用安装工程预算定额》、</w:t>
      </w:r>
      <w:r>
        <w:rPr>
          <w:rFonts w:hint="eastAsia" w:ascii="宋体" w:hAnsi="宋体" w:eastAsia="宋体" w:cs="宋体"/>
          <w:color w:val="auto"/>
          <w:kern w:val="0"/>
          <w:sz w:val="32"/>
          <w:szCs w:val="32"/>
          <w:highlight w:val="none"/>
          <w:lang w:bidi="ar"/>
        </w:rPr>
        <w:t>《内蒙古自治区</w:t>
      </w:r>
      <w:r>
        <w:rPr>
          <w:rFonts w:hint="eastAsia" w:ascii="宋体" w:hAnsi="宋体" w:eastAsia="宋体" w:cs="宋体"/>
          <w:color w:val="auto"/>
          <w:kern w:val="0"/>
          <w:sz w:val="32"/>
          <w:szCs w:val="32"/>
          <w:highlight w:val="none"/>
          <w:lang w:val="en-US" w:eastAsia="zh-CN" w:bidi="ar"/>
        </w:rPr>
        <w:t>市政工程</w:t>
      </w:r>
      <w:r>
        <w:rPr>
          <w:rFonts w:hint="eastAsia" w:ascii="宋体" w:hAnsi="宋体" w:eastAsia="宋体" w:cs="宋体"/>
          <w:color w:val="auto"/>
          <w:kern w:val="0"/>
          <w:sz w:val="32"/>
          <w:szCs w:val="32"/>
          <w:highlight w:val="none"/>
          <w:lang w:bidi="ar"/>
        </w:rPr>
        <w:t>预算定额》</w:t>
      </w:r>
      <w:r>
        <w:rPr>
          <w:rFonts w:hint="eastAsia" w:ascii="宋体" w:hAnsi="宋体" w:eastAsia="宋体" w:cs="宋体"/>
          <w:color w:val="auto"/>
          <w:kern w:val="0"/>
          <w:sz w:val="32"/>
          <w:szCs w:val="32"/>
          <w:highlight w:val="none"/>
          <w:lang w:eastAsia="zh-CN" w:bidi="ar"/>
        </w:rPr>
        <w:t>、《内蒙古自治区园林绿化工程预算定额》、</w:t>
      </w:r>
      <w:r>
        <w:rPr>
          <w:rFonts w:hint="eastAsia" w:ascii="宋体" w:hAnsi="宋体" w:eastAsia="宋体" w:cs="宋体"/>
          <w:color w:val="auto"/>
          <w:kern w:val="0"/>
          <w:sz w:val="32"/>
          <w:szCs w:val="32"/>
          <w:highlight w:val="none"/>
          <w:lang w:bidi="ar"/>
        </w:rPr>
        <w:t>《内蒙古自治区建设工程费用定额》及现行相关政策性文件等</w:t>
      </w:r>
      <w:r>
        <w:rPr>
          <w:rFonts w:hint="eastAsia" w:ascii="宋体" w:hAnsi="宋体" w:eastAsia="宋体" w:cs="宋体"/>
          <w:color w:val="auto"/>
          <w:kern w:val="0"/>
          <w:sz w:val="32"/>
          <w:szCs w:val="32"/>
          <w:highlight w:val="none"/>
          <w:lang w:eastAsia="zh-CN" w:bidi="ar"/>
        </w:rPr>
        <w:t>；</w:t>
      </w:r>
    </w:p>
    <w:p w14:paraId="52FFA3FB">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4、规费执行《内蒙古自治区住房和城乡建设厅文件关于调整内蒙古自治区建设工程计价依据规费中养老保险费率的通知》内建标〔2019〕468号文件，将规费中的养老保险费率由12.5%调整为10.5%，规费费率为19%；</w:t>
      </w:r>
    </w:p>
    <w:p w14:paraId="5A106B1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5、税金执行《关于调整内蒙古自治区建设工程计价依据增值税税率的通知》内建标[2019]113号文件，税率为9%；</w:t>
      </w:r>
    </w:p>
    <w:p w14:paraId="1EAFE1B1">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6、人工费调整执行《内蒙古自治区住房和城乡建设厅文件》内建标〔2021〕148号文件。</w:t>
      </w:r>
    </w:p>
    <w:p w14:paraId="5B06A716">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color w:val="auto"/>
          <w:kern w:val="0"/>
          <w:sz w:val="32"/>
          <w:szCs w:val="32"/>
          <w:lang w:val="en-US" w:eastAsia="zh-CN" w:bidi="ar"/>
        </w:rPr>
      </w:pPr>
      <w:r>
        <w:rPr>
          <w:rFonts w:hint="eastAsia" w:ascii="宋体" w:hAnsi="宋体" w:eastAsia="宋体" w:cs="宋体"/>
          <w:b w:val="0"/>
          <w:bCs w:val="0"/>
          <w:i w:val="0"/>
          <w:caps w:val="0"/>
          <w:color w:val="auto"/>
          <w:spacing w:val="0"/>
          <w:w w:val="100"/>
          <w:sz w:val="32"/>
          <w:szCs w:val="32"/>
          <w:lang w:val="en-US" w:eastAsia="zh-CN"/>
        </w:rPr>
        <w:t>7、</w:t>
      </w:r>
      <w:r>
        <w:rPr>
          <w:rFonts w:hint="eastAsia" w:ascii="宋体" w:hAnsi="宋体" w:eastAsia="宋体" w:cs="宋体"/>
          <w:color w:val="auto"/>
          <w:kern w:val="0"/>
          <w:sz w:val="32"/>
          <w:szCs w:val="32"/>
          <w:lang w:val="en-US" w:eastAsia="zh-CN" w:bidi="ar"/>
        </w:rPr>
        <w:t>本项目不记取材料检验试验费和工人实名制费。</w:t>
      </w:r>
    </w:p>
    <w:p w14:paraId="7B4032EF">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val="0"/>
          <w:i w:val="0"/>
          <w:caps w:val="0"/>
          <w:color w:val="auto"/>
          <w:spacing w:val="0"/>
          <w:w w:val="100"/>
          <w:sz w:val="32"/>
          <w:szCs w:val="32"/>
          <w:lang w:val="en-US" w:eastAsia="zh-CN"/>
        </w:rPr>
        <w:t>8、</w:t>
      </w:r>
      <w:r>
        <w:rPr>
          <w:rFonts w:hint="eastAsia" w:ascii="宋体" w:hAnsi="宋体" w:eastAsia="宋体" w:cs="宋体"/>
          <w:b w:val="0"/>
          <w:bCs/>
          <w:i w:val="0"/>
          <w:caps w:val="0"/>
          <w:spacing w:val="0"/>
          <w:w w:val="100"/>
          <w:kern w:val="0"/>
          <w:sz w:val="32"/>
          <w:szCs w:val="32"/>
          <w:lang w:val="en-US" w:eastAsia="zh-CN" w:bidi="ar-SA"/>
        </w:rPr>
        <w:t>为保证项目效果符合招标人的要求，保证招标采购工作公平公正进行，将控制价编制时所参照的材料档次进行公示，投标人报价时需考虑同档次及以上的产品。投标主要材料设备档次推荐表见后附“主要材料、设备档次推荐表”</w:t>
      </w:r>
    </w:p>
    <w:tbl>
      <w:tblPr>
        <w:tblStyle w:val="5"/>
        <w:tblW w:w="960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2226"/>
        <w:gridCol w:w="4612"/>
        <w:gridCol w:w="1943"/>
      </w:tblGrid>
      <w:tr w14:paraId="69DA0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609" w:type="dxa"/>
            <w:gridSpan w:val="4"/>
            <w:tcBorders>
              <w:top w:val="nil"/>
              <w:left w:val="nil"/>
              <w:bottom w:val="single" w:color="auto" w:sz="4" w:space="0"/>
              <w:right w:val="nil"/>
            </w:tcBorders>
            <w:noWrap/>
            <w:vAlign w:val="center"/>
          </w:tcPr>
          <w:p w14:paraId="426CD8FB">
            <w:pPr>
              <w:keepLines w:val="0"/>
              <w:widowControl w:val="0"/>
              <w:suppressLineNumbers w:val="0"/>
              <w:snapToGrid/>
              <w:spacing w:before="0" w:beforeAutospacing="0" w:after="0" w:afterAutospacing="0" w:line="432" w:lineRule="auto"/>
              <w:ind w:left="0" w:right="0"/>
              <w:jc w:val="center"/>
              <w:textAlignment w:val="baseline"/>
              <w:rPr>
                <w:rFonts w:hint="eastAsia" w:ascii="宋体" w:hAnsi="宋体" w:eastAsia="宋体" w:cs="宋体"/>
                <w:b w:val="0"/>
                <w:i w:val="0"/>
                <w:caps w:val="0"/>
                <w:color w:val="auto"/>
                <w:spacing w:val="0"/>
                <w:w w:val="100"/>
                <w:kern w:val="2"/>
                <w:sz w:val="24"/>
                <w:szCs w:val="24"/>
              </w:rPr>
            </w:pPr>
            <w:r>
              <w:rPr>
                <w:rFonts w:hint="eastAsia" w:ascii="宋体" w:hAnsi="宋体" w:eastAsia="宋体" w:cs="宋体"/>
                <w:b w:val="0"/>
                <w:bCs/>
                <w:i w:val="0"/>
                <w:caps w:val="0"/>
                <w:color w:val="auto"/>
                <w:spacing w:val="0"/>
                <w:w w:val="100"/>
                <w:kern w:val="2"/>
                <w:sz w:val="32"/>
                <w:szCs w:val="32"/>
                <w:lang w:val="en-US" w:eastAsia="zh-CN" w:bidi="ar"/>
              </w:rPr>
              <w:t>附表1“主要材料、设备档次推荐表”</w:t>
            </w:r>
          </w:p>
        </w:tc>
      </w:tr>
      <w:tr w14:paraId="36B21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3DB2E65A">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bCs/>
                <w:i w:val="0"/>
                <w:caps w:val="0"/>
                <w:color w:val="auto"/>
                <w:spacing w:val="0"/>
                <w:w w:val="100"/>
                <w:kern w:val="2"/>
                <w:sz w:val="28"/>
                <w:szCs w:val="28"/>
              </w:rPr>
            </w:pPr>
            <w:r>
              <w:rPr>
                <w:rFonts w:hint="eastAsia" w:ascii="宋体" w:hAnsi="宋体" w:eastAsia="宋体" w:cs="宋体"/>
                <w:b/>
                <w:bCs/>
                <w:i w:val="0"/>
                <w:caps w:val="0"/>
                <w:color w:val="auto"/>
                <w:spacing w:val="0"/>
                <w:w w:val="100"/>
                <w:kern w:val="0"/>
                <w:sz w:val="28"/>
                <w:szCs w:val="28"/>
                <w:lang w:val="en-US" w:eastAsia="zh-CN" w:bidi="ar"/>
              </w:rPr>
              <w:t>序号</w:t>
            </w:r>
          </w:p>
        </w:tc>
        <w:tc>
          <w:tcPr>
            <w:tcW w:w="2226" w:type="dxa"/>
            <w:tcBorders>
              <w:top w:val="single" w:color="auto" w:sz="4" w:space="0"/>
              <w:left w:val="nil"/>
              <w:bottom w:val="single" w:color="auto" w:sz="4" w:space="0"/>
              <w:right w:val="single" w:color="auto" w:sz="4" w:space="0"/>
            </w:tcBorders>
            <w:noWrap w:val="0"/>
            <w:vAlign w:val="center"/>
          </w:tcPr>
          <w:p w14:paraId="46F4B164">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bCs/>
                <w:i w:val="0"/>
                <w:caps w:val="0"/>
                <w:color w:val="auto"/>
                <w:spacing w:val="0"/>
                <w:w w:val="100"/>
                <w:kern w:val="2"/>
                <w:sz w:val="28"/>
                <w:szCs w:val="28"/>
              </w:rPr>
            </w:pPr>
            <w:r>
              <w:rPr>
                <w:rFonts w:hint="eastAsia" w:ascii="宋体" w:hAnsi="宋体" w:eastAsia="宋体" w:cs="宋体"/>
                <w:b/>
                <w:bCs/>
                <w:i w:val="0"/>
                <w:caps w:val="0"/>
                <w:color w:val="auto"/>
                <w:spacing w:val="0"/>
                <w:w w:val="100"/>
                <w:kern w:val="0"/>
                <w:sz w:val="28"/>
                <w:szCs w:val="28"/>
                <w:lang w:val="en-US" w:eastAsia="zh-CN" w:bidi="ar"/>
              </w:rPr>
              <w:t>材料设备名称</w:t>
            </w:r>
          </w:p>
        </w:tc>
        <w:tc>
          <w:tcPr>
            <w:tcW w:w="4612" w:type="dxa"/>
            <w:tcBorders>
              <w:top w:val="single" w:color="auto" w:sz="4" w:space="0"/>
              <w:left w:val="nil"/>
              <w:bottom w:val="single" w:color="auto" w:sz="4" w:space="0"/>
              <w:right w:val="single" w:color="auto" w:sz="4" w:space="0"/>
            </w:tcBorders>
            <w:noWrap w:val="0"/>
            <w:vAlign w:val="center"/>
          </w:tcPr>
          <w:p w14:paraId="12107C8D">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bCs/>
                <w:i w:val="0"/>
                <w:caps w:val="0"/>
                <w:color w:val="auto"/>
                <w:spacing w:val="0"/>
                <w:w w:val="100"/>
                <w:kern w:val="2"/>
                <w:sz w:val="28"/>
                <w:szCs w:val="28"/>
              </w:rPr>
            </w:pPr>
            <w:r>
              <w:rPr>
                <w:rFonts w:hint="eastAsia" w:ascii="宋体" w:hAnsi="宋体" w:eastAsia="宋体" w:cs="宋体"/>
                <w:b/>
                <w:bCs/>
                <w:i w:val="0"/>
                <w:caps w:val="0"/>
                <w:color w:val="auto"/>
                <w:spacing w:val="0"/>
                <w:w w:val="100"/>
                <w:kern w:val="0"/>
                <w:sz w:val="28"/>
                <w:szCs w:val="28"/>
                <w:lang w:val="en-US" w:eastAsia="zh-CN" w:bidi="ar"/>
              </w:rPr>
              <w:t>推荐档次</w:t>
            </w:r>
          </w:p>
        </w:tc>
        <w:tc>
          <w:tcPr>
            <w:tcW w:w="1943" w:type="dxa"/>
            <w:tcBorders>
              <w:top w:val="single" w:color="auto" w:sz="4" w:space="0"/>
              <w:left w:val="nil"/>
              <w:bottom w:val="single" w:color="auto" w:sz="4" w:space="0"/>
              <w:right w:val="single" w:color="auto" w:sz="4" w:space="0"/>
            </w:tcBorders>
            <w:noWrap w:val="0"/>
            <w:vAlign w:val="center"/>
          </w:tcPr>
          <w:p w14:paraId="78E52C1C">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bCs/>
                <w:i w:val="0"/>
                <w:caps w:val="0"/>
                <w:color w:val="auto"/>
                <w:spacing w:val="0"/>
                <w:w w:val="100"/>
                <w:kern w:val="2"/>
                <w:sz w:val="28"/>
                <w:szCs w:val="28"/>
                <w:lang w:val="en-US" w:eastAsia="zh-CN"/>
              </w:rPr>
            </w:pPr>
            <w:r>
              <w:rPr>
                <w:rFonts w:hint="eastAsia" w:ascii="宋体" w:hAnsi="宋体" w:eastAsia="宋体" w:cs="宋体"/>
                <w:b/>
                <w:bCs/>
                <w:i w:val="0"/>
                <w:caps w:val="0"/>
                <w:color w:val="auto"/>
                <w:spacing w:val="0"/>
                <w:w w:val="100"/>
                <w:kern w:val="2"/>
                <w:sz w:val="28"/>
                <w:szCs w:val="28"/>
                <w:lang w:val="en-US" w:eastAsia="zh-CN"/>
              </w:rPr>
              <w:t>投标档次</w:t>
            </w:r>
          </w:p>
        </w:tc>
      </w:tr>
      <w:tr w14:paraId="26B28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78236E0A">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1</w:t>
            </w:r>
          </w:p>
        </w:tc>
        <w:tc>
          <w:tcPr>
            <w:tcW w:w="2226" w:type="dxa"/>
            <w:tcBorders>
              <w:top w:val="single" w:color="auto" w:sz="4" w:space="0"/>
              <w:left w:val="nil"/>
              <w:bottom w:val="single" w:color="auto" w:sz="4" w:space="0"/>
              <w:right w:val="single" w:color="auto" w:sz="4" w:space="0"/>
            </w:tcBorders>
            <w:noWrap w:val="0"/>
            <w:vAlign w:val="center"/>
          </w:tcPr>
          <w:p w14:paraId="2A4AA43C">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水泵</w:t>
            </w:r>
          </w:p>
        </w:tc>
        <w:tc>
          <w:tcPr>
            <w:tcW w:w="4612" w:type="dxa"/>
            <w:tcBorders>
              <w:top w:val="single" w:color="auto" w:sz="4" w:space="0"/>
              <w:left w:val="nil"/>
              <w:bottom w:val="single" w:color="auto" w:sz="4" w:space="0"/>
              <w:right w:val="single" w:color="auto" w:sz="4" w:space="0"/>
            </w:tcBorders>
            <w:noWrap w:val="0"/>
            <w:vAlign w:val="center"/>
          </w:tcPr>
          <w:p w14:paraId="03A8118F">
            <w:pPr>
              <w:keepLines w:val="0"/>
              <w:widowControl/>
              <w:suppressLineNumbers w:val="0"/>
              <w:snapToGrid/>
              <w:spacing w:before="0" w:beforeAutospacing="0" w:after="0" w:afterAutospacing="0" w:line="240" w:lineRule="auto"/>
              <w:ind w:left="0" w:right="0"/>
              <w:jc w:val="center"/>
              <w:textAlignment w:val="center"/>
              <w:rPr>
                <w:rFonts w:hint="default"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相当于格兰富、艾蒙斯特朗、安德里茨、苏尔寿同档及以上产品。</w:t>
            </w:r>
          </w:p>
        </w:tc>
        <w:tc>
          <w:tcPr>
            <w:tcW w:w="1943" w:type="dxa"/>
            <w:tcBorders>
              <w:top w:val="single" w:color="auto" w:sz="4" w:space="0"/>
              <w:left w:val="nil"/>
              <w:bottom w:val="single" w:color="auto" w:sz="4" w:space="0"/>
              <w:right w:val="single" w:color="auto" w:sz="4" w:space="0"/>
            </w:tcBorders>
            <w:noWrap w:val="0"/>
            <w:vAlign w:val="center"/>
          </w:tcPr>
          <w:p w14:paraId="4F377BFB">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0000FF"/>
                <w:spacing w:val="0"/>
                <w:w w:val="100"/>
                <w:kern w:val="0"/>
                <w:sz w:val="28"/>
                <w:szCs w:val="28"/>
                <w:lang w:val="en-US" w:eastAsia="zh-CN" w:bidi="ar"/>
              </w:rPr>
            </w:pPr>
          </w:p>
        </w:tc>
      </w:tr>
      <w:tr w14:paraId="39CF2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8"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6978FA27">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2</w:t>
            </w:r>
          </w:p>
        </w:tc>
        <w:tc>
          <w:tcPr>
            <w:tcW w:w="2226" w:type="dxa"/>
            <w:tcBorders>
              <w:top w:val="single" w:color="auto" w:sz="4" w:space="0"/>
              <w:left w:val="nil"/>
              <w:bottom w:val="single" w:color="auto" w:sz="4" w:space="0"/>
              <w:right w:val="single" w:color="auto" w:sz="4" w:space="0"/>
            </w:tcBorders>
            <w:noWrap w:val="0"/>
            <w:vAlign w:val="center"/>
          </w:tcPr>
          <w:p w14:paraId="42CC2CED">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换热器</w:t>
            </w:r>
          </w:p>
        </w:tc>
        <w:tc>
          <w:tcPr>
            <w:tcW w:w="4612" w:type="dxa"/>
            <w:tcBorders>
              <w:top w:val="single" w:color="auto" w:sz="4" w:space="0"/>
              <w:left w:val="nil"/>
              <w:bottom w:val="single" w:color="auto" w:sz="4" w:space="0"/>
              <w:right w:val="single" w:color="auto" w:sz="4" w:space="0"/>
            </w:tcBorders>
            <w:noWrap w:val="0"/>
            <w:vAlign w:val="center"/>
          </w:tcPr>
          <w:p w14:paraId="2FEB8F2D">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相当于阿法拉伐、兰石、天巨鑫、安培威、传特同档及以上产品。</w:t>
            </w:r>
            <w:bookmarkStart w:id="0" w:name="_GoBack"/>
            <w:bookmarkEnd w:id="0"/>
          </w:p>
        </w:tc>
        <w:tc>
          <w:tcPr>
            <w:tcW w:w="1943" w:type="dxa"/>
            <w:tcBorders>
              <w:top w:val="single" w:color="auto" w:sz="4" w:space="0"/>
              <w:left w:val="nil"/>
              <w:bottom w:val="single" w:color="auto" w:sz="4" w:space="0"/>
              <w:right w:val="single" w:color="auto" w:sz="4" w:space="0"/>
            </w:tcBorders>
            <w:noWrap w:val="0"/>
            <w:vAlign w:val="center"/>
          </w:tcPr>
          <w:p w14:paraId="026FC6D4">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p>
        </w:tc>
      </w:tr>
    </w:tbl>
    <w:p w14:paraId="6404C720">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b w:val="0"/>
          <w:bCs w:val="0"/>
          <w:i w:val="0"/>
          <w:caps w:val="0"/>
          <w:color w:val="auto"/>
          <w:spacing w:val="0"/>
          <w:w w:val="100"/>
          <w:sz w:val="32"/>
          <w:szCs w:val="32"/>
          <w:lang w:val="en-US" w:eastAsia="zh-CN"/>
        </w:rPr>
      </w:pPr>
    </w:p>
    <w:p w14:paraId="71761751">
      <w:pPr>
        <w:keepLines w:val="0"/>
        <w:widowControl w:val="0"/>
        <w:suppressLineNumbers w:val="0"/>
        <w:snapToGrid/>
        <w:spacing w:before="0" w:beforeAutospacing="0" w:after="0" w:afterAutospacing="0" w:line="273" w:lineRule="auto"/>
        <w:ind w:left="0" w:right="0" w:firstLine="643" w:firstLineChars="200"/>
        <w:jc w:val="both"/>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 xml:space="preserve"> 二、其他说明</w:t>
      </w:r>
    </w:p>
    <w:p w14:paraId="4DE8B924">
      <w:pPr>
        <w:keepLines w:val="0"/>
        <w:widowControl w:val="0"/>
        <w:suppressLineNumbers w:val="0"/>
        <w:snapToGrid/>
        <w:spacing w:before="0" w:beforeAutospacing="0" w:after="0" w:afterAutospacing="0" w:line="273" w:lineRule="auto"/>
        <w:ind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1、本项目设暂列金额及暂估价等其他项目费详见招标工程量清单。</w:t>
      </w:r>
    </w:p>
    <w:p w14:paraId="7671C761">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三、清单说明</w:t>
      </w:r>
    </w:p>
    <w:p w14:paraId="4ED17CC6">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1、投标人必须按招标工程量清单填报价格。项目编码、项目名称、项目特征、计量单位、工程量必须与招标工程量清单一致，如有不一致按否决其投标处理。</w:t>
      </w:r>
    </w:p>
    <w:p w14:paraId="0B2729E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2、规费及税金应按 “规费、税金项目清单与计价表”所列项目并根据国家、省级或行业建设主管部门的有关规定列算和计算，不得作为竞争性费用。</w:t>
      </w:r>
    </w:p>
    <w:p w14:paraId="0E319F2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3、安全文明费应按 “总价措施项目清单与计价表”所列项目并根据国家、省级或行业建设主管部门的有关规定列算和计算，不得作为竞争性费用。</w:t>
      </w:r>
    </w:p>
    <w:p w14:paraId="600A596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4、本说明未尽事项，以“计价规范”、“计价管理办法”、“工程量计算规范”“招标文件”以及有关的法律、法规、建设行政主管部门颁发的文件为准。</w:t>
      </w:r>
      <w:r>
        <w:rPr>
          <w:rFonts w:hint="eastAsia" w:ascii="宋体" w:hAnsi="宋体" w:eastAsia="宋体" w:cs="宋体"/>
          <w:b w:val="0"/>
          <w:bCs/>
          <w:i w:val="0"/>
          <w:caps w:val="0"/>
          <w:spacing w:val="0"/>
          <w:w w:val="100"/>
          <w:kern w:val="0"/>
          <w:sz w:val="32"/>
          <w:szCs w:val="32"/>
          <w:lang w:val="en-US" w:eastAsia="zh-CN" w:bidi="ar-SA"/>
        </w:rPr>
        <w:tab/>
      </w:r>
    </w:p>
    <w:p w14:paraId="75602863">
      <w:pPr>
        <w:snapToGrid/>
        <w:spacing w:before="0" w:beforeAutospacing="0" w:after="0" w:afterAutospacing="0" w:line="360" w:lineRule="auto"/>
        <w:jc w:val="left"/>
        <w:textAlignment w:val="baseline"/>
        <w:rPr>
          <w:rFonts w:hint="eastAsia" w:ascii="宋体" w:hAnsi="宋体" w:eastAsia="宋体" w:cs="宋体"/>
          <w:b/>
          <w:bCs/>
          <w:i w:val="0"/>
          <w:caps w:val="0"/>
          <w:color w:val="000000"/>
          <w:spacing w:val="0"/>
          <w:w w:val="100"/>
          <w:sz w:val="28"/>
          <w:szCs w:val="28"/>
          <w:lang w:val="en-US" w:eastAsia="zh-CN"/>
        </w:rPr>
      </w:pPr>
    </w:p>
    <w:sectPr>
      <w:footerReference r:id="rId3" w:type="default"/>
      <w:pgSz w:w="11906" w:h="16838"/>
      <w:pgMar w:top="1417" w:right="1417" w:bottom="1134"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E535F">
    <w:pPr>
      <w:pStyle w:val="2"/>
      <w:tabs>
        <w:tab w:val="left" w:pos="437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hNGJmZDRkOTcxZGNhMjA3MzVmN2IwYTYxNzBhY2QifQ=="/>
  </w:docVars>
  <w:rsids>
    <w:rsidRoot w:val="00172A27"/>
    <w:rsid w:val="002251AD"/>
    <w:rsid w:val="00323931"/>
    <w:rsid w:val="0041581A"/>
    <w:rsid w:val="00545127"/>
    <w:rsid w:val="0072429F"/>
    <w:rsid w:val="00804F73"/>
    <w:rsid w:val="00CE3FAD"/>
    <w:rsid w:val="00D10AA2"/>
    <w:rsid w:val="013D1647"/>
    <w:rsid w:val="014464DA"/>
    <w:rsid w:val="022049ED"/>
    <w:rsid w:val="027E380D"/>
    <w:rsid w:val="042E1EA4"/>
    <w:rsid w:val="045135B1"/>
    <w:rsid w:val="053A73C8"/>
    <w:rsid w:val="057A7553"/>
    <w:rsid w:val="05AB1ACA"/>
    <w:rsid w:val="06C121B2"/>
    <w:rsid w:val="06D65159"/>
    <w:rsid w:val="087E0618"/>
    <w:rsid w:val="08D94B10"/>
    <w:rsid w:val="096864F1"/>
    <w:rsid w:val="097739DE"/>
    <w:rsid w:val="09B73163"/>
    <w:rsid w:val="09B83739"/>
    <w:rsid w:val="09DC347A"/>
    <w:rsid w:val="0AA8578D"/>
    <w:rsid w:val="0B70484F"/>
    <w:rsid w:val="0BF272FF"/>
    <w:rsid w:val="0C3C4C12"/>
    <w:rsid w:val="0C554F12"/>
    <w:rsid w:val="0C557E7C"/>
    <w:rsid w:val="0D047E4F"/>
    <w:rsid w:val="0D112C29"/>
    <w:rsid w:val="0D1A4512"/>
    <w:rsid w:val="0D690E2A"/>
    <w:rsid w:val="0DA91770"/>
    <w:rsid w:val="0DDF374F"/>
    <w:rsid w:val="0E096268"/>
    <w:rsid w:val="0E134611"/>
    <w:rsid w:val="0E154490"/>
    <w:rsid w:val="0E5B6181"/>
    <w:rsid w:val="0EB05B3F"/>
    <w:rsid w:val="0EF31B17"/>
    <w:rsid w:val="0EF51B51"/>
    <w:rsid w:val="0F8A1B84"/>
    <w:rsid w:val="10045682"/>
    <w:rsid w:val="10111073"/>
    <w:rsid w:val="104B4AA4"/>
    <w:rsid w:val="10B14351"/>
    <w:rsid w:val="1151575F"/>
    <w:rsid w:val="11840C13"/>
    <w:rsid w:val="118E1BFB"/>
    <w:rsid w:val="14577DBD"/>
    <w:rsid w:val="146F27BD"/>
    <w:rsid w:val="147B2874"/>
    <w:rsid w:val="151C4D37"/>
    <w:rsid w:val="152277F6"/>
    <w:rsid w:val="153402FB"/>
    <w:rsid w:val="154907CB"/>
    <w:rsid w:val="1708628E"/>
    <w:rsid w:val="176A0B04"/>
    <w:rsid w:val="17E549D3"/>
    <w:rsid w:val="17EE2964"/>
    <w:rsid w:val="1837112C"/>
    <w:rsid w:val="183D5DB4"/>
    <w:rsid w:val="19454954"/>
    <w:rsid w:val="19C07DB8"/>
    <w:rsid w:val="19EC2FA2"/>
    <w:rsid w:val="1A543308"/>
    <w:rsid w:val="1A5F697C"/>
    <w:rsid w:val="1A806859"/>
    <w:rsid w:val="1AC82B64"/>
    <w:rsid w:val="1B1737C2"/>
    <w:rsid w:val="1B5F7C2E"/>
    <w:rsid w:val="1B7C55A6"/>
    <w:rsid w:val="1B8F3183"/>
    <w:rsid w:val="1C1B3859"/>
    <w:rsid w:val="1CE85FA5"/>
    <w:rsid w:val="1D714E2E"/>
    <w:rsid w:val="1DA37231"/>
    <w:rsid w:val="1E212096"/>
    <w:rsid w:val="1E843F8C"/>
    <w:rsid w:val="1F30420E"/>
    <w:rsid w:val="20667E0B"/>
    <w:rsid w:val="20BC32D1"/>
    <w:rsid w:val="21045435"/>
    <w:rsid w:val="212062B8"/>
    <w:rsid w:val="21E901E5"/>
    <w:rsid w:val="21EC3153"/>
    <w:rsid w:val="22436610"/>
    <w:rsid w:val="224D0650"/>
    <w:rsid w:val="225A2AED"/>
    <w:rsid w:val="235C60DE"/>
    <w:rsid w:val="23722080"/>
    <w:rsid w:val="23901B0B"/>
    <w:rsid w:val="23AD469F"/>
    <w:rsid w:val="241B29BD"/>
    <w:rsid w:val="24537052"/>
    <w:rsid w:val="24580F4B"/>
    <w:rsid w:val="251B1B81"/>
    <w:rsid w:val="25673B4A"/>
    <w:rsid w:val="257D2099"/>
    <w:rsid w:val="26403798"/>
    <w:rsid w:val="26AE7BEF"/>
    <w:rsid w:val="26B60003"/>
    <w:rsid w:val="272B2FF7"/>
    <w:rsid w:val="277565FA"/>
    <w:rsid w:val="28C7684D"/>
    <w:rsid w:val="29327A61"/>
    <w:rsid w:val="2AB93AA6"/>
    <w:rsid w:val="2AEA62BD"/>
    <w:rsid w:val="2B01748F"/>
    <w:rsid w:val="2B027B46"/>
    <w:rsid w:val="2C627A53"/>
    <w:rsid w:val="2C9568A8"/>
    <w:rsid w:val="2CB0162B"/>
    <w:rsid w:val="2CC17764"/>
    <w:rsid w:val="2D0777CD"/>
    <w:rsid w:val="2D0A715E"/>
    <w:rsid w:val="2D3C33F3"/>
    <w:rsid w:val="2DE435CA"/>
    <w:rsid w:val="2F1F413F"/>
    <w:rsid w:val="2FB80344"/>
    <w:rsid w:val="302117A4"/>
    <w:rsid w:val="31523A9B"/>
    <w:rsid w:val="31B76CB2"/>
    <w:rsid w:val="31DC1F77"/>
    <w:rsid w:val="33DB3D3B"/>
    <w:rsid w:val="347541FE"/>
    <w:rsid w:val="34AB3AAA"/>
    <w:rsid w:val="351E3AC2"/>
    <w:rsid w:val="352D02A5"/>
    <w:rsid w:val="35C2373A"/>
    <w:rsid w:val="362A0D21"/>
    <w:rsid w:val="365748C2"/>
    <w:rsid w:val="3677155A"/>
    <w:rsid w:val="370871E4"/>
    <w:rsid w:val="37500316"/>
    <w:rsid w:val="37DC44F4"/>
    <w:rsid w:val="382C05A6"/>
    <w:rsid w:val="384C0164"/>
    <w:rsid w:val="389738F6"/>
    <w:rsid w:val="395B3B02"/>
    <w:rsid w:val="39D02B2E"/>
    <w:rsid w:val="3AE933E0"/>
    <w:rsid w:val="3AEF5051"/>
    <w:rsid w:val="3B3577E9"/>
    <w:rsid w:val="3B484001"/>
    <w:rsid w:val="3B6461E4"/>
    <w:rsid w:val="3C2C7E1B"/>
    <w:rsid w:val="3CA46F0C"/>
    <w:rsid w:val="3CC17141"/>
    <w:rsid w:val="3CF74EBC"/>
    <w:rsid w:val="3D2B75ED"/>
    <w:rsid w:val="3D7B2AA2"/>
    <w:rsid w:val="3E010915"/>
    <w:rsid w:val="3E416A82"/>
    <w:rsid w:val="3E475EE3"/>
    <w:rsid w:val="3E7818F7"/>
    <w:rsid w:val="3EEC270C"/>
    <w:rsid w:val="400C0C7E"/>
    <w:rsid w:val="402325EF"/>
    <w:rsid w:val="4040553C"/>
    <w:rsid w:val="40B849B4"/>
    <w:rsid w:val="41317A35"/>
    <w:rsid w:val="4199444F"/>
    <w:rsid w:val="41A658B3"/>
    <w:rsid w:val="41C07882"/>
    <w:rsid w:val="41F55EC4"/>
    <w:rsid w:val="42DA63F2"/>
    <w:rsid w:val="433B78D4"/>
    <w:rsid w:val="4341771F"/>
    <w:rsid w:val="43BD310C"/>
    <w:rsid w:val="43EA22E8"/>
    <w:rsid w:val="44531C67"/>
    <w:rsid w:val="44B948C2"/>
    <w:rsid w:val="45446BC0"/>
    <w:rsid w:val="45E0582E"/>
    <w:rsid w:val="45FC7C2C"/>
    <w:rsid w:val="46216177"/>
    <w:rsid w:val="467B74E1"/>
    <w:rsid w:val="46AA71D5"/>
    <w:rsid w:val="46AD2473"/>
    <w:rsid w:val="46E650A4"/>
    <w:rsid w:val="47060E86"/>
    <w:rsid w:val="47817C32"/>
    <w:rsid w:val="482221CC"/>
    <w:rsid w:val="487A5606"/>
    <w:rsid w:val="48F366F5"/>
    <w:rsid w:val="491072CC"/>
    <w:rsid w:val="49375FF7"/>
    <w:rsid w:val="49491F05"/>
    <w:rsid w:val="49AA33CE"/>
    <w:rsid w:val="4A413FB3"/>
    <w:rsid w:val="4A434410"/>
    <w:rsid w:val="4A8C102D"/>
    <w:rsid w:val="4A9B7305"/>
    <w:rsid w:val="4ABE02F2"/>
    <w:rsid w:val="4B4E1E78"/>
    <w:rsid w:val="4BAD064B"/>
    <w:rsid w:val="4C2239E1"/>
    <w:rsid w:val="4C2B56A1"/>
    <w:rsid w:val="4C5E233E"/>
    <w:rsid w:val="4C807CB5"/>
    <w:rsid w:val="4D564EAD"/>
    <w:rsid w:val="4D6E6660"/>
    <w:rsid w:val="4E5F216E"/>
    <w:rsid w:val="4EA93B36"/>
    <w:rsid w:val="4F1339B6"/>
    <w:rsid w:val="4F385E57"/>
    <w:rsid w:val="4F3A40D9"/>
    <w:rsid w:val="4F8446B1"/>
    <w:rsid w:val="4FF23DF7"/>
    <w:rsid w:val="501356D4"/>
    <w:rsid w:val="506B0B24"/>
    <w:rsid w:val="50B651E7"/>
    <w:rsid w:val="50EC59C5"/>
    <w:rsid w:val="510A5D9D"/>
    <w:rsid w:val="517E3070"/>
    <w:rsid w:val="51E1540C"/>
    <w:rsid w:val="52742357"/>
    <w:rsid w:val="52B6186F"/>
    <w:rsid w:val="52BB6B4E"/>
    <w:rsid w:val="52EE664E"/>
    <w:rsid w:val="53807968"/>
    <w:rsid w:val="54163485"/>
    <w:rsid w:val="547A16C0"/>
    <w:rsid w:val="54DE5ED6"/>
    <w:rsid w:val="54F86E70"/>
    <w:rsid w:val="551E7693"/>
    <w:rsid w:val="55D47525"/>
    <w:rsid w:val="5616651D"/>
    <w:rsid w:val="561936FA"/>
    <w:rsid w:val="562770A4"/>
    <w:rsid w:val="562B01D7"/>
    <w:rsid w:val="56F15745"/>
    <w:rsid w:val="57B27E8F"/>
    <w:rsid w:val="57B36E5A"/>
    <w:rsid w:val="57D35E6E"/>
    <w:rsid w:val="593559A8"/>
    <w:rsid w:val="5A044C19"/>
    <w:rsid w:val="5A467A01"/>
    <w:rsid w:val="5AF77287"/>
    <w:rsid w:val="5B0B153C"/>
    <w:rsid w:val="5B6111A2"/>
    <w:rsid w:val="5C1A3F40"/>
    <w:rsid w:val="5C661A7D"/>
    <w:rsid w:val="5CEC5DB5"/>
    <w:rsid w:val="5D2F5053"/>
    <w:rsid w:val="5D5E16FE"/>
    <w:rsid w:val="5DEA4DF7"/>
    <w:rsid w:val="5DF64247"/>
    <w:rsid w:val="5F0F2E7A"/>
    <w:rsid w:val="5F303D09"/>
    <w:rsid w:val="5F611D1E"/>
    <w:rsid w:val="60016CCB"/>
    <w:rsid w:val="60756978"/>
    <w:rsid w:val="60831B0B"/>
    <w:rsid w:val="60A642AF"/>
    <w:rsid w:val="60E5102D"/>
    <w:rsid w:val="62234A74"/>
    <w:rsid w:val="62C03E1E"/>
    <w:rsid w:val="62C10E48"/>
    <w:rsid w:val="634469E5"/>
    <w:rsid w:val="63F62145"/>
    <w:rsid w:val="64333750"/>
    <w:rsid w:val="64BE79ED"/>
    <w:rsid w:val="64DE172B"/>
    <w:rsid w:val="65563222"/>
    <w:rsid w:val="655959F7"/>
    <w:rsid w:val="656F43DF"/>
    <w:rsid w:val="658265C7"/>
    <w:rsid w:val="65942822"/>
    <w:rsid w:val="664605ED"/>
    <w:rsid w:val="6683129E"/>
    <w:rsid w:val="66AA207C"/>
    <w:rsid w:val="66C60EAA"/>
    <w:rsid w:val="6752567A"/>
    <w:rsid w:val="67680A37"/>
    <w:rsid w:val="67752AB0"/>
    <w:rsid w:val="67767D66"/>
    <w:rsid w:val="677D276D"/>
    <w:rsid w:val="679E2A06"/>
    <w:rsid w:val="67E40916"/>
    <w:rsid w:val="67F05A7D"/>
    <w:rsid w:val="68F74901"/>
    <w:rsid w:val="69257F89"/>
    <w:rsid w:val="697C5BAE"/>
    <w:rsid w:val="69841C69"/>
    <w:rsid w:val="69E81C5B"/>
    <w:rsid w:val="6AE63945"/>
    <w:rsid w:val="6AED1414"/>
    <w:rsid w:val="6AEE4E99"/>
    <w:rsid w:val="6B2817A6"/>
    <w:rsid w:val="6B786990"/>
    <w:rsid w:val="6BD14A70"/>
    <w:rsid w:val="6D682B98"/>
    <w:rsid w:val="6D692221"/>
    <w:rsid w:val="6E5E0AF2"/>
    <w:rsid w:val="6E752DFD"/>
    <w:rsid w:val="6F2927AF"/>
    <w:rsid w:val="6F330416"/>
    <w:rsid w:val="6F7A6A50"/>
    <w:rsid w:val="6F8C4E8B"/>
    <w:rsid w:val="70451231"/>
    <w:rsid w:val="71414E5C"/>
    <w:rsid w:val="717D7256"/>
    <w:rsid w:val="71A968C7"/>
    <w:rsid w:val="721C363A"/>
    <w:rsid w:val="729F5EEC"/>
    <w:rsid w:val="73397374"/>
    <w:rsid w:val="736E1587"/>
    <w:rsid w:val="73A93582"/>
    <w:rsid w:val="73F969DC"/>
    <w:rsid w:val="745C608E"/>
    <w:rsid w:val="745D6662"/>
    <w:rsid w:val="74772A49"/>
    <w:rsid w:val="7515136E"/>
    <w:rsid w:val="752D1DD1"/>
    <w:rsid w:val="75542B67"/>
    <w:rsid w:val="75E10342"/>
    <w:rsid w:val="76587B85"/>
    <w:rsid w:val="76852A14"/>
    <w:rsid w:val="76901EE2"/>
    <w:rsid w:val="775A0DD2"/>
    <w:rsid w:val="77856FDC"/>
    <w:rsid w:val="77AE681F"/>
    <w:rsid w:val="78825370"/>
    <w:rsid w:val="78C44E4C"/>
    <w:rsid w:val="7934036D"/>
    <w:rsid w:val="79C01177"/>
    <w:rsid w:val="7AA25A60"/>
    <w:rsid w:val="7B5A2305"/>
    <w:rsid w:val="7B5F429A"/>
    <w:rsid w:val="7BC847BD"/>
    <w:rsid w:val="7BDF11A0"/>
    <w:rsid w:val="7C4F5A31"/>
    <w:rsid w:val="7C567D25"/>
    <w:rsid w:val="7CD74497"/>
    <w:rsid w:val="7D2C0F6C"/>
    <w:rsid w:val="7DAD0FC6"/>
    <w:rsid w:val="7DBD2A81"/>
    <w:rsid w:val="7E0C73DF"/>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autoRedefine/>
    <w:qFormat/>
    <w:uiPriority w:val="0"/>
    <w:pPr>
      <w:spacing w:beforeAutospacing="1"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887</Words>
  <Characters>932</Characters>
  <Lines>44</Lines>
  <Paragraphs>12</Paragraphs>
  <TotalTime>4</TotalTime>
  <ScaleCrop>false</ScaleCrop>
  <LinksUpToDate>false</LinksUpToDate>
  <CharactersWithSpaces>936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A888A睿源广告15149458222</cp:lastModifiedBy>
  <cp:lastPrinted>2022-05-23T00:05:00Z</cp:lastPrinted>
  <dcterms:modified xsi:type="dcterms:W3CDTF">2025-04-20T09:58:56Z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0F51CF6194144F668885C4E78B37326A_13</vt:lpwstr>
  </property>
  <property fmtid="{D5CDD505-2E9C-101B-9397-08002B2CF9AE}" pid="4" name="KSOTemplateDocerSaveRecord">
    <vt:lpwstr>eyJoZGlkIjoiYzVjY2I4ZjUyMDNiYzBmZDY4ZmQyMjU0N2E2OGVjMGMiLCJ1c2VySWQiOiI1NjU1OTgyNTgifQ==</vt:lpwstr>
  </property>
</Properties>
</file>