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286F8">
      <w:pPr>
        <w:snapToGrid w:val="0"/>
        <w:spacing w:line="360" w:lineRule="auto"/>
        <w:jc w:val="center"/>
        <w:rPr>
          <w:rFonts w:hint="eastAsia" w:asciiTheme="minorEastAsia" w:hAnsiTheme="minorEastAsia" w:eastAsiaTheme="minorEastAsia" w:cstheme="minorEastAsia"/>
          <w:sz w:val="32"/>
          <w:szCs w:val="32"/>
          <w:u w:val="single"/>
        </w:rPr>
      </w:pPr>
      <w:bookmarkStart w:id="0" w:name="_Toc18799"/>
      <w:bookmarkStart w:id="1" w:name="_Toc409163513"/>
      <w:bookmarkStart w:id="2" w:name="_Toc397355115"/>
      <w:bookmarkStart w:id="3" w:name="_Toc422146646"/>
      <w:bookmarkStart w:id="4" w:name="_Toc389677661"/>
      <w:bookmarkStart w:id="5" w:name="_Toc491023655"/>
      <w:bookmarkStart w:id="6" w:name="_Toc429944704"/>
      <w:bookmarkStart w:id="7" w:name="_Toc508890446"/>
      <w:bookmarkStart w:id="8" w:name="_Toc267251513"/>
      <w:bookmarkStart w:id="9" w:name="_Toc267251510"/>
      <w:bookmarkStart w:id="10" w:name="_Toc267251514"/>
      <w:bookmarkStart w:id="11" w:name="_Toc267251509"/>
      <w:bookmarkStart w:id="12" w:name="_Toc267251511"/>
      <w:bookmarkStart w:id="13" w:name="_Toc267251515"/>
      <w:r>
        <w:rPr>
          <w:rFonts w:hint="eastAsia" w:asciiTheme="minorEastAsia" w:hAnsiTheme="minorEastAsia" w:eastAsiaTheme="minorEastAsia" w:cstheme="minorEastAsia"/>
          <w:sz w:val="32"/>
          <w:szCs w:val="32"/>
        </w:rPr>
        <w:t>合同协议书</w:t>
      </w:r>
    </w:p>
    <w:p w14:paraId="52881FBA">
      <w:pPr>
        <w:snapToGrid w:val="0"/>
        <w:spacing w:line="360" w:lineRule="auto"/>
        <w:ind w:firstLine="1540" w:firstLineChars="7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(发包人名称，以下简称“发包人”)为实施</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(项目名称)，已接受</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(承包人名称，以下简称“承包人”)</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对(项目名称)</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(标段名称)的投标，并确定其为中标人。发包人和承包人共同达成如下协议。</w:t>
      </w:r>
    </w:p>
    <w:p w14:paraId="1784A77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1.本协议书与下列文件一起构成合同文件：</w:t>
      </w:r>
    </w:p>
    <w:p w14:paraId="6B72FE0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(1)中标通知书；</w:t>
      </w:r>
    </w:p>
    <w:p w14:paraId="54926E8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(2)投标函及投标函附录；</w:t>
      </w:r>
    </w:p>
    <w:p w14:paraId="1A5F674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(3)专用合同条款；</w:t>
      </w:r>
    </w:p>
    <w:p w14:paraId="5D498DD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(4)通用合同条款；</w:t>
      </w:r>
    </w:p>
    <w:p w14:paraId="5B3F675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(5)技术标准和要求(合同技术条款)；</w:t>
      </w:r>
    </w:p>
    <w:p w14:paraId="0A52CDF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(6)图纸；</w:t>
      </w:r>
    </w:p>
    <w:p w14:paraId="6DD8648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(7)已标价工程量清单；</w:t>
      </w:r>
    </w:p>
    <w:p w14:paraId="4424517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(8)其它合同文件。</w:t>
      </w:r>
    </w:p>
    <w:p w14:paraId="6591505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2.上述文件互相补充和解释，如有不明确或不一致之处，以合同约定次序在先者为准。</w:t>
      </w:r>
    </w:p>
    <w:p w14:paraId="113850A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3.签约合同价：人民币(大写)</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元(￥</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元)。</w:t>
      </w:r>
    </w:p>
    <w:p w14:paraId="6EFFB4D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4.承包人项目经理：</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w:t>
      </w:r>
    </w:p>
    <w:p w14:paraId="10512C0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5.工程质量</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设计要求的质量标准：</w:t>
      </w:r>
      <w:r>
        <w:rPr>
          <w:rFonts w:hint="eastAsia" w:asciiTheme="minorEastAsia" w:hAnsiTheme="minorEastAsia" w:eastAsiaTheme="minorEastAsia" w:cstheme="minorEastAsia"/>
          <w:sz w:val="22"/>
          <w:szCs w:val="22"/>
          <w:lang w:val="en-US" w:eastAsia="zh-CN"/>
        </w:rPr>
        <w:t>满足国家和行业相关规定和规范要求</w:t>
      </w:r>
      <w:r>
        <w:rPr>
          <w:rFonts w:hint="eastAsia" w:asciiTheme="minorEastAsia" w:hAnsiTheme="minorEastAsia" w:eastAsiaTheme="minorEastAsia" w:cstheme="minorEastAsia"/>
          <w:sz w:val="22"/>
          <w:szCs w:val="22"/>
        </w:rPr>
        <w:t>；</w:t>
      </w:r>
    </w:p>
    <w:p w14:paraId="3D669D55">
      <w:pPr>
        <w:snapToGrid w:val="0"/>
        <w:spacing w:line="360" w:lineRule="auto"/>
        <w:ind w:firstLine="1760" w:firstLineChars="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施工要求的质量标准：</w:t>
      </w:r>
      <w:r>
        <w:rPr>
          <w:rFonts w:hint="eastAsia" w:asciiTheme="minorEastAsia" w:hAnsiTheme="minorEastAsia" w:eastAsiaTheme="minorEastAsia" w:cstheme="minorEastAsia"/>
          <w:sz w:val="22"/>
          <w:szCs w:val="22"/>
          <w:lang w:eastAsia="zh-CN"/>
        </w:rPr>
        <w:t>符合国家质量验收标准的合格工程</w:t>
      </w:r>
      <w:r>
        <w:rPr>
          <w:rFonts w:hint="eastAsia" w:asciiTheme="minorEastAsia" w:hAnsiTheme="minorEastAsia" w:eastAsiaTheme="minorEastAsia" w:cstheme="minorEastAsia"/>
          <w:sz w:val="22"/>
          <w:szCs w:val="22"/>
        </w:rPr>
        <w:t>。</w:t>
      </w:r>
    </w:p>
    <w:p w14:paraId="3E2D847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6.承包人承诺按合同约定承担工程的实施、完成及缺陷修复。</w:t>
      </w:r>
    </w:p>
    <w:p w14:paraId="2585A11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7.发包人承诺按合同约定的条件、时间和方式向承包人支付合同价款。</w:t>
      </w:r>
    </w:p>
    <w:p w14:paraId="61731D8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8.承包人承诺执行监理人开工通知，计划工期为</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none"/>
          <w:lang w:val="en-US" w:eastAsia="zh-CN"/>
        </w:rPr>
        <w:t>日历</w:t>
      </w:r>
      <w:r>
        <w:rPr>
          <w:rFonts w:hint="eastAsia" w:asciiTheme="minorEastAsia" w:hAnsiTheme="minorEastAsia" w:eastAsiaTheme="minorEastAsia" w:cstheme="minorEastAsia"/>
          <w:sz w:val="22"/>
          <w:szCs w:val="22"/>
        </w:rPr>
        <w:t>天。</w:t>
      </w:r>
    </w:p>
    <w:p w14:paraId="446E0A5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9.本协议书一式 </w:t>
      </w:r>
      <w:r>
        <w:rPr>
          <w:rFonts w:hint="eastAsia" w:asciiTheme="minorEastAsia" w:hAnsiTheme="minorEastAsia" w:eastAsiaTheme="minorEastAsia" w:cstheme="minorEastAsia"/>
          <w:sz w:val="24"/>
          <w:szCs w:val="22"/>
          <w:u w:val="single"/>
          <w:lang w:val="en-US" w:eastAsia="zh-CN"/>
        </w:rPr>
        <w:t>陆</w:t>
      </w:r>
      <w:r>
        <w:rPr>
          <w:rFonts w:hint="eastAsia" w:asciiTheme="minorEastAsia" w:hAnsiTheme="minorEastAsia" w:eastAsiaTheme="minorEastAsia" w:cstheme="minorEastAsia"/>
          <w:sz w:val="22"/>
          <w:szCs w:val="22"/>
        </w:rPr>
        <w:t>份，合同双方各执</w:t>
      </w:r>
      <w:r>
        <w:rPr>
          <w:rFonts w:hint="eastAsia" w:asciiTheme="minorEastAsia" w:hAnsiTheme="minorEastAsia" w:eastAsiaTheme="minorEastAsia" w:cstheme="minorEastAsia"/>
          <w:sz w:val="22"/>
          <w:szCs w:val="22"/>
          <w:u w:val="single"/>
          <w:lang w:val="en-US" w:eastAsia="zh-CN"/>
        </w:rPr>
        <w:t>叁</w:t>
      </w:r>
      <w:r>
        <w:rPr>
          <w:rFonts w:hint="eastAsia" w:asciiTheme="minorEastAsia" w:hAnsiTheme="minorEastAsia" w:eastAsiaTheme="minorEastAsia" w:cstheme="minorEastAsia"/>
          <w:sz w:val="22"/>
          <w:szCs w:val="22"/>
        </w:rPr>
        <w:t>份。</w:t>
      </w:r>
    </w:p>
    <w:p w14:paraId="36B01A0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10.合同未尽事宜，双方另行签订补充协议。补充协议是合同的组成部分。</w:t>
      </w:r>
    </w:p>
    <w:p w14:paraId="66F9A582">
      <w:pPr>
        <w:snapToGrid w:val="0"/>
        <w:spacing w:before="240" w:beforeLines="100" w:line="48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发包人：(盖单位章)　　　                      承包人：(盖单位章)</w:t>
      </w:r>
    </w:p>
    <w:p w14:paraId="325EAADD">
      <w:pPr>
        <w:snapToGrid w:val="0"/>
        <w:spacing w:line="48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法定代表人或其委托代理人：(签字)　         法定代表人或其委托代理人：(签字)</w:t>
      </w:r>
    </w:p>
    <w:p w14:paraId="5F25C979">
      <w:pPr>
        <w:snapToGrid w:val="0"/>
        <w:spacing w:line="48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年　　 月　 　日　　　　　　　　　       年　  　月　 　日</w:t>
      </w:r>
      <w:r>
        <w:rPr>
          <w:rFonts w:hint="eastAsia" w:asciiTheme="minorEastAsia" w:hAnsiTheme="minorEastAsia" w:eastAsiaTheme="minorEastAsia" w:cstheme="minorEastAsia"/>
          <w:sz w:val="22"/>
          <w:szCs w:val="22"/>
        </w:rPr>
        <w:br w:type="page"/>
      </w:r>
    </w:p>
    <w:p w14:paraId="27DDAC54">
      <w:pPr>
        <w:pStyle w:val="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第1节　通用合同条款</w:t>
      </w:r>
      <w:bookmarkEnd w:id="0"/>
      <w:bookmarkEnd w:id="1"/>
    </w:p>
    <w:p w14:paraId="2CCE0BC5">
      <w:pPr>
        <w:snapToGrid w:val="0"/>
        <w:spacing w:line="360" w:lineRule="auto"/>
        <w:rPr>
          <w:rFonts w:hint="eastAsia" w:asciiTheme="minorEastAsia" w:hAnsiTheme="minorEastAsia" w:eastAsiaTheme="minorEastAsia" w:cstheme="minorEastAsia"/>
          <w:b/>
          <w:sz w:val="22"/>
          <w:szCs w:val="22"/>
        </w:rPr>
      </w:pPr>
      <w:bookmarkStart w:id="14" w:name="第04章合同条款及格式0101"/>
      <w:bookmarkEnd w:id="14"/>
      <w:r>
        <w:rPr>
          <w:rFonts w:hint="eastAsia" w:asciiTheme="minorEastAsia" w:hAnsiTheme="minorEastAsia" w:eastAsiaTheme="minorEastAsia" w:cstheme="minorEastAsia"/>
          <w:b/>
          <w:sz w:val="22"/>
          <w:szCs w:val="22"/>
        </w:rPr>
        <w:t>1　一般约定</w:t>
      </w:r>
    </w:p>
    <w:p w14:paraId="3B2DE10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2A737D23">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5" w:name="_Toc409163514"/>
      <w:bookmarkStart w:id="16" w:name="_Toc7475"/>
      <w:r>
        <w:rPr>
          <w:rFonts w:hint="eastAsia" w:asciiTheme="minorEastAsia" w:hAnsiTheme="minorEastAsia" w:eastAsiaTheme="minorEastAsia" w:cstheme="minorEastAsia"/>
          <w:sz w:val="22"/>
          <w:szCs w:val="22"/>
        </w:rPr>
        <w:t>1.1　词语定义</w:t>
      </w:r>
      <w:bookmarkEnd w:id="15"/>
      <w:bookmarkEnd w:id="16"/>
    </w:p>
    <w:p w14:paraId="495DBAD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　合同</w:t>
      </w:r>
    </w:p>
    <w:p w14:paraId="249D5FC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1.1.1.6　技术标准和要求：指构成合同文件组成部分的名为技术标准和要求(合同技术条款)的文件，包括合同双方当事人约定对其所作的修改或补充。</w:t>
      </w:r>
    </w:p>
    <w:p w14:paraId="31A1E77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0351920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1.1.2　合同当事人和人员</w:t>
      </w:r>
    </w:p>
    <w:p w14:paraId="3622B58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1.1.2.3　承包人：指专用合同条款中指明并与发包人在合同协议书中签字的当事人。</w:t>
      </w:r>
    </w:p>
    <w:p w14:paraId="45464BC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1.1.2.5　分包人：指专用合同条款中指明的，从承包人处分包合同中某一部分工程，并与其签订分包合同的分包人。</w:t>
      </w:r>
    </w:p>
    <w:p w14:paraId="7AF83E6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1.1.3　工程和设备</w:t>
      </w:r>
    </w:p>
    <w:p w14:paraId="36690A7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1.1.3.10　永久占地：指发包人为建设本合同工程永久征用的场地。</w:t>
      </w:r>
    </w:p>
    <w:p w14:paraId="30EFC5B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1.1.3.11　临时占地：指发包人为建设本合同工程临时征用，承包人在完工后须按合同要求退还的场地。</w:t>
      </w:r>
    </w:p>
    <w:p w14:paraId="4BFFFC1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　日期</w:t>
      </w:r>
    </w:p>
    <w:p w14:paraId="30FA1F9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1.1.4.4　竣工日期：即合同工程完工日期，指第1.1.4.3目约定工期届满时的日期。实际完工日期以合同工程完工证书中写明的日期为准。</w:t>
      </w:r>
    </w:p>
    <w:p w14:paraId="42ABA01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1.1.4.5　缺陷责任期：即工程质量保修期，指履行第19.2款约定的缺陷责任的期限，包括根据第19.3款约定所作的延长，具体期限由专用合同条款约定。</w:t>
      </w:r>
    </w:p>
    <w:p w14:paraId="7172A49B">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7" w:name="_Toc409163515"/>
      <w:bookmarkStart w:id="18" w:name="_Toc17839"/>
      <w:r>
        <w:rPr>
          <w:rFonts w:hint="eastAsia" w:asciiTheme="minorEastAsia" w:hAnsiTheme="minorEastAsia" w:eastAsiaTheme="minorEastAsia" w:cstheme="minorEastAsia"/>
          <w:sz w:val="22"/>
          <w:szCs w:val="22"/>
        </w:rPr>
        <w:t>1.6　图纸和承包人文件</w:t>
      </w:r>
      <w:bookmarkEnd w:id="17"/>
      <w:bookmarkEnd w:id="18"/>
    </w:p>
    <w:p w14:paraId="325AFA5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1.6.1　图纸的提供</w:t>
      </w:r>
    </w:p>
    <w:p w14:paraId="424E16A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发包人应按技术标准和要求(合同技术条款)约定的期限和数量将施工图纸以及其它图纸(包括配套说明和有关资料)提供给承包人。由于发包人未按时提供图纸造成工期延误的，按第11.3款的约定办理。</w:t>
      </w:r>
    </w:p>
    <w:p w14:paraId="7B771ED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1.6.2　承包人提供的文件</w:t>
      </w:r>
    </w:p>
    <w:p w14:paraId="07D1311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承包人提供的文件应按技术标准和要求(合同技术条款)约定的期限和数量提供给监理人。监理人应按技术标准和要求(合同技术条款)约定的期限批复承包人。</w:t>
      </w:r>
    </w:p>
    <w:p w14:paraId="503487C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1.6.3　图纸的修改</w:t>
      </w:r>
    </w:p>
    <w:p w14:paraId="3E7B243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046DD73F">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9" w:name="_Toc409163516"/>
      <w:bookmarkStart w:id="20" w:name="_Toc8216"/>
      <w:r>
        <w:rPr>
          <w:rFonts w:hint="eastAsia" w:asciiTheme="minorEastAsia" w:hAnsiTheme="minorEastAsia" w:eastAsiaTheme="minorEastAsia" w:cstheme="minorEastAsia"/>
          <w:sz w:val="22"/>
          <w:szCs w:val="22"/>
        </w:rPr>
        <w:t>1.7　联络</w:t>
      </w:r>
      <w:bookmarkEnd w:id="19"/>
      <w:bookmarkEnd w:id="20"/>
    </w:p>
    <w:p w14:paraId="059B009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1.7.2　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4F8C65B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1.7.3　来往函件均应按合同约定的期限及时发出和答复，不得无故扣压和拖延，亦不得拒收。否则，由此造成的后果由责任方负责。</w:t>
      </w:r>
    </w:p>
    <w:p w14:paraId="77110CC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　专利技术</w:t>
      </w:r>
    </w:p>
    <w:p w14:paraId="42A99B5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1.11.4　合同实施过程中，发包人要求承包人采用专利技术的，发包人应办理相应的使用手续，承包人应按发包人约定的条件使用，并承担使用专利技术的相关试验工作，所需费用由发包人承担。</w:t>
      </w:r>
    </w:p>
    <w:p w14:paraId="1CC256E6">
      <w:pPr>
        <w:snapToGrid w:val="0"/>
        <w:spacing w:line="360" w:lineRule="auto"/>
        <w:rPr>
          <w:rFonts w:hint="eastAsia" w:asciiTheme="minorEastAsia" w:hAnsiTheme="minorEastAsia" w:eastAsiaTheme="minorEastAsia" w:cstheme="minorEastAsia"/>
          <w:b/>
          <w:sz w:val="22"/>
          <w:szCs w:val="22"/>
        </w:rPr>
      </w:pPr>
      <w:bookmarkStart w:id="21" w:name="第04章合同条款及格式0102"/>
      <w:bookmarkEnd w:id="21"/>
      <w:r>
        <w:rPr>
          <w:rFonts w:hint="eastAsia" w:asciiTheme="minorEastAsia" w:hAnsiTheme="minorEastAsia" w:eastAsiaTheme="minorEastAsia" w:cstheme="minorEastAsia"/>
          <w:b/>
          <w:sz w:val="22"/>
          <w:szCs w:val="22"/>
        </w:rPr>
        <w:t>2　发包人义务</w:t>
      </w:r>
    </w:p>
    <w:p w14:paraId="6FAC080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54CBFA62">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22" w:name="_Toc409163517"/>
      <w:bookmarkStart w:id="23" w:name="_Toc6067"/>
      <w:r>
        <w:rPr>
          <w:rFonts w:hint="eastAsia" w:asciiTheme="minorEastAsia" w:hAnsiTheme="minorEastAsia" w:eastAsiaTheme="minorEastAsia" w:cstheme="minorEastAsia"/>
          <w:sz w:val="22"/>
          <w:szCs w:val="22"/>
        </w:rPr>
        <w:t>2.3　提供施工场地</w:t>
      </w:r>
      <w:bookmarkEnd w:id="22"/>
      <w:bookmarkEnd w:id="23"/>
    </w:p>
    <w:p w14:paraId="12BF255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80AE38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2.3.2　发包人提供的施工用地范围在专用合同条款中约定。</w:t>
      </w:r>
    </w:p>
    <w:p w14:paraId="2559D05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2.3.3　除专用合同条款另有约定外，发包人应按技术标准和要求(合同技术条款)的约定，向承包人提供施工场地内的工程地质图纸和报告，以及地下障碍物图纸等施工场地有关资料，并保证资料的真实、准确、完整。</w:t>
      </w:r>
    </w:p>
    <w:p w14:paraId="428FE18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2.7　组织竣工验收(组织法人验收)</w:t>
      </w:r>
    </w:p>
    <w:p w14:paraId="0F65D4C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发包人应按合同约定及时组织法人验收。</w:t>
      </w:r>
    </w:p>
    <w:p w14:paraId="1E2F3BF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24" w:name="_Toc409163518"/>
      <w:bookmarkStart w:id="25" w:name="_Toc21774"/>
      <w:r>
        <w:rPr>
          <w:rFonts w:hint="eastAsia" w:asciiTheme="minorEastAsia" w:hAnsiTheme="minorEastAsia" w:eastAsiaTheme="minorEastAsia" w:cstheme="minorEastAsia"/>
          <w:sz w:val="22"/>
          <w:szCs w:val="22"/>
        </w:rPr>
        <w:t>2.8　其它义务</w:t>
      </w:r>
      <w:bookmarkEnd w:id="24"/>
      <w:bookmarkEnd w:id="25"/>
    </w:p>
    <w:p w14:paraId="021D300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其它义务在专用合同条款中补充约定。</w:t>
      </w:r>
    </w:p>
    <w:p w14:paraId="5535D005">
      <w:pPr>
        <w:snapToGrid w:val="0"/>
        <w:spacing w:line="360" w:lineRule="auto"/>
        <w:outlineLvl w:val="0"/>
        <w:rPr>
          <w:rFonts w:hint="eastAsia" w:asciiTheme="minorEastAsia" w:hAnsiTheme="minorEastAsia" w:eastAsiaTheme="minorEastAsia" w:cstheme="minorEastAsia"/>
          <w:b/>
          <w:sz w:val="22"/>
          <w:szCs w:val="22"/>
        </w:rPr>
      </w:pPr>
      <w:bookmarkStart w:id="26" w:name="第04章合同条款及格式0103"/>
      <w:bookmarkEnd w:id="26"/>
      <w:bookmarkStart w:id="27" w:name="_Toc18023"/>
      <w:bookmarkStart w:id="28" w:name="_Toc409163519"/>
      <w:r>
        <w:rPr>
          <w:rFonts w:hint="eastAsia" w:asciiTheme="minorEastAsia" w:hAnsiTheme="minorEastAsia" w:eastAsiaTheme="minorEastAsia" w:cstheme="minorEastAsia"/>
          <w:b/>
          <w:sz w:val="22"/>
          <w:szCs w:val="22"/>
        </w:rPr>
        <w:t>3　监理人</w:t>
      </w:r>
      <w:bookmarkEnd w:id="27"/>
      <w:bookmarkEnd w:id="28"/>
    </w:p>
    <w:p w14:paraId="01BDF22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4CAAE0C5">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29" w:name="_Toc409163520"/>
      <w:bookmarkStart w:id="30" w:name="_Toc29774"/>
      <w:r>
        <w:rPr>
          <w:rFonts w:hint="eastAsia" w:asciiTheme="minorEastAsia" w:hAnsiTheme="minorEastAsia" w:eastAsiaTheme="minorEastAsia" w:cstheme="minorEastAsia"/>
          <w:sz w:val="22"/>
          <w:szCs w:val="22"/>
        </w:rPr>
        <w:t>3.1　监理人的职责和权力</w:t>
      </w:r>
      <w:bookmarkEnd w:id="29"/>
      <w:bookmarkEnd w:id="30"/>
    </w:p>
    <w:p w14:paraId="28F8414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259B431E">
      <w:pPr>
        <w:snapToGrid w:val="0"/>
        <w:spacing w:line="360" w:lineRule="auto"/>
        <w:rPr>
          <w:rFonts w:hint="eastAsia" w:asciiTheme="minorEastAsia" w:hAnsiTheme="minorEastAsia" w:eastAsiaTheme="minorEastAsia" w:cstheme="minorEastAsia"/>
          <w:b/>
          <w:sz w:val="22"/>
          <w:szCs w:val="22"/>
        </w:rPr>
      </w:pPr>
      <w:bookmarkStart w:id="31" w:name="第04章合同条款及格式0104"/>
      <w:bookmarkEnd w:id="31"/>
      <w:r>
        <w:rPr>
          <w:rFonts w:hint="eastAsia" w:asciiTheme="minorEastAsia" w:hAnsiTheme="minorEastAsia" w:eastAsiaTheme="minorEastAsia" w:cstheme="minorEastAsia"/>
          <w:b/>
          <w:sz w:val="22"/>
          <w:szCs w:val="22"/>
        </w:rPr>
        <w:t>4　承包人</w:t>
      </w:r>
    </w:p>
    <w:p w14:paraId="3C1C309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276E156D">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32" w:name="_Toc10802"/>
      <w:bookmarkStart w:id="33" w:name="_Toc409163521"/>
      <w:r>
        <w:rPr>
          <w:rFonts w:hint="eastAsia" w:asciiTheme="minorEastAsia" w:hAnsiTheme="minorEastAsia" w:eastAsiaTheme="minorEastAsia" w:cstheme="minorEastAsia"/>
          <w:sz w:val="22"/>
          <w:szCs w:val="22"/>
        </w:rPr>
        <w:t>4.1　承包人的一般义务</w:t>
      </w:r>
      <w:bookmarkEnd w:id="32"/>
      <w:bookmarkEnd w:id="33"/>
    </w:p>
    <w:p w14:paraId="66A9FD4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4.1.3　完成各项承包工作</w:t>
      </w:r>
    </w:p>
    <w:p w14:paraId="79E47C3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519566E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4.1.9　工程的维护和照管</w:t>
      </w:r>
    </w:p>
    <w:p w14:paraId="771261E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除合同另有约定外，合同工程完工证书颁发前，承包人应负责照管和维护工程。合同工程完工证书颁发时尚有部分未完工程的，承包人还应负责该未完工程的照管和维护工作，直至完工后移交给发包人为止。</w:t>
      </w:r>
    </w:p>
    <w:p w14:paraId="0B56A0F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4.1.10　其它义务</w:t>
      </w:r>
    </w:p>
    <w:p w14:paraId="2601BB7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其它义务在专用合同条款中补充约定。</w:t>
      </w:r>
    </w:p>
    <w:p w14:paraId="031ED2AC">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34" w:name="_Toc14702"/>
      <w:bookmarkStart w:id="35" w:name="_Toc409163522"/>
      <w:r>
        <w:rPr>
          <w:rFonts w:hint="eastAsia" w:asciiTheme="minorEastAsia" w:hAnsiTheme="minorEastAsia" w:eastAsiaTheme="minorEastAsia" w:cstheme="minorEastAsia"/>
          <w:sz w:val="22"/>
          <w:szCs w:val="22"/>
        </w:rPr>
        <w:t>4.2　履约担保</w:t>
      </w:r>
      <w:bookmarkEnd w:id="34"/>
      <w:bookmarkEnd w:id="35"/>
    </w:p>
    <w:p w14:paraId="60A5004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承包人应保证其履约担保在发包人颁发合同工程完工证书前一直有效。发包人应在合同工程完工证书颁发后28天内将履约担保退还给承包人。</w:t>
      </w:r>
    </w:p>
    <w:p w14:paraId="56C93D0A">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36" w:name="_Toc409163523"/>
      <w:bookmarkStart w:id="37" w:name="_Toc27123"/>
      <w:r>
        <w:rPr>
          <w:rFonts w:hint="eastAsia" w:asciiTheme="minorEastAsia" w:hAnsiTheme="minorEastAsia" w:eastAsiaTheme="minorEastAsia" w:cstheme="minorEastAsia"/>
          <w:sz w:val="22"/>
          <w:szCs w:val="22"/>
        </w:rPr>
        <w:t>4.3　分包</w:t>
      </w:r>
      <w:bookmarkEnd w:id="36"/>
      <w:bookmarkEnd w:id="37"/>
    </w:p>
    <w:p w14:paraId="5F1426C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4.3.6　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7B710E8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4065C8B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由指定分包人造成的与其分包工作有关的一切索赔、诉讼和损失赔偿由指定分包人直接对发包人负责，承包人不对此承担责任。</w:t>
      </w:r>
    </w:p>
    <w:p w14:paraId="3CC3B38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4.3.8　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3C1B670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4.3.9　除第4.3.7项规定的指定分包外，承包人对其分包项目的实施以及分包人的行为向发包人负全部责任。承包人应对分包项目的工程进度、质量、安全、计量和验收等实施监督和管理。</w:t>
      </w:r>
    </w:p>
    <w:p w14:paraId="62F531E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4.3.10　分包人应按专用合同条款的约定设立项目管理机构组织管理分包工程的施工活动。</w:t>
      </w:r>
    </w:p>
    <w:p w14:paraId="2E70C60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4.11　不利物质条件</w:t>
      </w:r>
    </w:p>
    <w:p w14:paraId="4A429B3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4.11.1　除专用合同条款另有约定外，不利物质条件是指在施工中遭遇不可预见的外界障碍或自然条件造成施工受阻。</w:t>
      </w:r>
    </w:p>
    <w:p w14:paraId="726FF98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1E286852">
      <w:pPr>
        <w:snapToGrid w:val="0"/>
        <w:spacing w:line="360" w:lineRule="auto"/>
        <w:rPr>
          <w:rFonts w:hint="eastAsia" w:asciiTheme="minorEastAsia" w:hAnsiTheme="minorEastAsia" w:eastAsiaTheme="minorEastAsia" w:cstheme="minorEastAsia"/>
          <w:b/>
          <w:sz w:val="22"/>
          <w:szCs w:val="22"/>
        </w:rPr>
      </w:pPr>
      <w:bookmarkStart w:id="38" w:name="第04章合同条款及格式0105"/>
      <w:bookmarkEnd w:id="38"/>
      <w:r>
        <w:rPr>
          <w:rFonts w:hint="eastAsia" w:asciiTheme="minorEastAsia" w:hAnsiTheme="minorEastAsia" w:eastAsiaTheme="minorEastAsia" w:cstheme="minorEastAsia"/>
          <w:b/>
          <w:sz w:val="22"/>
          <w:szCs w:val="22"/>
        </w:rPr>
        <w:t>5　材料和工程设备</w:t>
      </w:r>
    </w:p>
    <w:p w14:paraId="6BE07C4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3B6FECC6">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39" w:name="_Toc409163524"/>
      <w:bookmarkStart w:id="40" w:name="_Toc10984"/>
      <w:r>
        <w:rPr>
          <w:rFonts w:hint="eastAsia" w:asciiTheme="minorEastAsia" w:hAnsiTheme="minorEastAsia" w:eastAsiaTheme="minorEastAsia" w:cstheme="minorEastAsia"/>
          <w:sz w:val="22"/>
          <w:szCs w:val="22"/>
        </w:rPr>
        <w:t>5.1　承包人提供的材料和工程设备</w:t>
      </w:r>
      <w:bookmarkEnd w:id="39"/>
      <w:bookmarkEnd w:id="40"/>
    </w:p>
    <w:p w14:paraId="2FB7321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5.1.1　除第5.2款约定由发包人提供的材料和工程设备外，承包人负责采购、运输和保管完成本合同工作所需的材料和工程设备。承包人应对其采购的材料和工程设备负责。</w:t>
      </w:r>
    </w:p>
    <w:p w14:paraId="6DDED164">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41" w:name="_Toc26862"/>
      <w:bookmarkStart w:id="42" w:name="_Toc409163525"/>
      <w:r>
        <w:rPr>
          <w:rFonts w:hint="eastAsia" w:asciiTheme="minorEastAsia" w:hAnsiTheme="minorEastAsia" w:eastAsiaTheme="minorEastAsia" w:cstheme="minorEastAsia"/>
          <w:sz w:val="22"/>
          <w:szCs w:val="22"/>
        </w:rPr>
        <w:t>5.2　发包人提供的材料和工程设备</w:t>
      </w:r>
      <w:bookmarkEnd w:id="41"/>
      <w:bookmarkEnd w:id="42"/>
    </w:p>
    <w:p w14:paraId="1563618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5.2.3　发包人应在材料和工程设备到货7天前通知承包人，承包人应会同监理人在约定的时间内，赴交货地点共同进行验收。发包人提供的材料和工程设备运至交货地点验收后，由承包人负责接收、卸货、运输和保管。</w:t>
      </w:r>
    </w:p>
    <w:p w14:paraId="77799802">
      <w:pPr>
        <w:snapToGrid w:val="0"/>
        <w:spacing w:line="360" w:lineRule="auto"/>
        <w:rPr>
          <w:rFonts w:hint="eastAsia" w:asciiTheme="minorEastAsia" w:hAnsiTheme="minorEastAsia" w:eastAsiaTheme="minorEastAsia" w:cstheme="minorEastAsia"/>
          <w:b/>
          <w:sz w:val="22"/>
          <w:szCs w:val="22"/>
        </w:rPr>
      </w:pPr>
      <w:bookmarkStart w:id="43" w:name="第04章合同条款及格式0106"/>
      <w:bookmarkEnd w:id="43"/>
      <w:r>
        <w:rPr>
          <w:rFonts w:hint="eastAsia" w:asciiTheme="minorEastAsia" w:hAnsiTheme="minorEastAsia" w:eastAsiaTheme="minorEastAsia" w:cstheme="minorEastAsia"/>
          <w:b/>
          <w:sz w:val="22"/>
          <w:szCs w:val="22"/>
        </w:rPr>
        <w:t>6　施工设备和临时设施</w:t>
      </w:r>
    </w:p>
    <w:p w14:paraId="2E50947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w:t>
      </w:r>
    </w:p>
    <w:p w14:paraId="739B6086">
      <w:pPr>
        <w:snapToGrid w:val="0"/>
        <w:spacing w:line="360" w:lineRule="auto"/>
        <w:outlineLvl w:val="0"/>
        <w:rPr>
          <w:rFonts w:hint="eastAsia" w:asciiTheme="minorEastAsia" w:hAnsiTheme="minorEastAsia" w:eastAsiaTheme="minorEastAsia" w:cstheme="minorEastAsia"/>
          <w:b/>
          <w:sz w:val="22"/>
          <w:szCs w:val="22"/>
        </w:rPr>
      </w:pPr>
      <w:bookmarkStart w:id="44" w:name="第04章合同条款及格式0107"/>
      <w:bookmarkEnd w:id="44"/>
      <w:bookmarkStart w:id="45" w:name="_Toc730"/>
      <w:bookmarkStart w:id="46" w:name="_Toc409163526"/>
      <w:r>
        <w:rPr>
          <w:rFonts w:hint="eastAsia" w:asciiTheme="minorEastAsia" w:hAnsiTheme="minorEastAsia" w:eastAsiaTheme="minorEastAsia" w:cstheme="minorEastAsia"/>
          <w:b/>
          <w:sz w:val="22"/>
          <w:szCs w:val="22"/>
        </w:rPr>
        <w:t>7　交通运输</w:t>
      </w:r>
      <w:bookmarkEnd w:id="45"/>
      <w:bookmarkEnd w:id="46"/>
    </w:p>
    <w:p w14:paraId="43333FD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2744EFE2">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47" w:name="_Toc409163527"/>
      <w:bookmarkStart w:id="48" w:name="_Toc29963"/>
      <w:r>
        <w:rPr>
          <w:rFonts w:hint="eastAsia" w:asciiTheme="minorEastAsia" w:hAnsiTheme="minorEastAsia" w:eastAsiaTheme="minorEastAsia" w:cstheme="minorEastAsia"/>
          <w:sz w:val="22"/>
          <w:szCs w:val="22"/>
        </w:rPr>
        <w:t>7.1　道路通行权和场外设施</w:t>
      </w:r>
      <w:bookmarkEnd w:id="47"/>
      <w:bookmarkEnd w:id="48"/>
    </w:p>
    <w:p w14:paraId="3FD2F33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5BC683C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49" w:name="_Toc409163528"/>
      <w:bookmarkStart w:id="50" w:name="_Toc27336"/>
      <w:r>
        <w:rPr>
          <w:rFonts w:hint="eastAsia" w:asciiTheme="minorEastAsia" w:hAnsiTheme="minorEastAsia" w:eastAsiaTheme="minorEastAsia" w:cstheme="minorEastAsia"/>
          <w:sz w:val="22"/>
          <w:szCs w:val="22"/>
        </w:rPr>
        <w:t>7.2　场内施工道路</w:t>
      </w:r>
      <w:bookmarkEnd w:id="49"/>
      <w:bookmarkEnd w:id="50"/>
    </w:p>
    <w:p w14:paraId="5C8A7BD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D2E3FE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7.2.2　承包人修建的临时道路和交通设施，应免费提供发包人、监理人以及与本合同有关的其他承包人使用。</w:t>
      </w:r>
    </w:p>
    <w:p w14:paraId="4602F07E">
      <w:pPr>
        <w:snapToGrid w:val="0"/>
        <w:spacing w:line="360" w:lineRule="auto"/>
        <w:rPr>
          <w:rFonts w:hint="eastAsia" w:asciiTheme="minorEastAsia" w:hAnsiTheme="minorEastAsia" w:eastAsiaTheme="minorEastAsia" w:cstheme="minorEastAsia"/>
          <w:b/>
          <w:sz w:val="22"/>
          <w:szCs w:val="22"/>
        </w:rPr>
      </w:pPr>
      <w:bookmarkStart w:id="51" w:name="第04章合同条款及格式0108"/>
      <w:bookmarkEnd w:id="51"/>
      <w:r>
        <w:rPr>
          <w:rFonts w:hint="eastAsia" w:asciiTheme="minorEastAsia" w:hAnsiTheme="minorEastAsia" w:eastAsiaTheme="minorEastAsia" w:cstheme="minorEastAsia"/>
          <w:b/>
          <w:sz w:val="22"/>
          <w:szCs w:val="22"/>
        </w:rPr>
        <w:t>8　测量放线</w:t>
      </w:r>
    </w:p>
    <w:p w14:paraId="724616A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3E677C91">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52" w:name="_Toc409163529"/>
      <w:bookmarkStart w:id="53" w:name="_Toc16402"/>
      <w:r>
        <w:rPr>
          <w:rFonts w:hint="eastAsia" w:asciiTheme="minorEastAsia" w:hAnsiTheme="minorEastAsia" w:eastAsiaTheme="minorEastAsia" w:cstheme="minorEastAsia"/>
          <w:sz w:val="22"/>
          <w:szCs w:val="22"/>
        </w:rPr>
        <w:t>8.1　施工控制网</w:t>
      </w:r>
      <w:bookmarkEnd w:id="52"/>
      <w:bookmarkEnd w:id="53"/>
    </w:p>
    <w:p w14:paraId="78ABCF1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05193BF7">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54" w:name="_Toc2660"/>
      <w:bookmarkStart w:id="55" w:name="_Toc409163530"/>
      <w:r>
        <w:rPr>
          <w:rFonts w:hint="eastAsia" w:asciiTheme="minorEastAsia" w:hAnsiTheme="minorEastAsia" w:eastAsiaTheme="minorEastAsia" w:cstheme="minorEastAsia"/>
          <w:sz w:val="22"/>
          <w:szCs w:val="22"/>
        </w:rPr>
        <w:t>8.5　补充地质勘探</w:t>
      </w:r>
      <w:bookmarkEnd w:id="54"/>
      <w:bookmarkEnd w:id="55"/>
    </w:p>
    <w:p w14:paraId="432100B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64396F82">
      <w:pPr>
        <w:snapToGrid w:val="0"/>
        <w:spacing w:line="360" w:lineRule="auto"/>
        <w:outlineLvl w:val="0"/>
        <w:rPr>
          <w:rFonts w:hint="eastAsia" w:asciiTheme="minorEastAsia" w:hAnsiTheme="minorEastAsia" w:eastAsiaTheme="minorEastAsia" w:cstheme="minorEastAsia"/>
          <w:b/>
          <w:sz w:val="22"/>
          <w:szCs w:val="22"/>
        </w:rPr>
      </w:pPr>
      <w:bookmarkStart w:id="56" w:name="第04章合同条款及格式0109"/>
      <w:bookmarkEnd w:id="56"/>
      <w:bookmarkStart w:id="57" w:name="_Toc17356"/>
      <w:bookmarkStart w:id="58" w:name="_Toc409163531"/>
      <w:r>
        <w:rPr>
          <w:rFonts w:hint="eastAsia" w:asciiTheme="minorEastAsia" w:hAnsiTheme="minorEastAsia" w:eastAsiaTheme="minorEastAsia" w:cstheme="minorEastAsia"/>
          <w:b/>
          <w:sz w:val="22"/>
          <w:szCs w:val="22"/>
        </w:rPr>
        <w:t>9　施工安全、治安保卫和环境保护</w:t>
      </w:r>
      <w:bookmarkEnd w:id="57"/>
      <w:bookmarkEnd w:id="58"/>
    </w:p>
    <w:p w14:paraId="7E9FCB2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578F3BDF">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59" w:name="_Toc10667"/>
      <w:bookmarkStart w:id="60" w:name="_Toc409163532"/>
      <w:r>
        <w:rPr>
          <w:rFonts w:hint="eastAsia" w:asciiTheme="minorEastAsia" w:hAnsiTheme="minorEastAsia" w:eastAsiaTheme="minorEastAsia" w:cstheme="minorEastAsia"/>
          <w:sz w:val="22"/>
          <w:szCs w:val="22"/>
        </w:rPr>
        <w:t>9.1　发包人的施工安全责任</w:t>
      </w:r>
      <w:bookmarkEnd w:id="59"/>
      <w:bookmarkEnd w:id="60"/>
    </w:p>
    <w:p w14:paraId="7C095EB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4608FBD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1ADD96B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9.1.5　发包人按照已标价工程量清单所列金额和合同约定的计量支付规定，支付安全作业环境及安全施工措施所需费用。</w:t>
      </w:r>
    </w:p>
    <w:p w14:paraId="66777B1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9.1.6　发包人负责组织工程参建单位编制保证安全生产的措施方案。工程开工前，就落实保证安全生产的措施进行全面系统的布置，进一步明确承包人的安全生产责任。</w:t>
      </w:r>
    </w:p>
    <w:p w14:paraId="373A005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9.1.7　发包人负责在拆除工程和爆破工程施工14天前向有关部门或机构报送相关备案资料。</w:t>
      </w:r>
    </w:p>
    <w:p w14:paraId="1F6C1202">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61" w:name="_Toc28724"/>
      <w:bookmarkStart w:id="62" w:name="_Toc409163533"/>
      <w:r>
        <w:rPr>
          <w:rFonts w:hint="eastAsia" w:asciiTheme="minorEastAsia" w:hAnsiTheme="minorEastAsia" w:eastAsiaTheme="minorEastAsia" w:cstheme="minorEastAsia"/>
          <w:sz w:val="22"/>
          <w:szCs w:val="22"/>
        </w:rPr>
        <w:t>9.2　承包人的施工安全责任</w:t>
      </w:r>
      <w:bookmarkEnd w:id="61"/>
      <w:bookmarkEnd w:id="62"/>
    </w:p>
    <w:p w14:paraId="6777173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3C30427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9.2.8　承包人已标价工程量清单应包含工程安全作业环境及安全施工措施所需费用。</w:t>
      </w:r>
    </w:p>
    <w:p w14:paraId="26D8D62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75C3147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9.2.10　承包人应设立安全生产管理机构，施工现场应有专职安全生产管理人员。</w:t>
      </w:r>
    </w:p>
    <w:p w14:paraId="1822971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9.2.11　承包人应负责对特种作业人员进行专门的安全作业培训，并保证特种作业人员持证上岗。</w:t>
      </w:r>
    </w:p>
    <w:p w14:paraId="028BD53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69F5F4A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9.2.13　承包人在使用施工起重机械和整体提升脚手架、模板等自升式架设设施前，应组织有关单位进行验收。</w:t>
      </w:r>
    </w:p>
    <w:p w14:paraId="50DBEB1D">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63" w:name="_Toc409163534"/>
      <w:bookmarkStart w:id="64" w:name="_Toc26843"/>
      <w:r>
        <w:rPr>
          <w:rFonts w:hint="eastAsia" w:asciiTheme="minorEastAsia" w:hAnsiTheme="minorEastAsia" w:eastAsiaTheme="minorEastAsia" w:cstheme="minorEastAsia"/>
          <w:sz w:val="22"/>
          <w:szCs w:val="22"/>
        </w:rPr>
        <w:t>9.5　事故处理</w:t>
      </w:r>
      <w:bookmarkEnd w:id="63"/>
      <w:bookmarkEnd w:id="64"/>
    </w:p>
    <w:p w14:paraId="0A8FB17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9.5.1　发包人负责组织参建单位制定本工程的质量与安全事故应急预案，建立质量与安全事故应急处置指挥部。</w:t>
      </w:r>
    </w:p>
    <w:p w14:paraId="3573677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9.5.2　承包人应对施工现场易发生重大事故的部位、环节进行监控，配备救援器材、设备，并定期组织演练。</w:t>
      </w:r>
    </w:p>
    <w:p w14:paraId="335D94C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9.5.3　工程开工前，承包人应根据本工程的特点制定施工现场施工质量与安全事故应急预案，并报发包人备案。</w:t>
      </w:r>
    </w:p>
    <w:p w14:paraId="18E922A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9.5.4　施工过程中发生事故时，发包人、承包人应立即启动应急预案。</w:t>
      </w:r>
    </w:p>
    <w:p w14:paraId="0A20C69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9.5.5　事故调查处理由发包人按相关规定履行手续，承包人应配合。</w:t>
      </w:r>
    </w:p>
    <w:p w14:paraId="2DF1F67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65" w:name="_Toc409163535"/>
      <w:bookmarkStart w:id="66" w:name="_Toc15382"/>
      <w:r>
        <w:rPr>
          <w:rFonts w:hint="eastAsia" w:asciiTheme="minorEastAsia" w:hAnsiTheme="minorEastAsia" w:eastAsiaTheme="minorEastAsia" w:cstheme="minorEastAsia"/>
          <w:sz w:val="22"/>
          <w:szCs w:val="22"/>
        </w:rPr>
        <w:t>9.6　水土保持</w:t>
      </w:r>
      <w:bookmarkEnd w:id="65"/>
      <w:bookmarkEnd w:id="66"/>
    </w:p>
    <w:p w14:paraId="2AC7CB7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9.6.1　发包人应及时向承包人提供水土保持方案。</w:t>
      </w:r>
    </w:p>
    <w:p w14:paraId="4454B2F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9.6.2　承包人在施工过程中，应遵守有关水土保持的法律法规和规章，履行合同约定的水土保持义务，并对其违反法律和合同约定义务所造成的水土流失灾害、人身伤害和财产损失负责。</w:t>
      </w:r>
    </w:p>
    <w:p w14:paraId="3C4FDE6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9.6.3　承包人的水土保持措施计划，应满足技术标准和要求(合同技术条款)约定的要求。</w:t>
      </w:r>
    </w:p>
    <w:p w14:paraId="418F200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67" w:name="_Toc409163536"/>
      <w:bookmarkStart w:id="68" w:name="_Toc25857"/>
      <w:r>
        <w:rPr>
          <w:rFonts w:hint="eastAsia" w:asciiTheme="minorEastAsia" w:hAnsiTheme="minorEastAsia" w:eastAsiaTheme="minorEastAsia" w:cstheme="minorEastAsia"/>
          <w:sz w:val="22"/>
          <w:szCs w:val="22"/>
        </w:rPr>
        <w:t>9.7　文明工地</w:t>
      </w:r>
      <w:bookmarkEnd w:id="67"/>
      <w:bookmarkEnd w:id="68"/>
    </w:p>
    <w:p w14:paraId="3F9E099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9.7.1　发包人应按专用合同条款的约定，负责建立创建文明建设工地的组织机构，制定创建文明建设工地的规划和办法。</w:t>
      </w:r>
    </w:p>
    <w:p w14:paraId="3B42071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9.7.2　承包人应按创建文明建设工地的规划和办法，履行职责，承担相应责任。所需费用应含在已标价工程量清单中。</w:t>
      </w:r>
    </w:p>
    <w:p w14:paraId="129722D4">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69" w:name="_Toc13271"/>
      <w:bookmarkStart w:id="70" w:name="_Toc409163537"/>
      <w:r>
        <w:rPr>
          <w:rFonts w:hint="eastAsia" w:asciiTheme="minorEastAsia" w:hAnsiTheme="minorEastAsia" w:eastAsiaTheme="minorEastAsia" w:cstheme="minorEastAsia"/>
          <w:sz w:val="22"/>
          <w:szCs w:val="22"/>
        </w:rPr>
        <w:t>9.8　防汛度汛</w:t>
      </w:r>
      <w:bookmarkEnd w:id="69"/>
      <w:bookmarkEnd w:id="70"/>
    </w:p>
    <w:p w14:paraId="01A91EC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9.8.1　发包人负责组织工程参建单位编制本工程的度汛方案和措施。</w:t>
      </w:r>
    </w:p>
    <w:p w14:paraId="022AC2F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9.8.2　承包人应根据发包人编制的本工程度汛方案和措施，制定相应的度汛方案，报发包人批准后实施。</w:t>
      </w:r>
    </w:p>
    <w:p w14:paraId="2CDEB559">
      <w:pPr>
        <w:snapToGrid w:val="0"/>
        <w:spacing w:line="360" w:lineRule="auto"/>
        <w:rPr>
          <w:rFonts w:hint="eastAsia" w:asciiTheme="minorEastAsia" w:hAnsiTheme="minorEastAsia" w:eastAsiaTheme="minorEastAsia" w:cstheme="minorEastAsia"/>
          <w:b/>
          <w:sz w:val="22"/>
          <w:szCs w:val="22"/>
        </w:rPr>
      </w:pPr>
      <w:bookmarkStart w:id="71" w:name="第04章合同条款及格式0110"/>
      <w:bookmarkEnd w:id="71"/>
      <w:r>
        <w:rPr>
          <w:rFonts w:hint="eastAsia" w:asciiTheme="minorEastAsia" w:hAnsiTheme="minorEastAsia" w:eastAsiaTheme="minorEastAsia" w:cstheme="minorEastAsia"/>
          <w:b/>
          <w:sz w:val="22"/>
          <w:szCs w:val="22"/>
        </w:rPr>
        <w:t>10　进度计划</w:t>
      </w:r>
    </w:p>
    <w:p w14:paraId="355CCD6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0D092C1A">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72" w:name="_Toc409163538"/>
      <w:bookmarkStart w:id="73" w:name="_Toc5697"/>
      <w:r>
        <w:rPr>
          <w:rFonts w:hint="eastAsia" w:asciiTheme="minorEastAsia" w:hAnsiTheme="minorEastAsia" w:eastAsiaTheme="minorEastAsia" w:cstheme="minorEastAsia"/>
          <w:sz w:val="22"/>
          <w:szCs w:val="22"/>
        </w:rPr>
        <w:t>10.1　合同进度计划</w:t>
      </w:r>
      <w:bookmarkEnd w:id="72"/>
      <w:bookmarkEnd w:id="73"/>
    </w:p>
    <w:p w14:paraId="7A6C685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374F8DD5">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74" w:name="_Toc409163539"/>
      <w:bookmarkStart w:id="75" w:name="_Toc16179"/>
      <w:r>
        <w:rPr>
          <w:rFonts w:hint="eastAsia" w:asciiTheme="minorEastAsia" w:hAnsiTheme="minorEastAsia" w:eastAsiaTheme="minorEastAsia" w:cstheme="minorEastAsia"/>
          <w:sz w:val="22"/>
          <w:szCs w:val="22"/>
        </w:rPr>
        <w:t>10.2　合同进度计划的修订</w:t>
      </w:r>
      <w:bookmarkEnd w:id="74"/>
      <w:bookmarkEnd w:id="75"/>
    </w:p>
    <w:p w14:paraId="08ECF22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0B92BDB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44A321C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10.3　单位工程进度计划</w:t>
      </w:r>
    </w:p>
    <w:p w14:paraId="769B9A9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监理人认为有必要时，承包人应按监理人指示的内容和期限，并根据合同进度计划的进度控制要求，编制单位工程进度计划，提交监理人审批。</w:t>
      </w:r>
    </w:p>
    <w:p w14:paraId="66089AC8">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76" w:name="_Toc409163540"/>
      <w:bookmarkStart w:id="77" w:name="_Toc23805"/>
      <w:r>
        <w:rPr>
          <w:rFonts w:hint="eastAsia" w:asciiTheme="minorEastAsia" w:hAnsiTheme="minorEastAsia" w:eastAsiaTheme="minorEastAsia" w:cstheme="minorEastAsia"/>
          <w:sz w:val="22"/>
          <w:szCs w:val="22"/>
        </w:rPr>
        <w:t>10.4　提交资金流估算表</w:t>
      </w:r>
      <w:bookmarkEnd w:id="76"/>
      <w:bookmarkEnd w:id="77"/>
    </w:p>
    <w:p w14:paraId="5509A4D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45543BCB">
      <w:pPr>
        <w:snapToGrid w:val="0"/>
        <w:spacing w:line="360" w:lineRule="auto"/>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资金流估算表(参考格式)</w:t>
      </w:r>
    </w:p>
    <w:p w14:paraId="28F876A1">
      <w:pPr>
        <w:snapToGrid w:val="0"/>
        <w:spacing w:line="360" w:lineRule="auto"/>
        <w:jc w:val="righ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金额单位</w:t>
      </w:r>
    </w:p>
    <w:tbl>
      <w:tblPr>
        <w:tblStyle w:val="5"/>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6"/>
        <w:gridCol w:w="496"/>
        <w:gridCol w:w="991"/>
        <w:gridCol w:w="1276"/>
        <w:gridCol w:w="1443"/>
        <w:gridCol w:w="934"/>
        <w:gridCol w:w="934"/>
        <w:gridCol w:w="800"/>
        <w:gridCol w:w="850"/>
        <w:gridCol w:w="992"/>
      </w:tblGrid>
      <w:tr w14:paraId="0599A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6" w:type="dxa"/>
            <w:noWrap w:val="0"/>
            <w:vAlign w:val="center"/>
          </w:tcPr>
          <w:p w14:paraId="5FB766FA">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年</w:t>
            </w:r>
          </w:p>
        </w:tc>
        <w:tc>
          <w:tcPr>
            <w:tcW w:w="496" w:type="dxa"/>
            <w:noWrap w:val="0"/>
            <w:vAlign w:val="center"/>
          </w:tcPr>
          <w:p w14:paraId="5654D3A8">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月</w:t>
            </w:r>
          </w:p>
        </w:tc>
        <w:tc>
          <w:tcPr>
            <w:tcW w:w="991" w:type="dxa"/>
            <w:noWrap w:val="0"/>
            <w:vAlign w:val="center"/>
          </w:tcPr>
          <w:p w14:paraId="6C6C24CB">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工程</w:t>
            </w:r>
          </w:p>
          <w:p w14:paraId="2EE04FF9">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预付款</w:t>
            </w:r>
          </w:p>
        </w:tc>
        <w:tc>
          <w:tcPr>
            <w:tcW w:w="1276" w:type="dxa"/>
            <w:noWrap w:val="0"/>
            <w:vAlign w:val="center"/>
          </w:tcPr>
          <w:p w14:paraId="5B12283D">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完成工作量付款</w:t>
            </w:r>
          </w:p>
        </w:tc>
        <w:tc>
          <w:tcPr>
            <w:tcW w:w="1443" w:type="dxa"/>
            <w:noWrap w:val="0"/>
            <w:vAlign w:val="center"/>
          </w:tcPr>
          <w:p w14:paraId="7BF589B7">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质量保证金扣留</w:t>
            </w:r>
          </w:p>
        </w:tc>
        <w:tc>
          <w:tcPr>
            <w:tcW w:w="934" w:type="dxa"/>
            <w:noWrap w:val="0"/>
            <w:vAlign w:val="center"/>
          </w:tcPr>
          <w:p w14:paraId="74857182">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材料款扣除</w:t>
            </w:r>
          </w:p>
        </w:tc>
        <w:tc>
          <w:tcPr>
            <w:tcW w:w="934" w:type="dxa"/>
            <w:noWrap w:val="0"/>
            <w:vAlign w:val="center"/>
          </w:tcPr>
          <w:p w14:paraId="7117BC67">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预付款扣还</w:t>
            </w:r>
          </w:p>
        </w:tc>
        <w:tc>
          <w:tcPr>
            <w:tcW w:w="800" w:type="dxa"/>
            <w:noWrap w:val="0"/>
            <w:vAlign w:val="center"/>
          </w:tcPr>
          <w:p w14:paraId="7DD3871D">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其它</w:t>
            </w:r>
          </w:p>
        </w:tc>
        <w:tc>
          <w:tcPr>
            <w:tcW w:w="850" w:type="dxa"/>
            <w:noWrap w:val="0"/>
            <w:vAlign w:val="center"/>
          </w:tcPr>
          <w:p w14:paraId="298DA7EB">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应收款</w:t>
            </w:r>
          </w:p>
        </w:tc>
        <w:tc>
          <w:tcPr>
            <w:tcW w:w="992" w:type="dxa"/>
            <w:noWrap w:val="0"/>
            <w:vAlign w:val="center"/>
          </w:tcPr>
          <w:p w14:paraId="5C04FAE3">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累计</w:t>
            </w:r>
          </w:p>
          <w:p w14:paraId="766AA3DC">
            <w:pPr>
              <w:snapToGrid w:val="0"/>
              <w:spacing w:line="360" w:lineRule="auto"/>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应收款</w:t>
            </w:r>
          </w:p>
        </w:tc>
      </w:tr>
      <w:tr w14:paraId="62CF1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6" w:type="dxa"/>
            <w:noWrap w:val="0"/>
            <w:vAlign w:val="center"/>
          </w:tcPr>
          <w:p w14:paraId="68004907">
            <w:pPr>
              <w:snapToGrid w:val="0"/>
              <w:spacing w:line="360" w:lineRule="auto"/>
              <w:jc w:val="center"/>
              <w:rPr>
                <w:rFonts w:hint="eastAsia" w:asciiTheme="minorEastAsia" w:hAnsiTheme="minorEastAsia" w:eastAsiaTheme="minorEastAsia" w:cstheme="minorEastAsia"/>
                <w:sz w:val="22"/>
                <w:szCs w:val="22"/>
              </w:rPr>
            </w:pPr>
          </w:p>
        </w:tc>
        <w:tc>
          <w:tcPr>
            <w:tcW w:w="496" w:type="dxa"/>
            <w:noWrap w:val="0"/>
            <w:vAlign w:val="center"/>
          </w:tcPr>
          <w:p w14:paraId="0757FC07">
            <w:pPr>
              <w:snapToGrid w:val="0"/>
              <w:spacing w:line="360" w:lineRule="auto"/>
              <w:jc w:val="center"/>
              <w:rPr>
                <w:rFonts w:hint="eastAsia" w:asciiTheme="minorEastAsia" w:hAnsiTheme="minorEastAsia" w:eastAsiaTheme="minorEastAsia" w:cstheme="minorEastAsia"/>
                <w:sz w:val="22"/>
                <w:szCs w:val="22"/>
              </w:rPr>
            </w:pPr>
          </w:p>
        </w:tc>
        <w:tc>
          <w:tcPr>
            <w:tcW w:w="991" w:type="dxa"/>
            <w:noWrap w:val="0"/>
            <w:vAlign w:val="center"/>
          </w:tcPr>
          <w:p w14:paraId="2D606E54">
            <w:pPr>
              <w:snapToGrid w:val="0"/>
              <w:spacing w:line="360" w:lineRule="auto"/>
              <w:jc w:val="center"/>
              <w:rPr>
                <w:rFonts w:hint="eastAsia" w:asciiTheme="minorEastAsia" w:hAnsiTheme="minorEastAsia" w:eastAsiaTheme="minorEastAsia" w:cstheme="minorEastAsia"/>
                <w:sz w:val="22"/>
                <w:szCs w:val="22"/>
              </w:rPr>
            </w:pPr>
          </w:p>
        </w:tc>
        <w:tc>
          <w:tcPr>
            <w:tcW w:w="1276" w:type="dxa"/>
            <w:noWrap w:val="0"/>
            <w:vAlign w:val="center"/>
          </w:tcPr>
          <w:p w14:paraId="6FD21EF1">
            <w:pPr>
              <w:snapToGrid w:val="0"/>
              <w:spacing w:line="360" w:lineRule="auto"/>
              <w:jc w:val="center"/>
              <w:rPr>
                <w:rFonts w:hint="eastAsia" w:asciiTheme="minorEastAsia" w:hAnsiTheme="minorEastAsia" w:eastAsiaTheme="minorEastAsia" w:cstheme="minorEastAsia"/>
                <w:sz w:val="22"/>
                <w:szCs w:val="22"/>
              </w:rPr>
            </w:pPr>
          </w:p>
        </w:tc>
        <w:tc>
          <w:tcPr>
            <w:tcW w:w="1443" w:type="dxa"/>
            <w:noWrap w:val="0"/>
            <w:vAlign w:val="center"/>
          </w:tcPr>
          <w:p w14:paraId="28F72075">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6140B1E4">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1A6D4225">
            <w:pPr>
              <w:snapToGrid w:val="0"/>
              <w:spacing w:line="360" w:lineRule="auto"/>
              <w:jc w:val="center"/>
              <w:rPr>
                <w:rFonts w:hint="eastAsia" w:asciiTheme="minorEastAsia" w:hAnsiTheme="minorEastAsia" w:eastAsiaTheme="minorEastAsia" w:cstheme="minorEastAsia"/>
                <w:sz w:val="22"/>
                <w:szCs w:val="22"/>
              </w:rPr>
            </w:pPr>
          </w:p>
        </w:tc>
        <w:tc>
          <w:tcPr>
            <w:tcW w:w="800" w:type="dxa"/>
            <w:noWrap w:val="0"/>
            <w:vAlign w:val="center"/>
          </w:tcPr>
          <w:p w14:paraId="04CAAF41">
            <w:pPr>
              <w:snapToGrid w:val="0"/>
              <w:spacing w:line="360" w:lineRule="auto"/>
              <w:jc w:val="center"/>
              <w:rPr>
                <w:rFonts w:hint="eastAsia" w:asciiTheme="minorEastAsia" w:hAnsiTheme="minorEastAsia" w:eastAsiaTheme="minorEastAsia" w:cstheme="minorEastAsia"/>
                <w:sz w:val="22"/>
                <w:szCs w:val="22"/>
              </w:rPr>
            </w:pPr>
          </w:p>
        </w:tc>
        <w:tc>
          <w:tcPr>
            <w:tcW w:w="850" w:type="dxa"/>
            <w:noWrap w:val="0"/>
            <w:vAlign w:val="center"/>
          </w:tcPr>
          <w:p w14:paraId="31D05BB0">
            <w:pPr>
              <w:snapToGrid w:val="0"/>
              <w:spacing w:line="360" w:lineRule="auto"/>
              <w:jc w:val="center"/>
              <w:rPr>
                <w:rFonts w:hint="eastAsia" w:asciiTheme="minorEastAsia" w:hAnsiTheme="minorEastAsia" w:eastAsiaTheme="minorEastAsia" w:cstheme="minorEastAsia"/>
                <w:sz w:val="22"/>
                <w:szCs w:val="22"/>
              </w:rPr>
            </w:pPr>
          </w:p>
        </w:tc>
        <w:tc>
          <w:tcPr>
            <w:tcW w:w="992" w:type="dxa"/>
            <w:noWrap w:val="0"/>
            <w:vAlign w:val="center"/>
          </w:tcPr>
          <w:p w14:paraId="38F67B7E">
            <w:pPr>
              <w:snapToGrid w:val="0"/>
              <w:spacing w:line="360" w:lineRule="auto"/>
              <w:jc w:val="center"/>
              <w:rPr>
                <w:rFonts w:hint="eastAsia" w:asciiTheme="minorEastAsia" w:hAnsiTheme="minorEastAsia" w:eastAsiaTheme="minorEastAsia" w:cstheme="minorEastAsia"/>
                <w:sz w:val="22"/>
                <w:szCs w:val="22"/>
              </w:rPr>
            </w:pPr>
          </w:p>
        </w:tc>
      </w:tr>
      <w:tr w14:paraId="13143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6" w:type="dxa"/>
            <w:noWrap w:val="0"/>
            <w:vAlign w:val="center"/>
          </w:tcPr>
          <w:p w14:paraId="12415A85">
            <w:pPr>
              <w:snapToGrid w:val="0"/>
              <w:spacing w:line="360" w:lineRule="auto"/>
              <w:jc w:val="center"/>
              <w:rPr>
                <w:rFonts w:hint="eastAsia" w:asciiTheme="minorEastAsia" w:hAnsiTheme="minorEastAsia" w:eastAsiaTheme="minorEastAsia" w:cstheme="minorEastAsia"/>
                <w:sz w:val="22"/>
                <w:szCs w:val="22"/>
              </w:rPr>
            </w:pPr>
          </w:p>
        </w:tc>
        <w:tc>
          <w:tcPr>
            <w:tcW w:w="496" w:type="dxa"/>
            <w:noWrap w:val="0"/>
            <w:vAlign w:val="center"/>
          </w:tcPr>
          <w:p w14:paraId="5919DE36">
            <w:pPr>
              <w:snapToGrid w:val="0"/>
              <w:spacing w:line="360" w:lineRule="auto"/>
              <w:jc w:val="center"/>
              <w:rPr>
                <w:rFonts w:hint="eastAsia" w:asciiTheme="minorEastAsia" w:hAnsiTheme="minorEastAsia" w:eastAsiaTheme="minorEastAsia" w:cstheme="minorEastAsia"/>
                <w:sz w:val="22"/>
                <w:szCs w:val="22"/>
              </w:rPr>
            </w:pPr>
          </w:p>
        </w:tc>
        <w:tc>
          <w:tcPr>
            <w:tcW w:w="991" w:type="dxa"/>
            <w:noWrap w:val="0"/>
            <w:vAlign w:val="center"/>
          </w:tcPr>
          <w:p w14:paraId="41387578">
            <w:pPr>
              <w:snapToGrid w:val="0"/>
              <w:spacing w:line="360" w:lineRule="auto"/>
              <w:jc w:val="center"/>
              <w:rPr>
                <w:rFonts w:hint="eastAsia" w:asciiTheme="minorEastAsia" w:hAnsiTheme="minorEastAsia" w:eastAsiaTheme="minorEastAsia" w:cstheme="minorEastAsia"/>
                <w:sz w:val="22"/>
                <w:szCs w:val="22"/>
              </w:rPr>
            </w:pPr>
          </w:p>
        </w:tc>
        <w:tc>
          <w:tcPr>
            <w:tcW w:w="1276" w:type="dxa"/>
            <w:noWrap w:val="0"/>
            <w:vAlign w:val="center"/>
          </w:tcPr>
          <w:p w14:paraId="19934F49">
            <w:pPr>
              <w:snapToGrid w:val="0"/>
              <w:spacing w:line="360" w:lineRule="auto"/>
              <w:jc w:val="center"/>
              <w:rPr>
                <w:rFonts w:hint="eastAsia" w:asciiTheme="minorEastAsia" w:hAnsiTheme="minorEastAsia" w:eastAsiaTheme="minorEastAsia" w:cstheme="minorEastAsia"/>
                <w:sz w:val="22"/>
                <w:szCs w:val="22"/>
              </w:rPr>
            </w:pPr>
          </w:p>
        </w:tc>
        <w:tc>
          <w:tcPr>
            <w:tcW w:w="1443" w:type="dxa"/>
            <w:noWrap w:val="0"/>
            <w:vAlign w:val="center"/>
          </w:tcPr>
          <w:p w14:paraId="2A2F90D4">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55288563">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0A1A913F">
            <w:pPr>
              <w:snapToGrid w:val="0"/>
              <w:spacing w:line="360" w:lineRule="auto"/>
              <w:jc w:val="center"/>
              <w:rPr>
                <w:rFonts w:hint="eastAsia" w:asciiTheme="minorEastAsia" w:hAnsiTheme="minorEastAsia" w:eastAsiaTheme="minorEastAsia" w:cstheme="minorEastAsia"/>
                <w:sz w:val="22"/>
                <w:szCs w:val="22"/>
              </w:rPr>
            </w:pPr>
          </w:p>
        </w:tc>
        <w:tc>
          <w:tcPr>
            <w:tcW w:w="800" w:type="dxa"/>
            <w:noWrap w:val="0"/>
            <w:vAlign w:val="center"/>
          </w:tcPr>
          <w:p w14:paraId="5B85FFD4">
            <w:pPr>
              <w:snapToGrid w:val="0"/>
              <w:spacing w:line="360" w:lineRule="auto"/>
              <w:jc w:val="center"/>
              <w:rPr>
                <w:rFonts w:hint="eastAsia" w:asciiTheme="minorEastAsia" w:hAnsiTheme="minorEastAsia" w:eastAsiaTheme="minorEastAsia" w:cstheme="minorEastAsia"/>
                <w:sz w:val="22"/>
                <w:szCs w:val="22"/>
              </w:rPr>
            </w:pPr>
          </w:p>
        </w:tc>
        <w:tc>
          <w:tcPr>
            <w:tcW w:w="850" w:type="dxa"/>
            <w:noWrap w:val="0"/>
            <w:vAlign w:val="center"/>
          </w:tcPr>
          <w:p w14:paraId="259E6E46">
            <w:pPr>
              <w:snapToGrid w:val="0"/>
              <w:spacing w:line="360" w:lineRule="auto"/>
              <w:jc w:val="center"/>
              <w:rPr>
                <w:rFonts w:hint="eastAsia" w:asciiTheme="minorEastAsia" w:hAnsiTheme="minorEastAsia" w:eastAsiaTheme="minorEastAsia" w:cstheme="minorEastAsia"/>
                <w:sz w:val="22"/>
                <w:szCs w:val="22"/>
              </w:rPr>
            </w:pPr>
          </w:p>
        </w:tc>
        <w:tc>
          <w:tcPr>
            <w:tcW w:w="992" w:type="dxa"/>
            <w:noWrap w:val="0"/>
            <w:vAlign w:val="center"/>
          </w:tcPr>
          <w:p w14:paraId="6B3E6CDD">
            <w:pPr>
              <w:snapToGrid w:val="0"/>
              <w:spacing w:line="360" w:lineRule="auto"/>
              <w:jc w:val="center"/>
              <w:rPr>
                <w:rFonts w:hint="eastAsia" w:asciiTheme="minorEastAsia" w:hAnsiTheme="minorEastAsia" w:eastAsiaTheme="minorEastAsia" w:cstheme="minorEastAsia"/>
                <w:sz w:val="22"/>
                <w:szCs w:val="22"/>
              </w:rPr>
            </w:pPr>
          </w:p>
        </w:tc>
      </w:tr>
      <w:tr w14:paraId="1EC1D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6" w:type="dxa"/>
            <w:noWrap w:val="0"/>
            <w:vAlign w:val="center"/>
          </w:tcPr>
          <w:p w14:paraId="4322BD04">
            <w:pPr>
              <w:snapToGrid w:val="0"/>
              <w:spacing w:line="360" w:lineRule="auto"/>
              <w:jc w:val="center"/>
              <w:rPr>
                <w:rFonts w:hint="eastAsia" w:asciiTheme="minorEastAsia" w:hAnsiTheme="minorEastAsia" w:eastAsiaTheme="minorEastAsia" w:cstheme="minorEastAsia"/>
                <w:sz w:val="22"/>
                <w:szCs w:val="22"/>
              </w:rPr>
            </w:pPr>
          </w:p>
        </w:tc>
        <w:tc>
          <w:tcPr>
            <w:tcW w:w="496" w:type="dxa"/>
            <w:noWrap w:val="0"/>
            <w:vAlign w:val="center"/>
          </w:tcPr>
          <w:p w14:paraId="2143A092">
            <w:pPr>
              <w:snapToGrid w:val="0"/>
              <w:spacing w:line="360" w:lineRule="auto"/>
              <w:jc w:val="center"/>
              <w:rPr>
                <w:rFonts w:hint="eastAsia" w:asciiTheme="minorEastAsia" w:hAnsiTheme="minorEastAsia" w:eastAsiaTheme="minorEastAsia" w:cstheme="minorEastAsia"/>
                <w:sz w:val="22"/>
                <w:szCs w:val="22"/>
              </w:rPr>
            </w:pPr>
          </w:p>
        </w:tc>
        <w:tc>
          <w:tcPr>
            <w:tcW w:w="991" w:type="dxa"/>
            <w:noWrap w:val="0"/>
            <w:vAlign w:val="center"/>
          </w:tcPr>
          <w:p w14:paraId="645B1F03">
            <w:pPr>
              <w:snapToGrid w:val="0"/>
              <w:spacing w:line="360" w:lineRule="auto"/>
              <w:jc w:val="center"/>
              <w:rPr>
                <w:rFonts w:hint="eastAsia" w:asciiTheme="minorEastAsia" w:hAnsiTheme="minorEastAsia" w:eastAsiaTheme="minorEastAsia" w:cstheme="minorEastAsia"/>
                <w:sz w:val="22"/>
                <w:szCs w:val="22"/>
              </w:rPr>
            </w:pPr>
          </w:p>
        </w:tc>
        <w:tc>
          <w:tcPr>
            <w:tcW w:w="1276" w:type="dxa"/>
            <w:noWrap w:val="0"/>
            <w:vAlign w:val="center"/>
          </w:tcPr>
          <w:p w14:paraId="5390F7A1">
            <w:pPr>
              <w:snapToGrid w:val="0"/>
              <w:spacing w:line="360" w:lineRule="auto"/>
              <w:jc w:val="center"/>
              <w:rPr>
                <w:rFonts w:hint="eastAsia" w:asciiTheme="minorEastAsia" w:hAnsiTheme="minorEastAsia" w:eastAsiaTheme="minorEastAsia" w:cstheme="minorEastAsia"/>
                <w:sz w:val="22"/>
                <w:szCs w:val="22"/>
              </w:rPr>
            </w:pPr>
          </w:p>
        </w:tc>
        <w:tc>
          <w:tcPr>
            <w:tcW w:w="1443" w:type="dxa"/>
            <w:noWrap w:val="0"/>
            <w:vAlign w:val="center"/>
          </w:tcPr>
          <w:p w14:paraId="1AF5B30B">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0691F781">
            <w:pPr>
              <w:snapToGrid w:val="0"/>
              <w:spacing w:line="360" w:lineRule="auto"/>
              <w:jc w:val="center"/>
              <w:rPr>
                <w:rFonts w:hint="eastAsia" w:asciiTheme="minorEastAsia" w:hAnsiTheme="minorEastAsia" w:eastAsiaTheme="minorEastAsia" w:cstheme="minorEastAsia"/>
                <w:sz w:val="22"/>
                <w:szCs w:val="22"/>
              </w:rPr>
            </w:pPr>
          </w:p>
        </w:tc>
        <w:tc>
          <w:tcPr>
            <w:tcW w:w="934" w:type="dxa"/>
            <w:noWrap w:val="0"/>
            <w:vAlign w:val="center"/>
          </w:tcPr>
          <w:p w14:paraId="2972C331">
            <w:pPr>
              <w:snapToGrid w:val="0"/>
              <w:spacing w:line="360" w:lineRule="auto"/>
              <w:jc w:val="center"/>
              <w:rPr>
                <w:rFonts w:hint="eastAsia" w:asciiTheme="minorEastAsia" w:hAnsiTheme="minorEastAsia" w:eastAsiaTheme="minorEastAsia" w:cstheme="minorEastAsia"/>
                <w:sz w:val="22"/>
                <w:szCs w:val="22"/>
              </w:rPr>
            </w:pPr>
          </w:p>
        </w:tc>
        <w:tc>
          <w:tcPr>
            <w:tcW w:w="800" w:type="dxa"/>
            <w:noWrap w:val="0"/>
            <w:vAlign w:val="center"/>
          </w:tcPr>
          <w:p w14:paraId="6BCD5B37">
            <w:pPr>
              <w:snapToGrid w:val="0"/>
              <w:spacing w:line="360" w:lineRule="auto"/>
              <w:jc w:val="center"/>
              <w:rPr>
                <w:rFonts w:hint="eastAsia" w:asciiTheme="minorEastAsia" w:hAnsiTheme="minorEastAsia" w:eastAsiaTheme="minorEastAsia" w:cstheme="minorEastAsia"/>
                <w:sz w:val="22"/>
                <w:szCs w:val="22"/>
              </w:rPr>
            </w:pPr>
          </w:p>
        </w:tc>
        <w:tc>
          <w:tcPr>
            <w:tcW w:w="850" w:type="dxa"/>
            <w:noWrap w:val="0"/>
            <w:vAlign w:val="center"/>
          </w:tcPr>
          <w:p w14:paraId="2E122D7C">
            <w:pPr>
              <w:snapToGrid w:val="0"/>
              <w:spacing w:line="360" w:lineRule="auto"/>
              <w:jc w:val="center"/>
              <w:rPr>
                <w:rFonts w:hint="eastAsia" w:asciiTheme="minorEastAsia" w:hAnsiTheme="minorEastAsia" w:eastAsiaTheme="minorEastAsia" w:cstheme="minorEastAsia"/>
                <w:sz w:val="22"/>
                <w:szCs w:val="22"/>
              </w:rPr>
            </w:pPr>
          </w:p>
        </w:tc>
        <w:tc>
          <w:tcPr>
            <w:tcW w:w="992" w:type="dxa"/>
            <w:noWrap w:val="0"/>
            <w:vAlign w:val="center"/>
          </w:tcPr>
          <w:p w14:paraId="6BEF06B7">
            <w:pPr>
              <w:snapToGrid w:val="0"/>
              <w:spacing w:line="360" w:lineRule="auto"/>
              <w:jc w:val="center"/>
              <w:rPr>
                <w:rFonts w:hint="eastAsia" w:asciiTheme="minorEastAsia" w:hAnsiTheme="minorEastAsia" w:eastAsiaTheme="minorEastAsia" w:cstheme="minorEastAsia"/>
                <w:sz w:val="22"/>
                <w:szCs w:val="22"/>
              </w:rPr>
            </w:pPr>
          </w:p>
        </w:tc>
      </w:tr>
    </w:tbl>
    <w:p w14:paraId="4F97FE1F">
      <w:pPr>
        <w:snapToGrid w:val="0"/>
        <w:spacing w:line="360" w:lineRule="auto"/>
        <w:rPr>
          <w:rFonts w:hint="eastAsia" w:asciiTheme="minorEastAsia" w:hAnsiTheme="minorEastAsia" w:eastAsiaTheme="minorEastAsia" w:cstheme="minorEastAsia"/>
          <w:b/>
          <w:sz w:val="22"/>
          <w:szCs w:val="22"/>
        </w:rPr>
      </w:pPr>
      <w:bookmarkStart w:id="78" w:name="第04章合同条款及格式0111"/>
      <w:bookmarkEnd w:id="78"/>
    </w:p>
    <w:p w14:paraId="0D17B56A">
      <w:pPr>
        <w:snapToGrid w:val="0"/>
        <w:spacing w:line="360" w:lineRule="auto"/>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11　开工和竣工(完工)</w:t>
      </w:r>
    </w:p>
    <w:p w14:paraId="686AED1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6403295C">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79" w:name="_Toc409163541"/>
      <w:bookmarkStart w:id="80" w:name="_Toc24116"/>
      <w:r>
        <w:rPr>
          <w:rFonts w:hint="eastAsia" w:asciiTheme="minorEastAsia" w:hAnsiTheme="minorEastAsia" w:eastAsiaTheme="minorEastAsia" w:cstheme="minorEastAsia"/>
          <w:sz w:val="22"/>
          <w:szCs w:val="22"/>
        </w:rPr>
        <w:t>11.1　开工</w:t>
      </w:r>
      <w:bookmarkEnd w:id="79"/>
      <w:bookmarkEnd w:id="80"/>
    </w:p>
    <w:p w14:paraId="3033901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11.1.3　若发包人未能按合同约定向承包人提供开工的必要条件，承包人有权要求延长工期。监理人应在收到承包人的书面要求后，按第3.5款的约定，与合同双方商定或确定增加的费用和延长的工期。</w:t>
      </w:r>
    </w:p>
    <w:p w14:paraId="7849651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0681F352">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81" w:name="_Toc7551"/>
      <w:bookmarkStart w:id="82" w:name="_Toc409163542"/>
      <w:r>
        <w:rPr>
          <w:rFonts w:hint="eastAsia" w:asciiTheme="minorEastAsia" w:hAnsiTheme="minorEastAsia" w:eastAsiaTheme="minorEastAsia" w:cstheme="minorEastAsia"/>
          <w:sz w:val="22"/>
          <w:szCs w:val="22"/>
        </w:rPr>
        <w:t>11.2　竣工(完工)</w:t>
      </w:r>
      <w:bookmarkEnd w:id="81"/>
      <w:bookmarkEnd w:id="82"/>
    </w:p>
    <w:p w14:paraId="5CDECFB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承包人应在第1.1.4.3目约定的期限内完成合同工程。合同工程实际完工日期在合同工程完工证书中明确。</w:t>
      </w:r>
    </w:p>
    <w:p w14:paraId="0540C787">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83" w:name="_Toc24249"/>
      <w:bookmarkStart w:id="84" w:name="_Toc409163543"/>
      <w:r>
        <w:rPr>
          <w:rFonts w:hint="eastAsia" w:asciiTheme="minorEastAsia" w:hAnsiTheme="minorEastAsia" w:eastAsiaTheme="minorEastAsia" w:cstheme="minorEastAsia"/>
          <w:sz w:val="22"/>
          <w:szCs w:val="22"/>
        </w:rPr>
        <w:t>11.4　异常恶劣的气候条件</w:t>
      </w:r>
      <w:bookmarkEnd w:id="83"/>
      <w:bookmarkEnd w:id="84"/>
    </w:p>
    <w:p w14:paraId="7131D7A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11.4.1　当工程所在地发生危及施工安全的异常恶劣气候时，发包人和承包人应按本合同通用合同条款第12条的约定，及时采取暂停施工或部分暂停施工措施。异常恶劣气候条件解除后，承包人应及时安排复工。</w:t>
      </w:r>
    </w:p>
    <w:p w14:paraId="2F2A53B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11.4.2　异常恶劣气候条件造成的工期延误和工程损坏，应由发包人与承包人参照本合同通用合同条款第21.3款的约定协商处理。</w:t>
      </w:r>
    </w:p>
    <w:p w14:paraId="0293B77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11.4.3　本合同工程界定异常恶劣气候条件的范围在专用合同条款中约定。</w:t>
      </w:r>
    </w:p>
    <w:p w14:paraId="6FC57573">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85" w:name="_Toc409163544"/>
      <w:bookmarkStart w:id="86" w:name="_Toc1512"/>
      <w:r>
        <w:rPr>
          <w:rFonts w:hint="eastAsia" w:asciiTheme="minorEastAsia" w:hAnsiTheme="minorEastAsia" w:eastAsiaTheme="minorEastAsia" w:cstheme="minorEastAsia"/>
          <w:sz w:val="22"/>
          <w:szCs w:val="22"/>
        </w:rPr>
        <w:t>11.6　工期提前</w:t>
      </w:r>
      <w:bookmarkEnd w:id="85"/>
      <w:bookmarkEnd w:id="86"/>
    </w:p>
    <w:p w14:paraId="049BC4A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FC8E9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发包人要求提前完工的，双方协商一致后应签订提前完工协议，协议内容包括：</w:t>
      </w:r>
    </w:p>
    <w:p w14:paraId="20BDE5A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(1)提前的时间和修订后的进度计划；</w:t>
      </w:r>
    </w:p>
    <w:p w14:paraId="0C1F3A3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(2)承包人的赶工措施；</w:t>
      </w:r>
    </w:p>
    <w:p w14:paraId="79DECFA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(3)发包人为赶工提供的条件；</w:t>
      </w:r>
    </w:p>
    <w:p w14:paraId="3C3CAB4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(4)赶工费用(包括利润和奖金)。</w:t>
      </w:r>
    </w:p>
    <w:p w14:paraId="5DC4BF46">
      <w:pPr>
        <w:snapToGrid w:val="0"/>
        <w:spacing w:line="360" w:lineRule="auto"/>
        <w:rPr>
          <w:rFonts w:hint="eastAsia" w:asciiTheme="minorEastAsia" w:hAnsiTheme="minorEastAsia" w:eastAsiaTheme="minorEastAsia" w:cstheme="minorEastAsia"/>
          <w:b/>
          <w:sz w:val="22"/>
          <w:szCs w:val="22"/>
        </w:rPr>
      </w:pPr>
      <w:bookmarkStart w:id="87" w:name="第04章合同条款及格式0112"/>
      <w:bookmarkEnd w:id="87"/>
      <w:r>
        <w:rPr>
          <w:rFonts w:hint="eastAsia" w:asciiTheme="minorEastAsia" w:hAnsiTheme="minorEastAsia" w:eastAsiaTheme="minorEastAsia" w:cstheme="minorEastAsia"/>
          <w:b/>
          <w:sz w:val="22"/>
          <w:szCs w:val="22"/>
        </w:rPr>
        <w:t>12　暂停施工</w:t>
      </w:r>
    </w:p>
    <w:p w14:paraId="06C0F82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76FF6F03">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88" w:name="_Toc22330"/>
      <w:bookmarkStart w:id="89" w:name="_Toc409163545"/>
      <w:r>
        <w:rPr>
          <w:rFonts w:hint="eastAsia" w:asciiTheme="minorEastAsia" w:hAnsiTheme="minorEastAsia" w:eastAsiaTheme="minorEastAsia" w:cstheme="minorEastAsia"/>
          <w:sz w:val="22"/>
          <w:szCs w:val="22"/>
        </w:rPr>
        <w:t>12.2　发包人暂停施工的责任</w:t>
      </w:r>
      <w:bookmarkEnd w:id="88"/>
      <w:bookmarkEnd w:id="89"/>
    </w:p>
    <w:p w14:paraId="1B9968C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由于发包人原因引起的暂停施工造成工期延误的，承包人有权要求发包人延长工期和(或)增加费用，并支付合理利润。</w:t>
      </w:r>
    </w:p>
    <w:p w14:paraId="18E921F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属于下列任何一种情况引起的暂停施工，均为发包人的责任：</w:t>
      </w:r>
    </w:p>
    <w:p w14:paraId="4C605D9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(1)由于发包人违约引起的暂停施工；</w:t>
      </w:r>
    </w:p>
    <w:p w14:paraId="69154C1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(2)由于不可抗力的自然或社会因素引起的暂停施工；</w:t>
      </w:r>
    </w:p>
    <w:p w14:paraId="085BB9F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(3)专用合同条款中约定的其它由于发包人原因引起的暂停施工。</w:t>
      </w:r>
    </w:p>
    <w:p w14:paraId="0893CE03">
      <w:pPr>
        <w:snapToGrid w:val="0"/>
        <w:spacing w:line="360" w:lineRule="auto"/>
        <w:outlineLvl w:val="0"/>
        <w:rPr>
          <w:rFonts w:hint="eastAsia" w:asciiTheme="minorEastAsia" w:hAnsiTheme="minorEastAsia" w:eastAsiaTheme="minorEastAsia" w:cstheme="minorEastAsia"/>
          <w:b/>
          <w:sz w:val="22"/>
          <w:szCs w:val="22"/>
        </w:rPr>
      </w:pPr>
      <w:bookmarkStart w:id="90" w:name="第04章合同条款及格式0113"/>
      <w:bookmarkEnd w:id="90"/>
      <w:bookmarkStart w:id="91" w:name="_Toc409163546"/>
      <w:bookmarkStart w:id="92" w:name="_Toc14424"/>
      <w:r>
        <w:rPr>
          <w:rFonts w:hint="eastAsia" w:asciiTheme="minorEastAsia" w:hAnsiTheme="minorEastAsia" w:eastAsiaTheme="minorEastAsia" w:cstheme="minorEastAsia"/>
          <w:b/>
          <w:sz w:val="22"/>
          <w:szCs w:val="22"/>
        </w:rPr>
        <w:t>13　工程质量</w:t>
      </w:r>
      <w:bookmarkEnd w:id="91"/>
      <w:bookmarkEnd w:id="92"/>
    </w:p>
    <w:p w14:paraId="08CE50F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1AA7FD09">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93" w:name="_Toc409163547"/>
      <w:bookmarkStart w:id="94" w:name="_Toc22705"/>
      <w:r>
        <w:rPr>
          <w:rFonts w:hint="eastAsia" w:asciiTheme="minorEastAsia" w:hAnsiTheme="minorEastAsia" w:eastAsiaTheme="minorEastAsia" w:cstheme="minorEastAsia"/>
          <w:sz w:val="22"/>
          <w:szCs w:val="22"/>
        </w:rPr>
        <w:t>13.2　承包人的质量管理</w:t>
      </w:r>
      <w:bookmarkEnd w:id="93"/>
      <w:bookmarkEnd w:id="94"/>
    </w:p>
    <w:p w14:paraId="739C5FE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4BB60EC4">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95" w:name="_Toc409163548"/>
      <w:bookmarkStart w:id="96" w:name="_Toc9146"/>
      <w:r>
        <w:rPr>
          <w:rFonts w:hint="eastAsia" w:asciiTheme="minorEastAsia" w:hAnsiTheme="minorEastAsia" w:eastAsiaTheme="minorEastAsia" w:cstheme="minorEastAsia"/>
          <w:sz w:val="22"/>
          <w:szCs w:val="22"/>
        </w:rPr>
        <w:t>13.7　质量评定</w:t>
      </w:r>
      <w:bookmarkEnd w:id="95"/>
      <w:bookmarkEnd w:id="96"/>
    </w:p>
    <w:p w14:paraId="3D52BB1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13.7.1　发包人应组织承包人进行工程项目划分，并确定单位工程、主要分部工程、重要隐蔽单元工程和关键部位单元工程。</w:t>
      </w:r>
    </w:p>
    <w:p w14:paraId="0C4323D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13.7.2　工程实施过程中，单位工程、主要分部工程、重要隐蔽单元工程和关键部位单元工程的项目划分需要调整时，承包人应报发包人确认。</w:t>
      </w:r>
    </w:p>
    <w:p w14:paraId="3F897E3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13.7.3　承包人应在单元(工序)工程质量自评合格后，报监理人核定质量等级并签证认可。</w:t>
      </w:r>
    </w:p>
    <w:p w14:paraId="31B9F0A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7EE06BF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13.7.5　承包人应在分部工程质量自评合格后，报监理人复核和发包人认定。发包人负责按有关规定完成分部工程质量结论报工程质量监督机构核备(核定)手续。</w:t>
      </w:r>
    </w:p>
    <w:p w14:paraId="7C859E1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13.7.6　承包人应在单位工程质量自评合格后，报监理人复核和发包人认定。发包人负责按有关规定完成单位工程质量结论报工程质量监督机构核定手续。</w:t>
      </w:r>
    </w:p>
    <w:p w14:paraId="325491E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13.7.7　除专用合同条款另有约定外，工程质量等级分为合格和优良，应分别达到约定的标准。</w:t>
      </w:r>
    </w:p>
    <w:p w14:paraId="52EC7597">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97" w:name="_Toc6355"/>
      <w:bookmarkStart w:id="98" w:name="_Toc409163549"/>
      <w:r>
        <w:rPr>
          <w:rFonts w:hint="eastAsia" w:asciiTheme="minorEastAsia" w:hAnsiTheme="minorEastAsia" w:eastAsiaTheme="minorEastAsia" w:cstheme="minorEastAsia"/>
          <w:sz w:val="22"/>
          <w:szCs w:val="22"/>
        </w:rPr>
        <w:t>13.8　质量事故处理</w:t>
      </w:r>
      <w:bookmarkEnd w:id="97"/>
      <w:bookmarkEnd w:id="98"/>
    </w:p>
    <w:p w14:paraId="36033B0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13.8.1　发生质量事故时，承包人应及时向发包人和监理人报告。</w:t>
      </w:r>
    </w:p>
    <w:p w14:paraId="1B91E13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13.8.2　质量事故调查处理由发包人按相关规定履行手续，承包人应配合。</w:t>
      </w:r>
    </w:p>
    <w:p w14:paraId="0D2E583B">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99" w:name="_Toc26524"/>
      <w:bookmarkStart w:id="100" w:name="_Toc409163550"/>
      <w:r>
        <w:rPr>
          <w:rFonts w:hint="eastAsia" w:asciiTheme="minorEastAsia" w:hAnsiTheme="minorEastAsia" w:eastAsiaTheme="minorEastAsia" w:cstheme="minorEastAsia"/>
          <w:sz w:val="22"/>
          <w:szCs w:val="22"/>
        </w:rPr>
        <w:t>13.8.3　承包人应对质量缺陷进行备案。发包人委托监理人对质量缺陷备案情况进行监督检查并履行相关手续。</w:t>
      </w:r>
      <w:bookmarkEnd w:id="99"/>
      <w:bookmarkEnd w:id="100"/>
    </w:p>
    <w:p w14:paraId="686FDE1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13.8.4　除专用合同条款另有约定外，工程竣工验收时，发包人负责向竣工验收委员会汇报并提交历次质量缺陷处理的备案资料。</w:t>
      </w:r>
    </w:p>
    <w:p w14:paraId="5418D207">
      <w:pPr>
        <w:snapToGrid w:val="0"/>
        <w:spacing w:line="360" w:lineRule="auto"/>
        <w:rPr>
          <w:rFonts w:hint="eastAsia" w:asciiTheme="minorEastAsia" w:hAnsiTheme="minorEastAsia" w:eastAsiaTheme="minorEastAsia" w:cstheme="minorEastAsia"/>
          <w:b/>
          <w:sz w:val="22"/>
          <w:szCs w:val="22"/>
        </w:rPr>
      </w:pPr>
      <w:bookmarkStart w:id="101" w:name="第04章合同条款及格式0114"/>
      <w:bookmarkEnd w:id="101"/>
      <w:r>
        <w:rPr>
          <w:rFonts w:hint="eastAsia" w:asciiTheme="minorEastAsia" w:hAnsiTheme="minorEastAsia" w:eastAsiaTheme="minorEastAsia" w:cstheme="minorEastAsia"/>
          <w:b/>
          <w:sz w:val="22"/>
          <w:szCs w:val="22"/>
        </w:rPr>
        <w:t>14　试验和检验</w:t>
      </w:r>
    </w:p>
    <w:p w14:paraId="07C8290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2BAD0F6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14.1　材料、工程设备和工程的试验和检验</w:t>
      </w:r>
    </w:p>
    <w:p w14:paraId="0E6072CB">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02" w:name="_Toc409163551"/>
      <w:bookmarkStart w:id="103" w:name="_Toc7928"/>
      <w:r>
        <w:rPr>
          <w:rFonts w:hint="eastAsia" w:asciiTheme="minorEastAsia" w:hAnsiTheme="minorEastAsia" w:eastAsiaTheme="minorEastAsia" w:cstheme="minorEastAsia"/>
          <w:sz w:val="22"/>
          <w:szCs w:val="22"/>
        </w:rPr>
        <w:t>14.1.4　承包人应按相关规定和标准对水泥、钢材等原材料与中间产品质量进行检验，并报监理人复核。</w:t>
      </w:r>
      <w:bookmarkEnd w:id="102"/>
      <w:bookmarkEnd w:id="103"/>
    </w:p>
    <w:p w14:paraId="0EC1E17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5D925433">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04" w:name="_Toc17387"/>
      <w:bookmarkStart w:id="105" w:name="_Toc409163552"/>
      <w:r>
        <w:rPr>
          <w:rFonts w:hint="eastAsia" w:asciiTheme="minorEastAsia" w:hAnsiTheme="minorEastAsia" w:eastAsiaTheme="minorEastAsia" w:cstheme="minorEastAsia"/>
          <w:sz w:val="22"/>
          <w:szCs w:val="22"/>
        </w:rPr>
        <w:t>14.1.6　对专用合同条款约定的试块、试件及有关材料，监理人实行见证取样。见证取样资料由承包人制备，记录应真实齐全，监理人、承包人等参与见证取样人员均应在相关文件上签字。</w:t>
      </w:r>
      <w:bookmarkEnd w:id="104"/>
      <w:bookmarkEnd w:id="105"/>
    </w:p>
    <w:p w14:paraId="0BAB7149">
      <w:pPr>
        <w:snapToGrid w:val="0"/>
        <w:spacing w:line="360" w:lineRule="auto"/>
        <w:rPr>
          <w:rFonts w:hint="eastAsia" w:asciiTheme="minorEastAsia" w:hAnsiTheme="minorEastAsia" w:eastAsiaTheme="minorEastAsia" w:cstheme="minorEastAsia"/>
          <w:b/>
          <w:sz w:val="22"/>
          <w:szCs w:val="22"/>
        </w:rPr>
      </w:pPr>
      <w:bookmarkStart w:id="106" w:name="第04章合同条款及格式0115"/>
      <w:bookmarkEnd w:id="106"/>
      <w:r>
        <w:rPr>
          <w:rFonts w:hint="eastAsia" w:asciiTheme="minorEastAsia" w:hAnsiTheme="minorEastAsia" w:eastAsiaTheme="minorEastAsia" w:cstheme="minorEastAsia"/>
          <w:b/>
          <w:sz w:val="22"/>
          <w:szCs w:val="22"/>
        </w:rPr>
        <w:t>15　变更</w:t>
      </w:r>
    </w:p>
    <w:p w14:paraId="460674C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4EBA361A">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07" w:name="_Toc4457"/>
      <w:bookmarkStart w:id="108" w:name="_Toc409163553"/>
      <w:r>
        <w:rPr>
          <w:rFonts w:hint="eastAsia" w:asciiTheme="minorEastAsia" w:hAnsiTheme="minorEastAsia" w:eastAsiaTheme="minorEastAsia" w:cstheme="minorEastAsia"/>
          <w:sz w:val="22"/>
          <w:szCs w:val="22"/>
        </w:rPr>
        <w:t>15.1　变更的范围和内容</w:t>
      </w:r>
      <w:bookmarkEnd w:id="107"/>
      <w:bookmarkEnd w:id="108"/>
    </w:p>
    <w:p w14:paraId="37538B4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在履行合同中发生以下情形之一，应按照本款规定进行变更。</w:t>
      </w:r>
    </w:p>
    <w:p w14:paraId="4B5D2D3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(1)取消合同中任何一项工作，但被取消的工作不能转由发包人或其它人实施；</w:t>
      </w:r>
    </w:p>
    <w:p w14:paraId="4D1F99B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(2)改变合同中任何一项工作的质量或其它特性；</w:t>
      </w:r>
    </w:p>
    <w:p w14:paraId="00F8DAE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(3)改变合同工程的基线、标高、位置或尺寸；</w:t>
      </w:r>
    </w:p>
    <w:p w14:paraId="5089FF2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(4)改变合同中任何一项工作的施工时间或改变已批准的施工工艺或顺序；</w:t>
      </w:r>
    </w:p>
    <w:p w14:paraId="0F10662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(5)为完成工程需要追加的额外工作；</w:t>
      </w:r>
    </w:p>
    <w:p w14:paraId="795C4C6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(6)增加或减少专用合同条款中约定的关键项目工程量超过其工程总量的一定数量百分比。</w:t>
      </w:r>
    </w:p>
    <w:p w14:paraId="1627409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上述第(1)～(6)目的变更内容引起工程施工组织和进度计划发生实质性变动和影响其原定的价格时，才予调整该项目的单价。第(6)目情形下单价调整方式在专用合同条款中约定。</w:t>
      </w:r>
    </w:p>
    <w:p w14:paraId="7BBDAD45">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09" w:name="_Toc409163554"/>
      <w:bookmarkStart w:id="110" w:name="_Toc23454"/>
      <w:r>
        <w:rPr>
          <w:rFonts w:hint="eastAsia" w:asciiTheme="minorEastAsia" w:hAnsiTheme="minorEastAsia" w:eastAsiaTheme="minorEastAsia" w:cstheme="minorEastAsia"/>
          <w:sz w:val="22"/>
          <w:szCs w:val="22"/>
        </w:rPr>
        <w:t>15.8　暂估价</w:t>
      </w:r>
      <w:bookmarkEnd w:id="109"/>
      <w:bookmarkEnd w:id="110"/>
    </w:p>
    <w:p w14:paraId="142BFFA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B59B8A3">
      <w:pPr>
        <w:snapToGrid w:val="0"/>
        <w:spacing w:line="360" w:lineRule="auto"/>
        <w:rPr>
          <w:rFonts w:hint="eastAsia" w:asciiTheme="minorEastAsia" w:hAnsiTheme="minorEastAsia" w:eastAsiaTheme="minorEastAsia" w:cstheme="minorEastAsia"/>
          <w:b/>
          <w:sz w:val="22"/>
          <w:szCs w:val="22"/>
        </w:rPr>
      </w:pPr>
      <w:bookmarkStart w:id="111" w:name="第04章合同条款及格式0116"/>
      <w:bookmarkEnd w:id="111"/>
      <w:r>
        <w:rPr>
          <w:rFonts w:hint="eastAsia" w:asciiTheme="minorEastAsia" w:hAnsiTheme="minorEastAsia" w:eastAsiaTheme="minorEastAsia" w:cstheme="minorEastAsia"/>
          <w:b/>
          <w:sz w:val="22"/>
          <w:szCs w:val="22"/>
        </w:rPr>
        <w:t>16　价格调整</w:t>
      </w:r>
    </w:p>
    <w:p w14:paraId="643A5C8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12B26200">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12" w:name="_Toc28134"/>
      <w:bookmarkStart w:id="113" w:name="_Toc409163555"/>
      <w:r>
        <w:rPr>
          <w:rFonts w:hint="eastAsia" w:asciiTheme="minorEastAsia" w:hAnsiTheme="minorEastAsia" w:eastAsiaTheme="minorEastAsia" w:cstheme="minorEastAsia"/>
          <w:sz w:val="22"/>
          <w:szCs w:val="22"/>
        </w:rPr>
        <w:t>16.1　物价波动引起的价格调整</w:t>
      </w:r>
      <w:bookmarkEnd w:id="112"/>
      <w:bookmarkEnd w:id="113"/>
    </w:p>
    <w:p w14:paraId="2BEDE03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由于物价波动原因引起合同价格需要调整的，其价格调整方式在专用合同条款中约定。</w:t>
      </w:r>
    </w:p>
    <w:p w14:paraId="0D2F10D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16.1.2　采用造价信息调整价格差额</w:t>
      </w:r>
    </w:p>
    <w:p w14:paraId="0839024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FB50E7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工程造价信息的来源以及价格调整的项目和系数在专用合同条款中约定。</w:t>
      </w:r>
    </w:p>
    <w:p w14:paraId="36E899E7">
      <w:pPr>
        <w:snapToGrid w:val="0"/>
        <w:spacing w:line="360" w:lineRule="auto"/>
        <w:outlineLvl w:val="0"/>
        <w:rPr>
          <w:rFonts w:hint="eastAsia" w:asciiTheme="minorEastAsia" w:hAnsiTheme="minorEastAsia" w:eastAsiaTheme="minorEastAsia" w:cstheme="minorEastAsia"/>
          <w:b/>
          <w:sz w:val="22"/>
          <w:szCs w:val="22"/>
        </w:rPr>
      </w:pPr>
      <w:bookmarkStart w:id="114" w:name="第04章合同条款及格式0117"/>
      <w:bookmarkEnd w:id="114"/>
      <w:bookmarkStart w:id="115" w:name="_Toc2439"/>
      <w:bookmarkStart w:id="116" w:name="_Toc409163556"/>
      <w:r>
        <w:rPr>
          <w:rFonts w:hint="eastAsia" w:asciiTheme="minorEastAsia" w:hAnsiTheme="minorEastAsia" w:eastAsiaTheme="minorEastAsia" w:cstheme="minorEastAsia"/>
          <w:b/>
          <w:sz w:val="22"/>
          <w:szCs w:val="22"/>
        </w:rPr>
        <w:t>17　计量与支付</w:t>
      </w:r>
      <w:bookmarkEnd w:id="115"/>
      <w:bookmarkEnd w:id="116"/>
    </w:p>
    <w:p w14:paraId="5E393B6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73C381BF">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17" w:name="_Toc4009"/>
      <w:bookmarkStart w:id="118" w:name="_Toc409163557"/>
      <w:r>
        <w:rPr>
          <w:rFonts w:hint="eastAsia" w:asciiTheme="minorEastAsia" w:hAnsiTheme="minorEastAsia" w:eastAsiaTheme="minorEastAsia" w:cstheme="minorEastAsia"/>
          <w:sz w:val="22"/>
          <w:szCs w:val="22"/>
        </w:rPr>
        <w:t>17.1　计量</w:t>
      </w:r>
      <w:bookmarkEnd w:id="117"/>
      <w:bookmarkEnd w:id="118"/>
    </w:p>
    <w:p w14:paraId="1F5F081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17.1.2　计量方法</w:t>
      </w:r>
    </w:p>
    <w:p w14:paraId="0D404D0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结算工程量应按工程量清单中约定的方法计量。</w:t>
      </w:r>
    </w:p>
    <w:p w14:paraId="6B08C71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17.1.5　总价子目的计量</w:t>
      </w:r>
    </w:p>
    <w:p w14:paraId="1EFF10D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总价子目的分解和计量按照下述约定进行。</w:t>
      </w:r>
    </w:p>
    <w:p w14:paraId="77ED45E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(1)总价子目的计量和支付应以总价为基础，不因第16.1款中的因素而进行调整。承包人实际完成的工程量，是进行工程目标管理和控制进度支付的依据。</w:t>
      </w:r>
    </w:p>
    <w:p w14:paraId="32CD520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7164A1A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(3)监理人对承包人提交的上述资料进行复核，以确定分阶段实际完成的工程量和工程形象目标。对其有异议的，可要求承包人按第8.2款约定进行共同复核和抽样复测。</w:t>
      </w:r>
    </w:p>
    <w:p w14:paraId="565A5EC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(4)除按照第15条约定的变更外，总价子目的工程量是承包人用于结算的最终工程量。</w:t>
      </w:r>
    </w:p>
    <w:p w14:paraId="18C83D0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17.2　预付款：</w:t>
      </w:r>
      <w:r>
        <w:rPr>
          <w:rFonts w:hint="eastAsia" w:asciiTheme="minorEastAsia" w:hAnsiTheme="minorEastAsia" w:eastAsiaTheme="minorEastAsia" w:cstheme="minorEastAsia"/>
          <w:color w:val="000000"/>
          <w:sz w:val="22"/>
          <w:szCs w:val="22"/>
        </w:rPr>
        <w:t>该项目不设预付款</w:t>
      </w:r>
    </w:p>
    <w:p w14:paraId="363BDC0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17.3　质量保证金</w:t>
      </w:r>
    </w:p>
    <w:p w14:paraId="22515F0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17.3.1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0519176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17.3.2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7B7F02B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19" w:name="_Toc16615"/>
      <w:bookmarkStart w:id="120" w:name="_Toc409163558"/>
      <w:r>
        <w:rPr>
          <w:rFonts w:hint="eastAsia" w:asciiTheme="minorEastAsia" w:hAnsiTheme="minorEastAsia" w:eastAsiaTheme="minorEastAsia" w:cstheme="minorEastAsia"/>
          <w:sz w:val="22"/>
          <w:szCs w:val="22"/>
        </w:rPr>
        <w:t>17.4　竣工结算(完工结算)</w:t>
      </w:r>
      <w:bookmarkEnd w:id="119"/>
      <w:bookmarkEnd w:id="120"/>
    </w:p>
    <w:p w14:paraId="4169C8B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rPr>
        <w:t xml:space="preserve">  </w:t>
      </w:r>
      <w:r>
        <w:rPr>
          <w:rFonts w:hint="eastAsia" w:asciiTheme="minorEastAsia" w:hAnsiTheme="minorEastAsia" w:eastAsiaTheme="minorEastAsia" w:cstheme="minorEastAsia"/>
          <w:sz w:val="22"/>
          <w:szCs w:val="22"/>
        </w:rPr>
        <w:t>　　17.4.1　竣工(完工)付款申请单</w:t>
      </w:r>
    </w:p>
    <w:p w14:paraId="2F82D8E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5CDD573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(2)监理人对完工付款申请单有异议的，有权要求承包人进行修正和提供补充资料。经监理人和承包人协商后，由承包人向监理人提交修正后的完工付款申请单。</w:t>
      </w:r>
    </w:p>
    <w:p w14:paraId="724E05E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17.4.2　竣工(完工)付款证书及支付时间</w:t>
      </w:r>
    </w:p>
    <w:p w14:paraId="4B1B23D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656B207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(2)发包人应在监理人出具完工付款证书后的14天内，将应支付款支付给承包人。发包人不按期支付的，按第17.3.3(2)目的约定，将逾期付款违约金支付给承包人。</w:t>
      </w:r>
    </w:p>
    <w:p w14:paraId="3236FE76">
      <w:pPr>
        <w:snapToGrid w:val="0"/>
        <w:spacing w:line="360" w:lineRule="auto"/>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sz w:val="22"/>
          <w:szCs w:val="22"/>
        </w:rPr>
        <w:t>　　(3)承包人对发包人签认的完工付款证书有异议的，发包人可出具完工付款申请单中承包人已同意部分的临时付款证书。存在争议的部分，按第24条的约定办理。</w:t>
      </w:r>
    </w:p>
    <w:p w14:paraId="128AF4B6">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21" w:name="_Toc13870"/>
      <w:bookmarkStart w:id="122" w:name="_Toc409163559"/>
      <w:r>
        <w:rPr>
          <w:rFonts w:hint="eastAsia" w:asciiTheme="minorEastAsia" w:hAnsiTheme="minorEastAsia" w:eastAsiaTheme="minorEastAsia" w:cstheme="minorEastAsia"/>
          <w:sz w:val="22"/>
          <w:szCs w:val="22"/>
        </w:rPr>
        <w:t>17.5　最终结清</w:t>
      </w:r>
      <w:bookmarkEnd w:id="121"/>
      <w:bookmarkEnd w:id="122"/>
    </w:p>
    <w:p w14:paraId="6A71074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rPr>
        <w:t>“最终结算价以审计机关竣工决算审定价为准”</w:t>
      </w:r>
    </w:p>
    <w:p w14:paraId="1868F9D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17.6.1　最终结清申请单</w:t>
      </w:r>
    </w:p>
    <w:p w14:paraId="5F3752F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(1)工程质量保修责任终止证书签发后，承包人应按监理人批准的格式提交最终结清申请单。提交最终结清申请单的份数在专用合同条款中约定。</w:t>
      </w:r>
    </w:p>
    <w:p w14:paraId="7DF58DD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(2)发包人对最终结清申请单内容有异议的，有权要求承包人进行修正和提供补充资料，由承包人向监理人提交修正后的最终结清申请单。</w:t>
      </w:r>
    </w:p>
    <w:p w14:paraId="2AC40BB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23" w:name="_Toc409163560"/>
      <w:bookmarkStart w:id="124" w:name="_Toc32641"/>
      <w:r>
        <w:rPr>
          <w:rFonts w:hint="eastAsia" w:asciiTheme="minorEastAsia" w:hAnsiTheme="minorEastAsia" w:eastAsiaTheme="minorEastAsia" w:cstheme="minorEastAsia"/>
          <w:sz w:val="22"/>
          <w:szCs w:val="22"/>
        </w:rPr>
        <w:t>17.7　竣工财务决算</w:t>
      </w:r>
      <w:bookmarkEnd w:id="123"/>
      <w:bookmarkEnd w:id="124"/>
    </w:p>
    <w:p w14:paraId="66645E1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发包人负责编制本工程项目竣工财务决算，承包人应按专用合同条款的约定提供竣工财务决算编制所需的相关材料。</w:t>
      </w:r>
    </w:p>
    <w:p w14:paraId="634AD118">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25" w:name="_Toc7046"/>
      <w:bookmarkStart w:id="126" w:name="_Toc409163561"/>
      <w:r>
        <w:rPr>
          <w:rFonts w:hint="eastAsia" w:asciiTheme="minorEastAsia" w:hAnsiTheme="minorEastAsia" w:eastAsiaTheme="minorEastAsia" w:cstheme="minorEastAsia"/>
          <w:sz w:val="22"/>
          <w:szCs w:val="22"/>
        </w:rPr>
        <w:t>17.8　竣工审计</w:t>
      </w:r>
      <w:bookmarkEnd w:id="125"/>
      <w:bookmarkEnd w:id="126"/>
    </w:p>
    <w:p w14:paraId="01C1458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发包人负责完成本工程竣工审计手续，承包人应完成相关配合工作。</w:t>
      </w:r>
    </w:p>
    <w:p w14:paraId="45130623">
      <w:pPr>
        <w:snapToGrid w:val="0"/>
        <w:spacing w:line="360" w:lineRule="auto"/>
        <w:rPr>
          <w:rFonts w:hint="eastAsia" w:asciiTheme="minorEastAsia" w:hAnsiTheme="minorEastAsia" w:eastAsiaTheme="minorEastAsia" w:cstheme="minorEastAsia"/>
          <w:b/>
          <w:sz w:val="22"/>
          <w:szCs w:val="22"/>
        </w:rPr>
      </w:pPr>
      <w:bookmarkStart w:id="127" w:name="第04章合同条款及格式0118"/>
      <w:bookmarkEnd w:id="127"/>
      <w:r>
        <w:rPr>
          <w:rFonts w:hint="eastAsia" w:asciiTheme="minorEastAsia" w:hAnsiTheme="minorEastAsia" w:eastAsiaTheme="minorEastAsia" w:cstheme="minorEastAsia"/>
          <w:b/>
          <w:sz w:val="22"/>
          <w:szCs w:val="22"/>
        </w:rPr>
        <w:t>18　竣工验收(验收)</w:t>
      </w:r>
    </w:p>
    <w:p w14:paraId="45E5A32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7E0CEDF2">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28" w:name="_Toc409163562"/>
      <w:bookmarkStart w:id="129" w:name="_Toc17708"/>
      <w:r>
        <w:rPr>
          <w:rFonts w:hint="eastAsia" w:asciiTheme="minorEastAsia" w:hAnsiTheme="minorEastAsia" w:eastAsiaTheme="minorEastAsia" w:cstheme="minorEastAsia"/>
          <w:sz w:val="22"/>
          <w:szCs w:val="22"/>
        </w:rPr>
        <w:t>18.1　验收工作分类</w:t>
      </w:r>
      <w:bookmarkEnd w:id="128"/>
      <w:bookmarkEnd w:id="129"/>
    </w:p>
    <w:p w14:paraId="2B0C9E5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D5776E0">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30" w:name="_Toc24069"/>
      <w:bookmarkStart w:id="131" w:name="_Toc409163563"/>
      <w:r>
        <w:rPr>
          <w:rFonts w:hint="eastAsia" w:asciiTheme="minorEastAsia" w:hAnsiTheme="minorEastAsia" w:eastAsiaTheme="minorEastAsia" w:cstheme="minorEastAsia"/>
          <w:sz w:val="22"/>
          <w:szCs w:val="22"/>
        </w:rPr>
        <w:t>18.2　分部工程验收</w:t>
      </w:r>
      <w:bookmarkEnd w:id="130"/>
      <w:bookmarkEnd w:id="131"/>
    </w:p>
    <w:p w14:paraId="3F97432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18.2.1　分部工程具备验收条件时，承包人应向发包人提交验收申请报告，发包人应在收到验收申请报告之日起10个工作日内决定是否同意进行验收。</w:t>
      </w:r>
    </w:p>
    <w:p w14:paraId="281569D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18.2.2　除专用合同条款另有约定外，监理人主持分部工程验收，承包人应派符合条件的代表参加验收工作组。</w:t>
      </w:r>
    </w:p>
    <w:p w14:paraId="6C389F9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18.2.3　分部工程验收通过后，发包人向承包人发送分部工程验收鉴定书。承包人应及时完成分部工程验收鉴定书载明应由承包人处理的遗留问题。</w:t>
      </w:r>
    </w:p>
    <w:p w14:paraId="799522AB">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32" w:name="_Toc409163564"/>
      <w:bookmarkStart w:id="133" w:name="_Toc25929"/>
      <w:r>
        <w:rPr>
          <w:rFonts w:hint="eastAsia" w:asciiTheme="minorEastAsia" w:hAnsiTheme="minorEastAsia" w:eastAsiaTheme="minorEastAsia" w:cstheme="minorEastAsia"/>
          <w:sz w:val="22"/>
          <w:szCs w:val="22"/>
        </w:rPr>
        <w:t>18.3　单位工程验收</w:t>
      </w:r>
      <w:bookmarkEnd w:id="132"/>
      <w:bookmarkEnd w:id="133"/>
    </w:p>
    <w:p w14:paraId="53CB358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18.3.1　单位工程具备验收条件时，承包人应向发包人提交验收申请报告，发包人应在收到验收申请报告之日起10个工作日内决定是否同意进行验收。</w:t>
      </w:r>
    </w:p>
    <w:p w14:paraId="2E726C7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18.3.2　发包人主持单位工程验收，承包人应派符合条件的代表参加验收工作组。</w:t>
      </w:r>
    </w:p>
    <w:p w14:paraId="0F2258F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18.3.3　单位工程验收通过后，发包人向承包人发送单位工程验收鉴定书。承包人应及时完成单位工程验收鉴定书载明应由承包人处理的遗留问题。</w:t>
      </w:r>
    </w:p>
    <w:p w14:paraId="6C9125C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18.3.4　需提前投入使用的单位工程在专用合同条款中明确。</w:t>
      </w:r>
    </w:p>
    <w:p w14:paraId="1A1E04F1">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34" w:name="_Toc409163565"/>
      <w:bookmarkStart w:id="135" w:name="_Toc24705"/>
      <w:r>
        <w:rPr>
          <w:rFonts w:hint="eastAsia" w:asciiTheme="minorEastAsia" w:hAnsiTheme="minorEastAsia" w:eastAsiaTheme="minorEastAsia" w:cstheme="minorEastAsia"/>
          <w:sz w:val="22"/>
          <w:szCs w:val="22"/>
        </w:rPr>
        <w:t>18.4　合同工程完工验收</w:t>
      </w:r>
      <w:bookmarkEnd w:id="134"/>
      <w:bookmarkEnd w:id="135"/>
    </w:p>
    <w:p w14:paraId="6F9FA2F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18.4.1　合同工程具备验收条件时，承包人应向发包人提交验收申请报告，发包人应在收到验收申请报告之日起20个工作日内决定是否同意进行验收。</w:t>
      </w:r>
    </w:p>
    <w:p w14:paraId="2337021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18.4.2　发包人主持合同工程完工验收，承包人应派代表参加验收工作组。</w:t>
      </w:r>
    </w:p>
    <w:p w14:paraId="358EA8B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18.4.3　合同工程完工验收通过后，发包人向承包人发送合同工程完工验收鉴定书。承包人应及时完成合同工程完工验收鉴定书载明应由承包人处理的遗留问题。</w:t>
      </w:r>
    </w:p>
    <w:p w14:paraId="1AE04F9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4F3F12DC">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36" w:name="_Toc26750"/>
      <w:bookmarkStart w:id="137" w:name="_Toc409163566"/>
      <w:r>
        <w:rPr>
          <w:rFonts w:hint="eastAsia" w:asciiTheme="minorEastAsia" w:hAnsiTheme="minorEastAsia" w:eastAsiaTheme="minorEastAsia" w:cstheme="minorEastAsia"/>
          <w:sz w:val="22"/>
          <w:szCs w:val="22"/>
        </w:rPr>
        <w:t>18.5　阶段验收</w:t>
      </w:r>
      <w:bookmarkEnd w:id="136"/>
      <w:bookmarkEnd w:id="137"/>
    </w:p>
    <w:p w14:paraId="45B0125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18.5.1　工程建设具备阶段验收条件时，发包人负责提出阶段验收申请报告。承包人应派代表参加阶段验收，并作为被验收单位在验收鉴定书上签字。阶段验收的具体类别在专用合同条款中约定。</w:t>
      </w:r>
    </w:p>
    <w:p w14:paraId="0A23C43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18.5.2　承包人应及时完成阶段验收鉴定书载明应由承包人处理的遗留问题。</w:t>
      </w:r>
    </w:p>
    <w:p w14:paraId="448A588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38" w:name="_Toc409163567"/>
      <w:bookmarkStart w:id="139" w:name="_Toc7559"/>
      <w:r>
        <w:rPr>
          <w:rFonts w:hint="eastAsia" w:asciiTheme="minorEastAsia" w:hAnsiTheme="minorEastAsia" w:eastAsiaTheme="minorEastAsia" w:cstheme="minorEastAsia"/>
          <w:sz w:val="22"/>
          <w:szCs w:val="22"/>
        </w:rPr>
        <w:t>18.6　专项验收</w:t>
      </w:r>
      <w:bookmarkEnd w:id="138"/>
      <w:bookmarkEnd w:id="139"/>
    </w:p>
    <w:p w14:paraId="74550B1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18.6.1　发包人负责提出专项验收申请报告。承包人应按专项验收的相关规定参加专项验收。专项验收的具体类别在专用合同条款中约定。</w:t>
      </w:r>
    </w:p>
    <w:p w14:paraId="33B08E8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18.6.2　承包人应及时完成专项验收成果性文件载明应由承包人处理的遗留问题。</w:t>
      </w:r>
    </w:p>
    <w:p w14:paraId="5EF01658">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40" w:name="_Toc409163568"/>
      <w:bookmarkStart w:id="141" w:name="_Toc10656"/>
      <w:r>
        <w:rPr>
          <w:rFonts w:hint="eastAsia" w:asciiTheme="minorEastAsia" w:hAnsiTheme="minorEastAsia" w:eastAsiaTheme="minorEastAsia" w:cstheme="minorEastAsia"/>
          <w:sz w:val="22"/>
          <w:szCs w:val="22"/>
        </w:rPr>
        <w:t>18.7　竣工验收</w:t>
      </w:r>
      <w:bookmarkEnd w:id="140"/>
      <w:bookmarkEnd w:id="141"/>
    </w:p>
    <w:p w14:paraId="5854940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18.7.1　申请竣工验收前，发包人组织竣工验收自查，承包人应派代表参加。</w:t>
      </w:r>
    </w:p>
    <w:p w14:paraId="4253026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18.7.2　竣工验收分为竣工技术预验收和竣工验收两个阶段。发包人应通知承包人派代表参加技术预验收和竣工验收。</w:t>
      </w:r>
    </w:p>
    <w:p w14:paraId="02021C8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18.7.3　专用合同条款约定工程需要进行技术鉴定的，承包人应提交有关资料并完成配合工作。</w:t>
      </w:r>
    </w:p>
    <w:p w14:paraId="6D6029E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18.7.4　竣工验收需要进行质量检测的，所需费用由发包人承担，但因承包人原因造成质量不合格的除外。</w:t>
      </w:r>
    </w:p>
    <w:p w14:paraId="17C39D4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18.7.5　工程质量保修期满以及竣工验收遗留问题和尾工处理完成并通过验收后，发包人负责将处理情况和验收成果报送竣工验收主持单位，申请领取工程竣工证书，并发送承包人。</w:t>
      </w:r>
    </w:p>
    <w:p w14:paraId="7902B394">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42" w:name="_Toc409163569"/>
      <w:bookmarkStart w:id="143" w:name="_Toc3368"/>
      <w:r>
        <w:rPr>
          <w:rFonts w:hint="eastAsia" w:asciiTheme="minorEastAsia" w:hAnsiTheme="minorEastAsia" w:eastAsiaTheme="minorEastAsia" w:cstheme="minorEastAsia"/>
          <w:sz w:val="22"/>
          <w:szCs w:val="22"/>
        </w:rPr>
        <w:t>18.8　施工期运行</w:t>
      </w:r>
      <w:bookmarkEnd w:id="142"/>
      <w:bookmarkEnd w:id="143"/>
    </w:p>
    <w:p w14:paraId="4D9D986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19BA557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18.8.2　在施工期运行中发现工程或工程设备损坏或存在缺陷的，由承包人按第19.2款约定进行修复。</w:t>
      </w:r>
    </w:p>
    <w:p w14:paraId="2D17782B">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44" w:name="_Toc409163570"/>
      <w:bookmarkStart w:id="145" w:name="_Toc28353"/>
      <w:r>
        <w:rPr>
          <w:rFonts w:hint="eastAsia" w:asciiTheme="minorEastAsia" w:hAnsiTheme="minorEastAsia" w:eastAsiaTheme="minorEastAsia" w:cstheme="minorEastAsia"/>
          <w:sz w:val="22"/>
          <w:szCs w:val="22"/>
        </w:rPr>
        <w:t>18.9　试运行</w:t>
      </w:r>
      <w:bookmarkEnd w:id="144"/>
      <w:bookmarkEnd w:id="145"/>
    </w:p>
    <w:p w14:paraId="20845A2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18.9.1　除专用合同条款另有约定外，承包人应按规定进行工程及工程设备试运行，负责提供试运行所需的人员、器材和必要的条件，并承担全部试运行费用。</w:t>
      </w:r>
    </w:p>
    <w:p w14:paraId="58EE6A1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653607B0">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46" w:name="_Toc409163571"/>
      <w:bookmarkStart w:id="147" w:name="_Toc31318"/>
      <w:r>
        <w:rPr>
          <w:rFonts w:hint="eastAsia" w:asciiTheme="minorEastAsia" w:hAnsiTheme="minorEastAsia" w:eastAsiaTheme="minorEastAsia" w:cstheme="minorEastAsia"/>
          <w:sz w:val="22"/>
          <w:szCs w:val="22"/>
        </w:rPr>
        <w:t>18.10　竣工(完工)清场</w:t>
      </w:r>
      <w:bookmarkEnd w:id="146"/>
      <w:bookmarkEnd w:id="147"/>
    </w:p>
    <w:p w14:paraId="2C0BFEA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18.10.1　工程项目竣工(完工)清场的工作范围和内容在技术标准和要求(合同技术条款)中约定。</w:t>
      </w:r>
    </w:p>
    <w:p w14:paraId="34444F6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18.10.2　承包人未按监理人的要求恢复临时占地，或者场地清理未达到合同约定的，发包人有权委托其它人恢复或清理，所发生的金额从拟支付给承包人的款项中扣除。</w:t>
      </w:r>
    </w:p>
    <w:p w14:paraId="501F2484">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48" w:name="_Toc1964"/>
      <w:bookmarkStart w:id="149" w:name="_Toc409163572"/>
      <w:r>
        <w:rPr>
          <w:rFonts w:hint="eastAsia" w:asciiTheme="minorEastAsia" w:hAnsiTheme="minorEastAsia" w:eastAsiaTheme="minorEastAsia" w:cstheme="minorEastAsia"/>
          <w:sz w:val="22"/>
          <w:szCs w:val="22"/>
        </w:rPr>
        <w:t>18.11　施工队伍的撤离</w:t>
      </w:r>
      <w:bookmarkEnd w:id="148"/>
      <w:bookmarkEnd w:id="149"/>
    </w:p>
    <w:p w14:paraId="427A2B7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4910F879">
      <w:pPr>
        <w:snapToGrid w:val="0"/>
        <w:spacing w:line="360" w:lineRule="auto"/>
        <w:outlineLvl w:val="0"/>
        <w:rPr>
          <w:rFonts w:hint="eastAsia" w:asciiTheme="minorEastAsia" w:hAnsiTheme="minorEastAsia" w:eastAsiaTheme="minorEastAsia" w:cstheme="minorEastAsia"/>
          <w:b/>
          <w:sz w:val="22"/>
          <w:szCs w:val="22"/>
        </w:rPr>
      </w:pPr>
      <w:bookmarkStart w:id="150" w:name="第04章合同条款及格式0119"/>
      <w:bookmarkEnd w:id="150"/>
      <w:bookmarkStart w:id="151" w:name="_Toc409163573"/>
      <w:bookmarkStart w:id="152" w:name="_Toc19421"/>
      <w:r>
        <w:rPr>
          <w:rFonts w:hint="eastAsia" w:asciiTheme="minorEastAsia" w:hAnsiTheme="minorEastAsia" w:eastAsiaTheme="minorEastAsia" w:cstheme="minorEastAsia"/>
          <w:b/>
          <w:sz w:val="22"/>
          <w:szCs w:val="22"/>
        </w:rPr>
        <w:t>19　缺陷责任与保修责任</w:t>
      </w:r>
      <w:bookmarkEnd w:id="151"/>
      <w:bookmarkEnd w:id="152"/>
    </w:p>
    <w:p w14:paraId="1F5C961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0EE9E57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53" w:name="_Toc1375"/>
      <w:bookmarkStart w:id="154" w:name="_Toc409163574"/>
      <w:r>
        <w:rPr>
          <w:rFonts w:hint="eastAsia" w:asciiTheme="minorEastAsia" w:hAnsiTheme="minorEastAsia" w:eastAsiaTheme="minorEastAsia" w:cstheme="minorEastAsia"/>
          <w:sz w:val="22"/>
          <w:szCs w:val="22"/>
        </w:rPr>
        <w:t>19.1　缺陷责任期(工程质量保修期)的起算时间</w:t>
      </w:r>
      <w:bookmarkEnd w:id="153"/>
      <w:bookmarkEnd w:id="154"/>
    </w:p>
    <w:p w14:paraId="62DE00E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176B288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19.6　缺陷责任期终止证书(工程质量保修责任终止证书)</w:t>
      </w:r>
    </w:p>
    <w:p w14:paraId="7543A6F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合同工程完工验收或投入使用验收后，发包人与承包人应办理工程交接手续，承包人应向发包人递交工程质量保修书。</w:t>
      </w:r>
    </w:p>
    <w:p w14:paraId="648039EB">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缺陷责任期(工程质量保修期)满后30个工作日内，发包人应向承包人颁发工程质量保修责任终止证书，并退还剩余的质量保证金，但保修责任范围内的质量缺陷未处理完成的应除外。</w:t>
      </w:r>
    </w:p>
    <w:p w14:paraId="3E349603">
      <w:pPr>
        <w:snapToGrid w:val="0"/>
        <w:spacing w:line="360" w:lineRule="auto"/>
        <w:outlineLvl w:val="0"/>
        <w:rPr>
          <w:rFonts w:hint="eastAsia" w:asciiTheme="minorEastAsia" w:hAnsiTheme="minorEastAsia" w:eastAsiaTheme="minorEastAsia" w:cstheme="minorEastAsia"/>
          <w:b/>
          <w:sz w:val="22"/>
          <w:szCs w:val="22"/>
        </w:rPr>
      </w:pPr>
      <w:bookmarkStart w:id="155" w:name="第04章合同条款及格式0120"/>
      <w:bookmarkEnd w:id="155"/>
      <w:bookmarkStart w:id="156" w:name="_Toc9860"/>
      <w:bookmarkStart w:id="157" w:name="_Toc409163575"/>
      <w:r>
        <w:rPr>
          <w:rFonts w:hint="eastAsia" w:asciiTheme="minorEastAsia" w:hAnsiTheme="minorEastAsia" w:eastAsiaTheme="minorEastAsia" w:cstheme="minorEastAsia"/>
          <w:b/>
          <w:sz w:val="22"/>
          <w:szCs w:val="22"/>
        </w:rPr>
        <w:t>20　保险</w:t>
      </w:r>
      <w:bookmarkEnd w:id="156"/>
      <w:bookmarkEnd w:id="157"/>
    </w:p>
    <w:p w14:paraId="40E2C56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5E48E8E9">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20.6　对各项保险的一般要求</w:t>
      </w:r>
    </w:p>
    <w:p w14:paraId="402831C7">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20.6.4　保险金不足以补偿损失时，应由承包人和发包人各自负责补偿的范围和金额在专用合同条款中约定。</w:t>
      </w:r>
    </w:p>
    <w:p w14:paraId="7A398C6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20.7　风险责任的转移</w:t>
      </w:r>
    </w:p>
    <w:p w14:paraId="1C27C720">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工程通过合同工程完工验收并移交给发包人后，原由承包人应承担的风险责任，以及保险的责任、权利和义务同时转移给发包人，但承包人在缺陷责任期(工程质量保修期)前造成损失和损坏情形除外。</w:t>
      </w:r>
    </w:p>
    <w:p w14:paraId="410315F2">
      <w:pPr>
        <w:snapToGrid w:val="0"/>
        <w:spacing w:line="360" w:lineRule="auto"/>
        <w:outlineLvl w:val="0"/>
        <w:rPr>
          <w:rFonts w:hint="eastAsia" w:asciiTheme="minorEastAsia" w:hAnsiTheme="minorEastAsia" w:eastAsiaTheme="minorEastAsia" w:cstheme="minorEastAsia"/>
          <w:b/>
          <w:sz w:val="22"/>
          <w:szCs w:val="22"/>
        </w:rPr>
      </w:pPr>
      <w:bookmarkStart w:id="158" w:name="第04章合同条款及格式0121"/>
      <w:bookmarkEnd w:id="158"/>
      <w:bookmarkStart w:id="159" w:name="_Toc31303"/>
      <w:bookmarkStart w:id="160" w:name="_Toc409163576"/>
      <w:r>
        <w:rPr>
          <w:rFonts w:hint="eastAsia" w:asciiTheme="minorEastAsia" w:hAnsiTheme="minorEastAsia" w:eastAsiaTheme="minorEastAsia" w:cstheme="minorEastAsia"/>
          <w:b/>
          <w:sz w:val="22"/>
          <w:szCs w:val="22"/>
        </w:rPr>
        <w:t>21　不可抗力</w:t>
      </w:r>
      <w:bookmarkEnd w:id="159"/>
      <w:bookmarkEnd w:id="160"/>
    </w:p>
    <w:p w14:paraId="54A8FD6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w:t>
      </w:r>
    </w:p>
    <w:p w14:paraId="7F501755">
      <w:pPr>
        <w:snapToGrid w:val="0"/>
        <w:spacing w:line="360" w:lineRule="auto"/>
        <w:outlineLvl w:val="0"/>
        <w:rPr>
          <w:rFonts w:hint="eastAsia" w:asciiTheme="minorEastAsia" w:hAnsiTheme="minorEastAsia" w:eastAsiaTheme="minorEastAsia" w:cstheme="minorEastAsia"/>
          <w:b/>
          <w:sz w:val="22"/>
          <w:szCs w:val="22"/>
        </w:rPr>
      </w:pPr>
      <w:bookmarkStart w:id="161" w:name="第04章合同条款及格式0122"/>
      <w:bookmarkEnd w:id="161"/>
      <w:bookmarkStart w:id="162" w:name="_Toc409163577"/>
      <w:bookmarkStart w:id="163" w:name="_Toc14553"/>
      <w:r>
        <w:rPr>
          <w:rFonts w:hint="eastAsia" w:asciiTheme="minorEastAsia" w:hAnsiTheme="minorEastAsia" w:eastAsiaTheme="minorEastAsia" w:cstheme="minorEastAsia"/>
          <w:b/>
          <w:sz w:val="22"/>
          <w:szCs w:val="22"/>
        </w:rPr>
        <w:t>22　违约</w:t>
      </w:r>
      <w:bookmarkEnd w:id="162"/>
      <w:bookmarkEnd w:id="163"/>
    </w:p>
    <w:p w14:paraId="00AD300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1C4B945E">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64" w:name="_Toc409163578"/>
      <w:bookmarkStart w:id="165" w:name="_Toc28990"/>
      <w:r>
        <w:rPr>
          <w:rFonts w:hint="eastAsia" w:asciiTheme="minorEastAsia" w:hAnsiTheme="minorEastAsia" w:eastAsiaTheme="minorEastAsia" w:cstheme="minorEastAsia"/>
          <w:sz w:val="22"/>
          <w:szCs w:val="22"/>
        </w:rPr>
        <w:t>22.1　承包人违约</w:t>
      </w:r>
      <w:bookmarkEnd w:id="164"/>
      <w:bookmarkEnd w:id="165"/>
    </w:p>
    <w:p w14:paraId="49D2345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22.1.1　承包人违约的情形</w:t>
      </w:r>
    </w:p>
    <w:p w14:paraId="435E57B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在履行合同过程中发生的下列情况属承包人违约：</w:t>
      </w:r>
    </w:p>
    <w:p w14:paraId="497C17E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(1)承包人违反第1.8款或第4.3款的约定，私自将合同的全部或部分权利转让给其他人，或私自将合同的全部或部分义务转移给其他人；</w:t>
      </w:r>
    </w:p>
    <w:p w14:paraId="5A7C3A4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(2)承包人违反第5.3款或第6.4款的约定，未经监理人批准，私自将已按合同约定进入施工场地的施工设备、临时设施或材料撤离施工场地；</w:t>
      </w:r>
    </w:p>
    <w:p w14:paraId="00F4A808">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(3)承包人违反第5.4款的约定使用了不合格材料或工程设备，工程质量达不到标准要求，又拒绝清除不合格工程；</w:t>
      </w:r>
    </w:p>
    <w:p w14:paraId="112EC091">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(4)承包人未能按合同进度计划及时完成合同约定的工作，已造成或预期造成工期延误；</w:t>
      </w:r>
    </w:p>
    <w:p w14:paraId="7C2EAF93">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(5)承包人在缺陷责任期(工程质量保修期)内，未能对合同工程完工验收鉴定书所列的缺陷清单的内容或缺陷责任期(工程质量保修期)内发生的缺陷进行修复，而又拒绝按监理人指示再进行修补；</w:t>
      </w:r>
    </w:p>
    <w:p w14:paraId="08209D7F">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(6)承包人无法继续履行或明确表示不履行或实质上已停止履行合同；</w:t>
      </w:r>
    </w:p>
    <w:p w14:paraId="32AE321C">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(7)承包人不按合同约定履行义务的其它情况。</w:t>
      </w:r>
    </w:p>
    <w:p w14:paraId="26118274">
      <w:pPr>
        <w:snapToGrid w:val="0"/>
        <w:spacing w:line="360" w:lineRule="auto"/>
        <w:outlineLvl w:val="0"/>
        <w:rPr>
          <w:rFonts w:hint="eastAsia" w:asciiTheme="minorEastAsia" w:hAnsiTheme="minorEastAsia" w:eastAsiaTheme="minorEastAsia" w:cstheme="minorEastAsia"/>
          <w:b/>
          <w:sz w:val="22"/>
          <w:szCs w:val="22"/>
        </w:rPr>
      </w:pPr>
      <w:bookmarkStart w:id="166" w:name="第04章合同条款及格式0123"/>
      <w:bookmarkEnd w:id="166"/>
      <w:bookmarkStart w:id="167" w:name="_Toc18099"/>
      <w:bookmarkStart w:id="168" w:name="_Toc409163579"/>
      <w:r>
        <w:rPr>
          <w:rFonts w:hint="eastAsia" w:asciiTheme="minorEastAsia" w:hAnsiTheme="minorEastAsia" w:eastAsiaTheme="minorEastAsia" w:cstheme="minorEastAsia"/>
          <w:b/>
          <w:sz w:val="22"/>
          <w:szCs w:val="22"/>
        </w:rPr>
        <w:t>23　索赔</w:t>
      </w:r>
      <w:bookmarkEnd w:id="167"/>
      <w:bookmarkEnd w:id="168"/>
    </w:p>
    <w:p w14:paraId="0E0C1D05">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5D7C31A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23.3　承包人提出索赔的期限</w:t>
      </w:r>
    </w:p>
    <w:p w14:paraId="15B94736">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23.3.1　承包人按第17.5款的约定接受了完工付款证书后，应被认为已无权再提出在合同工程完工证书颁发前所发生的任何索赔。</w:t>
      </w:r>
    </w:p>
    <w:p w14:paraId="13FDF64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23.3.2　承包人按第17.6款的约定提交的最终结清申请单中，只限于提出合同工程完工证书颁发后发生的索赔。提出索赔的期限自接受最终结清证书时终止。</w:t>
      </w:r>
    </w:p>
    <w:p w14:paraId="44771F7F">
      <w:pPr>
        <w:snapToGrid w:val="0"/>
        <w:spacing w:line="360" w:lineRule="auto"/>
        <w:outlineLvl w:val="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w:t>
      </w:r>
      <w:bookmarkStart w:id="169" w:name="_Toc31133"/>
      <w:bookmarkStart w:id="170" w:name="_Toc409163580"/>
      <w:r>
        <w:rPr>
          <w:rFonts w:hint="eastAsia" w:asciiTheme="minorEastAsia" w:hAnsiTheme="minorEastAsia" w:eastAsiaTheme="minorEastAsia" w:cstheme="minorEastAsia"/>
          <w:sz w:val="22"/>
          <w:szCs w:val="22"/>
        </w:rPr>
        <w:t>23.4　发包人的索赔</w:t>
      </w:r>
      <w:bookmarkEnd w:id="169"/>
      <w:bookmarkEnd w:id="170"/>
    </w:p>
    <w:p w14:paraId="599EB89E">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170E10E2">
      <w:pPr>
        <w:snapToGrid w:val="0"/>
        <w:spacing w:line="360" w:lineRule="auto"/>
        <w:rPr>
          <w:rFonts w:hint="eastAsia" w:asciiTheme="minorEastAsia" w:hAnsiTheme="minorEastAsia" w:eastAsiaTheme="minorEastAsia" w:cstheme="minorEastAsia"/>
          <w:b/>
          <w:sz w:val="22"/>
          <w:szCs w:val="22"/>
        </w:rPr>
      </w:pPr>
      <w:bookmarkStart w:id="171" w:name="第04章合同条款及格式0124"/>
      <w:bookmarkEnd w:id="171"/>
      <w:r>
        <w:rPr>
          <w:rFonts w:hint="eastAsia" w:asciiTheme="minorEastAsia" w:hAnsiTheme="minorEastAsia" w:eastAsiaTheme="minorEastAsia" w:cstheme="minorEastAsia"/>
          <w:b/>
          <w:sz w:val="22"/>
          <w:szCs w:val="22"/>
        </w:rPr>
        <w:t>24　争议的解决</w:t>
      </w:r>
    </w:p>
    <w:p w14:paraId="4C6C7F84">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本条全文引用《标准施工招标文件》(</w:t>
      </w:r>
      <w:r>
        <w:rPr>
          <w:rFonts w:hint="eastAsia" w:asciiTheme="minorEastAsia" w:hAnsiTheme="minorEastAsia" w:eastAsiaTheme="minorEastAsia" w:cstheme="minorEastAsia"/>
          <w:sz w:val="22"/>
          <w:szCs w:val="22"/>
          <w:lang w:eastAsia="zh-CN"/>
        </w:rPr>
        <w:t>2000年版</w:t>
      </w:r>
      <w:r>
        <w:rPr>
          <w:rFonts w:hint="eastAsia" w:asciiTheme="minorEastAsia" w:hAnsiTheme="minorEastAsia" w:eastAsiaTheme="minorEastAsia" w:cstheme="minorEastAsia"/>
          <w:sz w:val="22"/>
          <w:szCs w:val="22"/>
        </w:rPr>
        <w:t>)相应条款，并补充以下内容：</w:t>
      </w:r>
    </w:p>
    <w:p w14:paraId="7EEF41E2">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24.4　仲裁</w:t>
      </w:r>
    </w:p>
    <w:p w14:paraId="2B55B60D">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24.4.1　若合同双方商定直接向仲裁机构申请仲裁，应签订仲裁协议并约定仲裁机构。</w:t>
      </w:r>
    </w:p>
    <w:p w14:paraId="044E026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24.4.2　若合同双方未能达成仲裁协议，则本合同的仲裁条款无效，任一方均有权向人民法院提起诉讼。</w:t>
      </w:r>
    </w:p>
    <w:p w14:paraId="02B348B7">
      <w:pPr>
        <w:pStyle w:val="3"/>
        <w:spacing w:line="360" w:lineRule="auto"/>
        <w:jc w:val="center"/>
        <w:rPr>
          <w:rFonts w:hint="eastAsia" w:asciiTheme="minorEastAsia" w:hAnsiTheme="minorEastAsia" w:eastAsiaTheme="minorEastAsia" w:cstheme="minorEastAsia"/>
          <w:sz w:val="32"/>
          <w:szCs w:val="21"/>
        </w:rPr>
      </w:pPr>
      <w:r>
        <w:rPr>
          <w:rFonts w:hint="eastAsia" w:asciiTheme="minorEastAsia" w:hAnsiTheme="minorEastAsia" w:eastAsiaTheme="minorEastAsia" w:cstheme="minorEastAsia"/>
          <w:sz w:val="32"/>
          <w:szCs w:val="21"/>
        </w:rPr>
        <w:br w:type="page"/>
      </w:r>
      <w:bookmarkStart w:id="172" w:name="_Toc31089"/>
      <w:r>
        <w:rPr>
          <w:rFonts w:hint="eastAsia" w:asciiTheme="minorEastAsia" w:hAnsiTheme="minorEastAsia" w:eastAsiaTheme="minorEastAsia" w:cstheme="minorEastAsia"/>
          <w:sz w:val="32"/>
          <w:szCs w:val="21"/>
        </w:rPr>
        <w:t xml:space="preserve">第2节  </w:t>
      </w:r>
      <w:bookmarkStart w:id="173" w:name="_Toc246996335"/>
      <w:bookmarkStart w:id="174" w:name="_Toc355957421"/>
      <w:bookmarkStart w:id="175" w:name="_Toc246997078"/>
      <w:bookmarkStart w:id="176" w:name="_Toc247085850"/>
      <w:r>
        <w:rPr>
          <w:rFonts w:hint="eastAsia" w:asciiTheme="minorEastAsia" w:hAnsiTheme="minorEastAsia" w:eastAsiaTheme="minorEastAsia" w:cstheme="minorEastAsia"/>
          <w:sz w:val="32"/>
          <w:szCs w:val="21"/>
        </w:rPr>
        <w:t>专用合同条款</w:t>
      </w:r>
      <w:bookmarkEnd w:id="2"/>
      <w:bookmarkEnd w:id="3"/>
      <w:bookmarkEnd w:id="4"/>
      <w:bookmarkEnd w:id="5"/>
      <w:bookmarkEnd w:id="6"/>
      <w:bookmarkEnd w:id="7"/>
      <w:bookmarkEnd w:id="172"/>
      <w:bookmarkEnd w:id="173"/>
      <w:bookmarkEnd w:id="174"/>
      <w:bookmarkEnd w:id="175"/>
      <w:bookmarkEnd w:id="176"/>
    </w:p>
    <w:bookmarkEnd w:id="8"/>
    <w:bookmarkEnd w:id="9"/>
    <w:bookmarkEnd w:id="10"/>
    <w:bookmarkEnd w:id="11"/>
    <w:bookmarkEnd w:id="12"/>
    <w:bookmarkEnd w:id="13"/>
    <w:p w14:paraId="70B4722B">
      <w:pPr>
        <w:pStyle w:val="4"/>
        <w:jc w:val="center"/>
        <w:rPr>
          <w:rFonts w:hint="eastAsia" w:asciiTheme="minorEastAsia" w:hAnsiTheme="minorEastAsia" w:eastAsiaTheme="minorEastAsia" w:cstheme="minorEastAsia"/>
          <w:b w:val="0"/>
          <w:sz w:val="36"/>
          <w:szCs w:val="21"/>
        </w:rPr>
      </w:pPr>
      <w:bookmarkStart w:id="177" w:name="_Toc22767"/>
      <w:r>
        <w:rPr>
          <w:rFonts w:hint="eastAsia" w:asciiTheme="minorEastAsia" w:hAnsiTheme="minorEastAsia" w:eastAsiaTheme="minorEastAsia" w:cstheme="minorEastAsia"/>
          <w:sz w:val="22"/>
          <w:szCs w:val="22"/>
        </w:rPr>
        <w:t>专用合同条款</w:t>
      </w:r>
      <w:bookmarkEnd w:id="177"/>
    </w:p>
    <w:p w14:paraId="6183960A">
      <w:pPr>
        <w:pStyle w:val="4"/>
        <w:snapToGrid w:val="0"/>
        <w:rPr>
          <w:rFonts w:hint="eastAsia" w:asciiTheme="minorEastAsia" w:hAnsiTheme="minorEastAsia" w:eastAsiaTheme="minorEastAsia" w:cstheme="minorEastAsia"/>
          <w:color w:val="000000"/>
          <w:sz w:val="22"/>
          <w:szCs w:val="22"/>
        </w:rPr>
      </w:pPr>
      <w:bookmarkStart w:id="178" w:name="第04章合同条款及格式0201"/>
      <w:bookmarkEnd w:id="178"/>
      <w:bookmarkStart w:id="179" w:name="_Toc273072863"/>
      <w:bookmarkStart w:id="180" w:name="_Toc25466"/>
      <w:bookmarkStart w:id="181" w:name="_Toc409163582"/>
      <w:r>
        <w:rPr>
          <w:rFonts w:hint="eastAsia" w:asciiTheme="minorEastAsia" w:hAnsiTheme="minorEastAsia" w:eastAsiaTheme="minorEastAsia" w:cstheme="minorEastAsia"/>
          <w:color w:val="000000"/>
          <w:sz w:val="22"/>
          <w:szCs w:val="22"/>
        </w:rPr>
        <w:t>1.  一般约定</w:t>
      </w:r>
      <w:bookmarkEnd w:id="179"/>
      <w:bookmarkEnd w:id="180"/>
      <w:bookmarkEnd w:id="181"/>
    </w:p>
    <w:p w14:paraId="5137586C">
      <w:pPr>
        <w:snapToGrid w:val="0"/>
        <w:spacing w:line="360" w:lineRule="auto"/>
        <w:rPr>
          <w:rFonts w:hint="eastAsia" w:asciiTheme="minorEastAsia" w:hAnsiTheme="minorEastAsia" w:eastAsiaTheme="minorEastAsia" w:cstheme="minorEastAsia"/>
          <w:b/>
          <w:color w:val="000000"/>
          <w:sz w:val="22"/>
          <w:szCs w:val="22"/>
        </w:rPr>
      </w:pPr>
      <w:r>
        <w:rPr>
          <w:rFonts w:hint="eastAsia" w:asciiTheme="minorEastAsia" w:hAnsiTheme="minorEastAsia" w:eastAsiaTheme="minorEastAsia" w:cstheme="minorEastAsia"/>
          <w:b/>
          <w:color w:val="000000"/>
          <w:sz w:val="22"/>
          <w:szCs w:val="22"/>
        </w:rPr>
        <w:t>1.1 词语 定义</w:t>
      </w:r>
    </w:p>
    <w:p w14:paraId="652AC8E2">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w:t>
      </w:r>
      <w:r>
        <w:rPr>
          <w:rFonts w:hint="eastAsia" w:asciiTheme="minorEastAsia" w:hAnsiTheme="minorEastAsia" w:eastAsiaTheme="minorEastAsia" w:cstheme="minorEastAsia"/>
          <w:b/>
          <w:color w:val="000000"/>
          <w:sz w:val="22"/>
          <w:szCs w:val="22"/>
        </w:rPr>
        <w:t>1.1.2</w:t>
      </w:r>
      <w:r>
        <w:rPr>
          <w:rFonts w:hint="eastAsia" w:asciiTheme="minorEastAsia" w:hAnsiTheme="minorEastAsia" w:eastAsiaTheme="minorEastAsia" w:cstheme="minorEastAsia"/>
          <w:color w:val="000000"/>
          <w:sz w:val="22"/>
          <w:szCs w:val="22"/>
        </w:rPr>
        <w:t xml:space="preserve"> 合同当事人和人员</w:t>
      </w:r>
    </w:p>
    <w:p w14:paraId="03F55304">
      <w:pPr>
        <w:snapToGrid w:val="0"/>
        <w:spacing w:line="360" w:lineRule="auto"/>
        <w:rPr>
          <w:rFonts w:hint="eastAsia" w:asciiTheme="minorEastAsia" w:hAnsiTheme="minorEastAsia" w:eastAsiaTheme="minorEastAsia" w:cstheme="minorEastAsia"/>
          <w:color w:val="000000"/>
          <w:sz w:val="22"/>
          <w:szCs w:val="22"/>
          <w:u w:val="single"/>
        </w:rPr>
      </w:pPr>
      <w:r>
        <w:rPr>
          <w:rFonts w:hint="eastAsia" w:asciiTheme="minorEastAsia" w:hAnsiTheme="minorEastAsia" w:eastAsiaTheme="minorEastAsia" w:cstheme="minorEastAsia"/>
          <w:color w:val="000000"/>
          <w:sz w:val="22"/>
          <w:szCs w:val="22"/>
        </w:rPr>
        <w:t>1.1.2.2 发包人：（填入发包人的名称）</w:t>
      </w:r>
      <w:r>
        <w:rPr>
          <w:rFonts w:hint="eastAsia" w:asciiTheme="minorEastAsia" w:hAnsiTheme="minorEastAsia" w:eastAsiaTheme="minorEastAsia" w:cstheme="minorEastAsia"/>
          <w:color w:val="000000"/>
          <w:sz w:val="22"/>
          <w:szCs w:val="22"/>
          <w:u w:val="single"/>
          <w:lang w:eastAsia="zh-CN"/>
        </w:rPr>
        <w:t>鄂尔多斯市东胜区水利事业发展中心</w:t>
      </w:r>
      <w:r>
        <w:rPr>
          <w:rFonts w:hint="eastAsia" w:asciiTheme="minorEastAsia" w:hAnsiTheme="minorEastAsia" w:eastAsiaTheme="minorEastAsia" w:cstheme="minorEastAsia"/>
          <w:color w:val="000000"/>
          <w:sz w:val="22"/>
          <w:szCs w:val="22"/>
          <w:u w:val="single"/>
        </w:rPr>
        <w:t>。</w:t>
      </w:r>
    </w:p>
    <w:p w14:paraId="0F155C0A">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1.1.2.3 承包人：（签约后填入承包人的名称）</w:t>
      </w:r>
      <w:r>
        <w:rPr>
          <w:rFonts w:hint="eastAsia" w:asciiTheme="minorEastAsia" w:hAnsiTheme="minorEastAsia" w:eastAsiaTheme="minorEastAsia" w:cstheme="minorEastAsia"/>
          <w:color w:val="000000"/>
          <w:sz w:val="22"/>
          <w:szCs w:val="22"/>
          <w:u w:val="single"/>
        </w:rPr>
        <w:t xml:space="preserve"> </w:t>
      </w:r>
      <w:r>
        <w:rPr>
          <w:rFonts w:hint="eastAsia" w:asciiTheme="minorEastAsia" w:hAnsiTheme="minorEastAsia" w:eastAsiaTheme="minorEastAsia" w:cstheme="minorEastAsia"/>
          <w:color w:val="000000"/>
          <w:sz w:val="22"/>
          <w:szCs w:val="22"/>
          <w:u w:val="single"/>
          <w:lang w:val="en-US" w:eastAsia="zh-CN"/>
        </w:rPr>
        <w:t xml:space="preserve">                            </w:t>
      </w:r>
      <w:r>
        <w:rPr>
          <w:rFonts w:hint="eastAsia" w:asciiTheme="minorEastAsia" w:hAnsiTheme="minorEastAsia" w:eastAsiaTheme="minorEastAsia" w:cstheme="minorEastAsia"/>
          <w:color w:val="000000"/>
          <w:sz w:val="22"/>
          <w:szCs w:val="22"/>
        </w:rPr>
        <w:t xml:space="preserve"> 。</w:t>
      </w:r>
    </w:p>
    <w:p w14:paraId="623FEFCC">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1.1.2.6 监理人：（填入监理人名称）</w:t>
      </w:r>
      <w:r>
        <w:rPr>
          <w:rFonts w:hint="eastAsia" w:asciiTheme="minorEastAsia" w:hAnsiTheme="minorEastAsia" w:eastAsiaTheme="minorEastAsia" w:cstheme="minorEastAsia"/>
          <w:color w:val="000000"/>
          <w:sz w:val="22"/>
          <w:szCs w:val="22"/>
          <w:u w:val="single"/>
        </w:rPr>
        <w:t xml:space="preserve">                                 </w:t>
      </w:r>
      <w:r>
        <w:rPr>
          <w:rFonts w:hint="eastAsia" w:asciiTheme="minorEastAsia" w:hAnsiTheme="minorEastAsia" w:eastAsiaTheme="minorEastAsia" w:cstheme="minorEastAsia"/>
          <w:color w:val="000000"/>
          <w:sz w:val="22"/>
          <w:szCs w:val="22"/>
        </w:rPr>
        <w:t>。</w:t>
      </w:r>
    </w:p>
    <w:p w14:paraId="0BBD8028">
      <w:pPr>
        <w:snapToGrid w:val="0"/>
        <w:spacing w:line="360" w:lineRule="auto"/>
        <w:rPr>
          <w:rFonts w:hint="eastAsia" w:asciiTheme="minorEastAsia" w:hAnsiTheme="minorEastAsia" w:eastAsiaTheme="minorEastAsia" w:cstheme="minorEastAsia"/>
          <w:b/>
          <w:color w:val="000000"/>
          <w:sz w:val="22"/>
          <w:szCs w:val="22"/>
        </w:rPr>
      </w:pPr>
      <w:r>
        <w:rPr>
          <w:rFonts w:hint="eastAsia" w:asciiTheme="minorEastAsia" w:hAnsiTheme="minorEastAsia" w:eastAsiaTheme="minorEastAsia" w:cstheme="minorEastAsia"/>
          <w:b/>
          <w:color w:val="000000"/>
          <w:sz w:val="22"/>
          <w:szCs w:val="22"/>
        </w:rPr>
        <w:t>1.4 合同文件的优先顺序</w:t>
      </w:r>
    </w:p>
    <w:p w14:paraId="2D910930">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进入合同文件的各项文件及其优先顺序：</w:t>
      </w:r>
      <w:r>
        <w:rPr>
          <w:rFonts w:hint="eastAsia" w:asciiTheme="minorEastAsia" w:hAnsiTheme="minorEastAsia" w:eastAsiaTheme="minorEastAsia" w:cstheme="minorEastAsia"/>
          <w:color w:val="000000"/>
          <w:kern w:val="0"/>
          <w:sz w:val="22"/>
          <w:szCs w:val="22"/>
        </w:rPr>
        <w:t>⑶⑷⑹⑸⑺⑵⑴⑻</w:t>
      </w:r>
      <w:r>
        <w:rPr>
          <w:rFonts w:hint="eastAsia" w:asciiTheme="minorEastAsia" w:hAnsiTheme="minorEastAsia" w:eastAsiaTheme="minorEastAsia" w:cstheme="minorEastAsia"/>
          <w:color w:val="000000"/>
          <w:sz w:val="22"/>
          <w:szCs w:val="22"/>
        </w:rPr>
        <w:t>。</w:t>
      </w:r>
    </w:p>
    <w:p w14:paraId="6ACC4585">
      <w:pPr>
        <w:snapToGrid w:val="0"/>
        <w:spacing w:line="360" w:lineRule="auto"/>
        <w:ind w:firstLine="660" w:firstLineChars="300"/>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⑴ 中标通知书；</w:t>
      </w:r>
    </w:p>
    <w:p w14:paraId="19D61DCD">
      <w:pPr>
        <w:snapToGrid w:val="0"/>
        <w:spacing w:line="360" w:lineRule="auto"/>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⑵ 投标函及投标函附录；</w:t>
      </w:r>
    </w:p>
    <w:p w14:paraId="43EDD900">
      <w:pPr>
        <w:snapToGrid w:val="0"/>
        <w:spacing w:line="360" w:lineRule="auto"/>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⑶ 专用合同条款；</w:t>
      </w:r>
    </w:p>
    <w:p w14:paraId="059918BA">
      <w:pPr>
        <w:snapToGrid w:val="0"/>
        <w:spacing w:line="360" w:lineRule="auto"/>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⑷ 通用合同条款；</w:t>
      </w:r>
    </w:p>
    <w:p w14:paraId="56E1A3A6">
      <w:pPr>
        <w:snapToGrid w:val="0"/>
        <w:spacing w:line="360" w:lineRule="auto"/>
        <w:ind w:firstLine="440" w:firstLineChars="200"/>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⑸ 技术标准和要求（合同技术条款）；</w:t>
      </w:r>
    </w:p>
    <w:p w14:paraId="423EE871">
      <w:pPr>
        <w:snapToGrid w:val="0"/>
        <w:spacing w:line="360" w:lineRule="auto"/>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⑹ 图纸；</w:t>
      </w:r>
    </w:p>
    <w:p w14:paraId="7CC0C4C1">
      <w:pPr>
        <w:snapToGrid w:val="0"/>
        <w:spacing w:line="360" w:lineRule="auto"/>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⑺ 已标价工程量清单；</w:t>
      </w:r>
    </w:p>
    <w:p w14:paraId="0626A277">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kern w:val="0"/>
          <w:sz w:val="22"/>
          <w:szCs w:val="22"/>
        </w:rPr>
        <w:t>　　  ⑻ 其他合同文件。</w:t>
      </w:r>
      <w:r>
        <w:rPr>
          <w:rFonts w:hint="eastAsia" w:asciiTheme="minorEastAsia" w:hAnsiTheme="minorEastAsia" w:eastAsiaTheme="minorEastAsia" w:cstheme="minorEastAsia"/>
          <w:color w:val="000000"/>
          <w:sz w:val="22"/>
          <w:szCs w:val="22"/>
        </w:rPr>
        <w:t xml:space="preserve">     </w:t>
      </w:r>
    </w:p>
    <w:p w14:paraId="7F29673B">
      <w:pPr>
        <w:snapToGrid w:val="0"/>
        <w:spacing w:line="360" w:lineRule="auto"/>
        <w:rPr>
          <w:rFonts w:hint="eastAsia" w:asciiTheme="minorEastAsia" w:hAnsiTheme="minorEastAsia" w:eastAsiaTheme="minorEastAsia" w:cstheme="minorEastAsia"/>
          <w:b/>
          <w:color w:val="000000"/>
          <w:sz w:val="22"/>
          <w:szCs w:val="22"/>
        </w:rPr>
      </w:pPr>
      <w:r>
        <w:rPr>
          <w:rFonts w:hint="eastAsia" w:asciiTheme="minorEastAsia" w:hAnsiTheme="minorEastAsia" w:eastAsiaTheme="minorEastAsia" w:cstheme="minorEastAsia"/>
          <w:b/>
          <w:color w:val="000000"/>
          <w:sz w:val="22"/>
          <w:szCs w:val="22"/>
        </w:rPr>
        <w:t>1.7 联络</w:t>
      </w:r>
    </w:p>
    <w:p w14:paraId="43FFA1B7">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w:t>
      </w:r>
      <w:r>
        <w:rPr>
          <w:rFonts w:hint="eastAsia" w:asciiTheme="minorEastAsia" w:hAnsiTheme="minorEastAsia" w:eastAsiaTheme="minorEastAsia" w:cstheme="minorEastAsia"/>
          <w:b/>
          <w:color w:val="000000"/>
          <w:sz w:val="22"/>
          <w:szCs w:val="22"/>
        </w:rPr>
        <w:t xml:space="preserve">1.7.2 </w:t>
      </w:r>
      <w:r>
        <w:rPr>
          <w:rFonts w:hint="eastAsia" w:asciiTheme="minorEastAsia" w:hAnsiTheme="minorEastAsia" w:eastAsiaTheme="minorEastAsia" w:cstheme="minorEastAsia"/>
          <w:color w:val="000000"/>
          <w:sz w:val="22"/>
          <w:szCs w:val="22"/>
        </w:rPr>
        <w:t>来往函件均应按技术标准和要求（合同技术要求）约定的期限送达（填写文件送达地点）项目指挥部。</w:t>
      </w:r>
    </w:p>
    <w:p w14:paraId="47CB8BDB">
      <w:pPr>
        <w:pStyle w:val="4"/>
        <w:snapToGrid w:val="0"/>
        <w:rPr>
          <w:rFonts w:hint="eastAsia" w:asciiTheme="minorEastAsia" w:hAnsiTheme="minorEastAsia" w:eastAsiaTheme="minorEastAsia" w:cstheme="minorEastAsia"/>
          <w:color w:val="000000"/>
          <w:sz w:val="22"/>
          <w:szCs w:val="22"/>
        </w:rPr>
      </w:pPr>
      <w:bookmarkStart w:id="182" w:name="_Toc273072864"/>
      <w:bookmarkStart w:id="183" w:name="_Toc14070"/>
      <w:bookmarkStart w:id="184" w:name="_Toc409163583"/>
      <w:r>
        <w:rPr>
          <w:rFonts w:hint="eastAsia" w:asciiTheme="minorEastAsia" w:hAnsiTheme="minorEastAsia" w:eastAsiaTheme="minorEastAsia" w:cstheme="minorEastAsia"/>
          <w:color w:val="000000"/>
          <w:sz w:val="22"/>
          <w:szCs w:val="22"/>
        </w:rPr>
        <w:t>2. 发包人的一般义务和责任</w:t>
      </w:r>
      <w:bookmarkEnd w:id="182"/>
      <w:bookmarkEnd w:id="183"/>
      <w:bookmarkEnd w:id="184"/>
    </w:p>
    <w:p w14:paraId="3231BB43">
      <w:pPr>
        <w:snapToGrid w:val="0"/>
        <w:spacing w:line="360" w:lineRule="auto"/>
        <w:rPr>
          <w:rFonts w:hint="eastAsia" w:asciiTheme="minorEastAsia" w:hAnsiTheme="minorEastAsia" w:eastAsiaTheme="minorEastAsia" w:cstheme="minorEastAsia"/>
          <w:b/>
          <w:color w:val="000000"/>
          <w:sz w:val="22"/>
          <w:szCs w:val="22"/>
        </w:rPr>
      </w:pPr>
      <w:r>
        <w:rPr>
          <w:rFonts w:hint="eastAsia" w:asciiTheme="minorEastAsia" w:hAnsiTheme="minorEastAsia" w:eastAsiaTheme="minorEastAsia" w:cstheme="minorEastAsia"/>
          <w:b/>
          <w:color w:val="000000"/>
          <w:sz w:val="22"/>
          <w:szCs w:val="22"/>
        </w:rPr>
        <w:t>2.3 提供施工用地</w:t>
      </w:r>
    </w:p>
    <w:p w14:paraId="37894864">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w:t>
      </w:r>
      <w:r>
        <w:rPr>
          <w:rFonts w:hint="eastAsia" w:asciiTheme="minorEastAsia" w:hAnsiTheme="minorEastAsia" w:eastAsiaTheme="minorEastAsia" w:cstheme="minorEastAsia"/>
          <w:b/>
          <w:color w:val="000000"/>
          <w:sz w:val="22"/>
          <w:szCs w:val="22"/>
        </w:rPr>
        <w:t>2.3.2</w:t>
      </w:r>
      <w:r>
        <w:rPr>
          <w:rFonts w:hint="eastAsia" w:asciiTheme="minorEastAsia" w:hAnsiTheme="minorEastAsia" w:eastAsiaTheme="minorEastAsia" w:cstheme="minorEastAsia"/>
          <w:color w:val="000000"/>
          <w:sz w:val="22"/>
          <w:szCs w:val="22"/>
        </w:rPr>
        <w:t>发包人提供的施工用地范围：项目选址范围以及初步设计中划定的施工用地范围。</w:t>
      </w:r>
    </w:p>
    <w:p w14:paraId="1A9E93DD">
      <w:pPr>
        <w:pStyle w:val="4"/>
        <w:snapToGrid w:val="0"/>
        <w:rPr>
          <w:rFonts w:hint="eastAsia" w:asciiTheme="minorEastAsia" w:hAnsiTheme="minorEastAsia" w:eastAsiaTheme="minorEastAsia" w:cstheme="minorEastAsia"/>
          <w:color w:val="000000"/>
          <w:sz w:val="22"/>
          <w:szCs w:val="22"/>
        </w:rPr>
      </w:pPr>
      <w:bookmarkStart w:id="185" w:name="_Toc409163584"/>
      <w:bookmarkStart w:id="186" w:name="_Toc273072865"/>
      <w:bookmarkStart w:id="187" w:name="_Toc22679"/>
      <w:r>
        <w:rPr>
          <w:rFonts w:hint="eastAsia" w:asciiTheme="minorEastAsia" w:hAnsiTheme="minorEastAsia" w:eastAsiaTheme="minorEastAsia" w:cstheme="minorEastAsia"/>
          <w:color w:val="000000"/>
          <w:sz w:val="22"/>
          <w:szCs w:val="22"/>
        </w:rPr>
        <w:t>3. 监理人</w:t>
      </w:r>
      <w:bookmarkEnd w:id="185"/>
      <w:bookmarkEnd w:id="186"/>
      <w:bookmarkEnd w:id="187"/>
    </w:p>
    <w:p w14:paraId="3877914B">
      <w:pPr>
        <w:snapToGrid w:val="0"/>
        <w:spacing w:line="360" w:lineRule="auto"/>
        <w:rPr>
          <w:rFonts w:hint="eastAsia" w:asciiTheme="minorEastAsia" w:hAnsiTheme="minorEastAsia" w:eastAsiaTheme="minorEastAsia" w:cstheme="minorEastAsia"/>
          <w:b/>
          <w:color w:val="000000"/>
          <w:sz w:val="22"/>
          <w:szCs w:val="22"/>
        </w:rPr>
      </w:pPr>
      <w:r>
        <w:rPr>
          <w:rFonts w:hint="eastAsia" w:asciiTheme="minorEastAsia" w:hAnsiTheme="minorEastAsia" w:eastAsiaTheme="minorEastAsia" w:cstheme="minorEastAsia"/>
          <w:b/>
          <w:color w:val="000000"/>
          <w:sz w:val="22"/>
          <w:szCs w:val="22"/>
        </w:rPr>
        <w:t>3.1 监理人的职责</w:t>
      </w:r>
    </w:p>
    <w:p w14:paraId="350FC8F5">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b/>
          <w:color w:val="000000"/>
          <w:sz w:val="22"/>
          <w:szCs w:val="22"/>
        </w:rPr>
        <w:t xml:space="preserve">   3.1.1</w:t>
      </w:r>
      <w:r>
        <w:rPr>
          <w:rFonts w:hint="eastAsia" w:asciiTheme="minorEastAsia" w:hAnsiTheme="minorEastAsia" w:eastAsiaTheme="minorEastAsia" w:cstheme="minorEastAsia"/>
          <w:color w:val="000000"/>
          <w:sz w:val="22"/>
          <w:szCs w:val="22"/>
        </w:rPr>
        <w:t xml:space="preserve"> 监理人行使以下权力，必须由发包人同意。</w:t>
      </w:r>
    </w:p>
    <w:p w14:paraId="2AF55D65">
      <w:pPr>
        <w:snapToGrid w:val="0"/>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⑵ 按第11.3款约定，确定延长完工期限；</w:t>
      </w:r>
    </w:p>
    <w:p w14:paraId="69D63F1A">
      <w:pPr>
        <w:snapToGrid w:val="0"/>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color w:val="000000"/>
          <w:sz w:val="22"/>
          <w:szCs w:val="22"/>
        </w:rPr>
        <w:t xml:space="preserve">      ⑶ 按第15.6款约定，批准暂列金额的使用；</w:t>
      </w:r>
    </w:p>
    <w:p w14:paraId="7602DA5B">
      <w:pPr>
        <w:pStyle w:val="4"/>
        <w:numPr>
          <w:ilvl w:val="0"/>
          <w:numId w:val="1"/>
        </w:numPr>
        <w:snapToGrid w:val="0"/>
        <w:rPr>
          <w:rFonts w:hint="eastAsia" w:asciiTheme="minorEastAsia" w:hAnsiTheme="minorEastAsia" w:eastAsiaTheme="minorEastAsia" w:cstheme="minorEastAsia"/>
          <w:sz w:val="22"/>
          <w:szCs w:val="22"/>
        </w:rPr>
      </w:pPr>
      <w:bookmarkStart w:id="188" w:name="_Toc273072866"/>
      <w:bookmarkStart w:id="189" w:name="_Toc409163585"/>
      <w:bookmarkStart w:id="190" w:name="_Toc32552"/>
      <w:r>
        <w:rPr>
          <w:rFonts w:hint="eastAsia" w:asciiTheme="minorEastAsia" w:hAnsiTheme="minorEastAsia" w:eastAsiaTheme="minorEastAsia" w:cstheme="minorEastAsia"/>
          <w:sz w:val="22"/>
          <w:szCs w:val="22"/>
        </w:rPr>
        <w:t>承包人</w:t>
      </w:r>
      <w:bookmarkEnd w:id="188"/>
      <w:bookmarkEnd w:id="189"/>
      <w:bookmarkEnd w:id="190"/>
    </w:p>
    <w:p w14:paraId="351A069B">
      <w:pPr>
        <w:spacing w:after="120" w:line="400" w:lineRule="exact"/>
        <w:ind w:firstLine="562" w:firstLineChars="200"/>
        <w:rPr>
          <w:rStyle w:val="7"/>
          <w:rFonts w:hint="eastAsia" w:asciiTheme="minorEastAsia" w:hAnsiTheme="minorEastAsia" w:eastAsiaTheme="minorEastAsia" w:cstheme="minorEastAsia"/>
          <w:sz w:val="28"/>
          <w:szCs w:val="36"/>
        </w:rPr>
      </w:pPr>
      <w:r>
        <w:rPr>
          <w:rStyle w:val="7"/>
          <w:rFonts w:hint="eastAsia" w:asciiTheme="minorEastAsia" w:hAnsiTheme="minorEastAsia" w:eastAsiaTheme="minorEastAsia" w:cstheme="minorEastAsia"/>
          <w:sz w:val="28"/>
          <w:szCs w:val="36"/>
        </w:rPr>
        <w:t>4.1 项目经理</w:t>
      </w:r>
    </w:p>
    <w:p w14:paraId="78A08B53">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kern w:val="0"/>
          <w:sz w:val="22"/>
          <w:szCs w:val="22"/>
        </w:rPr>
        <w:t xml:space="preserve">4.1.1 </w:t>
      </w:r>
      <w:r>
        <w:rPr>
          <w:rFonts w:hint="eastAsia" w:asciiTheme="minorEastAsia" w:hAnsiTheme="minorEastAsia" w:eastAsiaTheme="minorEastAsia" w:cstheme="minorEastAsia"/>
          <w:sz w:val="22"/>
          <w:szCs w:val="22"/>
        </w:rPr>
        <w:t>项目经理：</w:t>
      </w:r>
    </w:p>
    <w:p w14:paraId="6577B6D4">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姓    名：</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066EADA3">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身份证号：</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27D03A98">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建造师执业资格等级：</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69BDFB56">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建造师注册证书号：</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23F2771D">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建造师执业印章号：</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3424869B">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安全生产考核合格证书号：</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415F8033">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联系电话：</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p>
    <w:p w14:paraId="2AB45F7C">
      <w:pPr>
        <w:spacing w:line="400" w:lineRule="exact"/>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电子信箱：</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                                           ；</w:t>
      </w:r>
    </w:p>
    <w:p w14:paraId="5EF49F34">
      <w:pPr>
        <w:spacing w:line="400" w:lineRule="exact"/>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rPr>
        <w:t>通</w:t>
      </w:r>
      <w:r>
        <w:rPr>
          <w:rFonts w:hint="eastAsia" w:asciiTheme="minorEastAsia" w:hAnsiTheme="minorEastAsia" w:eastAsiaTheme="minorEastAsia" w:cstheme="minorEastAsia"/>
          <w:sz w:val="22"/>
          <w:szCs w:val="22"/>
          <w:highlight w:val="none"/>
        </w:rPr>
        <w:t>信地址：</w:t>
      </w:r>
      <w:r>
        <w:rPr>
          <w:rFonts w:hint="eastAsia" w:asciiTheme="minorEastAsia" w:hAnsiTheme="minorEastAsia" w:eastAsiaTheme="minorEastAsia" w:cstheme="minorEastAsia"/>
          <w:b/>
          <w:sz w:val="22"/>
          <w:szCs w:val="22"/>
          <w:highlight w:val="none"/>
          <w:u w:val="single"/>
        </w:rPr>
        <w:t xml:space="preserve">       </w:t>
      </w:r>
      <w:r>
        <w:rPr>
          <w:rFonts w:hint="eastAsia" w:asciiTheme="minorEastAsia" w:hAnsiTheme="minorEastAsia" w:eastAsiaTheme="minorEastAsia" w:cstheme="minorEastAsia"/>
          <w:b/>
          <w:sz w:val="22"/>
          <w:szCs w:val="22"/>
          <w:highlight w:val="none"/>
          <w:u w:val="single"/>
          <w:lang w:val="en-US" w:eastAsia="zh-CN"/>
        </w:rPr>
        <w:t xml:space="preserve">    </w:t>
      </w:r>
      <w:r>
        <w:rPr>
          <w:rFonts w:hint="eastAsia" w:asciiTheme="minorEastAsia" w:hAnsiTheme="minorEastAsia" w:eastAsiaTheme="minorEastAsia" w:cstheme="minorEastAsia"/>
          <w:b/>
          <w:sz w:val="22"/>
          <w:szCs w:val="22"/>
          <w:highlight w:val="none"/>
          <w:u w:val="single"/>
        </w:rPr>
        <w:t xml:space="preserve">  ﹨                                           。</w:t>
      </w:r>
    </w:p>
    <w:p w14:paraId="34C3305B">
      <w:pPr>
        <w:spacing w:line="400" w:lineRule="exact"/>
        <w:ind w:firstLine="440" w:firstLineChars="200"/>
        <w:jc w:val="left"/>
        <w:rPr>
          <w:rFonts w:hint="eastAsia"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sz w:val="22"/>
          <w:szCs w:val="22"/>
          <w:highlight w:val="none"/>
        </w:rPr>
        <w:t>因擅自更换项目经理或项目经理兼职其它项目经理的违约约定：</w:t>
      </w:r>
      <w:r>
        <w:rPr>
          <w:rFonts w:hint="eastAsia" w:asciiTheme="minorEastAsia" w:hAnsiTheme="minorEastAsia" w:eastAsiaTheme="minorEastAsia" w:cstheme="minorEastAsia"/>
          <w:b/>
          <w:sz w:val="22"/>
          <w:szCs w:val="22"/>
          <w:highlight w:val="none"/>
          <w:u w:val="single"/>
          <w:lang w:val="en-US" w:eastAsia="zh-CN"/>
        </w:rPr>
        <w:t>投标人派驻现场的主要管理人员、技术人员数量及资格应与投标文件中提供的完全一致，且在本工程整个工期内不得更换。投标人现场管理人员因特殊情况确需变更的，须经项目法人同意并批准。拟变更的人员应为本单位人员，且不得低于原投标人承诺人员所具有的资格和条件</w:t>
      </w:r>
      <w:r>
        <w:rPr>
          <w:rFonts w:hint="eastAsia" w:asciiTheme="minorEastAsia" w:hAnsiTheme="minorEastAsia" w:eastAsiaTheme="minorEastAsia" w:cstheme="minorEastAsia"/>
          <w:b/>
          <w:sz w:val="22"/>
          <w:szCs w:val="22"/>
          <w:highlight w:val="none"/>
          <w:u w:val="single"/>
        </w:rPr>
        <w:t>。</w:t>
      </w:r>
    </w:p>
    <w:p w14:paraId="78616CDD">
      <w:pPr>
        <w:spacing w:line="400" w:lineRule="exact"/>
        <w:ind w:firstLine="440" w:firstLineChars="200"/>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kern w:val="0"/>
          <w:sz w:val="22"/>
          <w:szCs w:val="22"/>
          <w:highlight w:val="none"/>
        </w:rPr>
        <w:t>关于项目经理、技术负责人每月在施工现场的时间要求</w:t>
      </w:r>
      <w:r>
        <w:rPr>
          <w:rFonts w:hint="eastAsia" w:asciiTheme="minorEastAsia" w:hAnsiTheme="minorEastAsia" w:eastAsiaTheme="minorEastAsia" w:cstheme="minorEastAsia"/>
          <w:b/>
          <w:sz w:val="22"/>
          <w:szCs w:val="22"/>
          <w:highlight w:val="none"/>
          <w:u w:val="single"/>
        </w:rPr>
        <w:t>：</w:t>
      </w:r>
      <w:r>
        <w:rPr>
          <w:rFonts w:hint="eastAsia" w:asciiTheme="minorEastAsia" w:hAnsiTheme="minorEastAsia" w:eastAsiaTheme="minorEastAsia" w:cstheme="minorEastAsia"/>
          <w:b/>
          <w:sz w:val="22"/>
          <w:szCs w:val="22"/>
          <w:highlight w:val="none"/>
          <w:u w:val="single"/>
          <w:lang w:val="en-US" w:eastAsia="zh-CN"/>
        </w:rPr>
        <w:t>项目经理、技术负责人及六大员施工期间内必须到场，如有特殊情况可于项目法人办理请假手续，但每月不得少于20天，如发现项目经理未于项目法人办理请假手续不在施工现场的，发现一次罚款叁万元，其他人员发现一次罚款贰万元，罚金将在工程款中扣除。</w:t>
      </w:r>
    </w:p>
    <w:p w14:paraId="7C717E9D">
      <w:pPr>
        <w:spacing w:after="120" w:line="400" w:lineRule="exact"/>
        <w:ind w:firstLine="442" w:firstLineChars="200"/>
        <w:rPr>
          <w:rStyle w:val="7"/>
          <w:rFonts w:hint="eastAsia" w:asciiTheme="minorEastAsia" w:hAnsiTheme="minorEastAsia" w:eastAsiaTheme="minorEastAsia" w:cstheme="minorEastAsia"/>
          <w:sz w:val="22"/>
          <w:szCs w:val="22"/>
          <w:highlight w:val="none"/>
        </w:rPr>
      </w:pPr>
      <w:r>
        <w:rPr>
          <w:rStyle w:val="7"/>
          <w:rFonts w:hint="eastAsia" w:asciiTheme="minorEastAsia" w:hAnsiTheme="minorEastAsia" w:eastAsiaTheme="minorEastAsia" w:cstheme="minorEastAsia"/>
          <w:sz w:val="22"/>
          <w:szCs w:val="22"/>
          <w:highlight w:val="none"/>
        </w:rPr>
        <w:t>4.1.2承包人人员</w:t>
      </w:r>
    </w:p>
    <w:p w14:paraId="6F0A8E47">
      <w:pPr>
        <w:spacing w:line="400" w:lineRule="exact"/>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4.1.2.1 承包人提交项目管理机构及施工现场管理人员安排报告的期限：</w:t>
      </w:r>
      <w:r>
        <w:rPr>
          <w:rFonts w:hint="eastAsia" w:asciiTheme="minorEastAsia" w:hAnsiTheme="minorEastAsia" w:eastAsiaTheme="minorEastAsia" w:cstheme="minorEastAsia"/>
          <w:b/>
          <w:sz w:val="22"/>
          <w:szCs w:val="22"/>
          <w:highlight w:val="none"/>
          <w:u w:val="single"/>
        </w:rPr>
        <w:t xml:space="preserve">  签订合同7日内中标单位按投标文件中所附拟派人员全部进场施工，如逾期未派人员进场施工，甲方有权取消其中标资格，并向有关部门通报情况，且在施工过程中如有人员无法满足施工要求，甲方可以要求其必须更换人员，乙方应无条件配合 。</w:t>
      </w:r>
    </w:p>
    <w:p w14:paraId="37E15B02">
      <w:pPr>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4.2履约担保金</w:t>
      </w:r>
    </w:p>
    <w:p w14:paraId="444B9740">
      <w:pPr>
        <w:spacing w:line="400" w:lineRule="exact"/>
        <w:ind w:firstLine="440" w:firstLineChars="200"/>
        <w:jc w:val="left"/>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sz w:val="22"/>
          <w:szCs w:val="22"/>
          <w:highlight w:val="none"/>
        </w:rPr>
        <w:t>承包人是否提供履约担保：</w:t>
      </w:r>
      <w:r>
        <w:rPr>
          <w:rFonts w:hint="eastAsia" w:asciiTheme="minorEastAsia" w:hAnsiTheme="minorEastAsia" w:eastAsiaTheme="minorEastAsia" w:cstheme="minorEastAsia"/>
          <w:b/>
          <w:sz w:val="22"/>
          <w:szCs w:val="22"/>
          <w:highlight w:val="none"/>
          <w:u w:val="single"/>
        </w:rPr>
        <w:t xml:space="preserve">    是    </w:t>
      </w:r>
      <w:r>
        <w:rPr>
          <w:rFonts w:hint="eastAsia" w:asciiTheme="minorEastAsia" w:hAnsiTheme="minorEastAsia" w:eastAsiaTheme="minorEastAsia" w:cstheme="minorEastAsia"/>
          <w:b/>
          <w:sz w:val="22"/>
          <w:szCs w:val="22"/>
          <w:highlight w:val="none"/>
        </w:rPr>
        <w:t>。</w:t>
      </w:r>
    </w:p>
    <w:p w14:paraId="39E6AD7A">
      <w:pPr>
        <w:spacing w:line="400" w:lineRule="exact"/>
        <w:ind w:firstLine="440" w:firstLineChars="200"/>
        <w:jc w:val="left"/>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sz w:val="22"/>
          <w:szCs w:val="22"/>
          <w:highlight w:val="none"/>
        </w:rPr>
        <w:t>承包人提供履约担保的形式、金额及期限：</w:t>
      </w:r>
      <w:r>
        <w:rPr>
          <w:rFonts w:hint="eastAsia" w:asciiTheme="minorEastAsia" w:hAnsiTheme="minorEastAsia" w:eastAsiaTheme="minorEastAsia" w:cstheme="minorEastAsia"/>
          <w:b/>
          <w:sz w:val="22"/>
          <w:szCs w:val="22"/>
          <w:highlight w:val="none"/>
          <w:u w:val="single"/>
        </w:rPr>
        <w:t>中标人在中标通知书发出后，合同签订前，以银行保函形式向招标人提交中标价10%</w:t>
      </w:r>
      <w:r>
        <w:rPr>
          <w:rFonts w:hint="eastAsia" w:asciiTheme="minorEastAsia" w:hAnsiTheme="minorEastAsia" w:eastAsiaTheme="minorEastAsia" w:cstheme="minorEastAsia"/>
          <w:b/>
          <w:sz w:val="22"/>
          <w:szCs w:val="22"/>
          <w:highlight w:val="none"/>
          <w:u w:val="single"/>
          <w:lang w:eastAsia="zh-CN"/>
        </w:rPr>
        <w:t>（</w:t>
      </w:r>
      <w:r>
        <w:rPr>
          <w:rFonts w:hint="eastAsia" w:asciiTheme="minorEastAsia" w:hAnsiTheme="minorEastAsia" w:eastAsiaTheme="minorEastAsia" w:cstheme="minorEastAsia"/>
          <w:b/>
          <w:sz w:val="22"/>
          <w:szCs w:val="22"/>
          <w:highlight w:val="none"/>
          <w:u w:val="single"/>
          <w:lang w:val="en-US" w:eastAsia="zh-CN"/>
        </w:rPr>
        <w:t>取整</w:t>
      </w:r>
      <w:r>
        <w:rPr>
          <w:rFonts w:hint="eastAsia" w:asciiTheme="minorEastAsia" w:hAnsiTheme="minorEastAsia" w:eastAsiaTheme="minorEastAsia" w:cstheme="minorEastAsia"/>
          <w:b/>
          <w:sz w:val="22"/>
          <w:szCs w:val="22"/>
          <w:highlight w:val="none"/>
          <w:u w:val="single"/>
          <w:lang w:eastAsia="zh-CN"/>
        </w:rPr>
        <w:t>）</w:t>
      </w:r>
      <w:r>
        <w:rPr>
          <w:rFonts w:hint="eastAsia" w:asciiTheme="minorEastAsia" w:hAnsiTheme="minorEastAsia" w:eastAsiaTheme="minorEastAsia" w:cstheme="minorEastAsia"/>
          <w:b/>
          <w:sz w:val="22"/>
          <w:szCs w:val="22"/>
          <w:highlight w:val="none"/>
          <w:u w:val="single"/>
        </w:rPr>
        <w:t>的履约保证金；有效期为合同签订之日起至工程竣工验收合格之日止。</w:t>
      </w:r>
    </w:p>
    <w:p w14:paraId="027F38EA">
      <w:pPr>
        <w:rPr>
          <w:rFonts w:hint="eastAsia" w:asciiTheme="minorEastAsia" w:hAnsiTheme="minorEastAsia" w:eastAsiaTheme="minorEastAsia" w:cstheme="minorEastAsia"/>
          <w:b/>
          <w:sz w:val="22"/>
          <w:szCs w:val="22"/>
          <w:highlight w:val="none"/>
        </w:rPr>
      </w:pPr>
    </w:p>
    <w:p w14:paraId="12A5469D">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4.3 分包</w:t>
      </w:r>
    </w:p>
    <w:p w14:paraId="44690300">
      <w:pPr>
        <w:snapToGrid w:val="0"/>
        <w:spacing w:line="360" w:lineRule="auto"/>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b/>
          <w:color w:val="000000"/>
          <w:sz w:val="22"/>
          <w:szCs w:val="22"/>
          <w:highlight w:val="none"/>
        </w:rPr>
        <w:t xml:space="preserve">4.3.2 </w:t>
      </w:r>
      <w:r>
        <w:rPr>
          <w:rFonts w:hint="eastAsia" w:asciiTheme="minorEastAsia" w:hAnsiTheme="minorEastAsia" w:eastAsiaTheme="minorEastAsia" w:cstheme="minorEastAsia"/>
          <w:color w:val="000000"/>
          <w:sz w:val="22"/>
          <w:szCs w:val="22"/>
          <w:highlight w:val="none"/>
        </w:rPr>
        <w:t xml:space="preserve"> 不允许分包。</w:t>
      </w:r>
    </w:p>
    <w:p w14:paraId="1922AF63">
      <w:pPr>
        <w:pStyle w:val="4"/>
        <w:snapToGrid w:val="0"/>
        <w:rPr>
          <w:rFonts w:hint="eastAsia" w:asciiTheme="minorEastAsia" w:hAnsiTheme="minorEastAsia" w:eastAsiaTheme="minorEastAsia" w:cstheme="minorEastAsia"/>
          <w:color w:val="000000"/>
          <w:sz w:val="22"/>
          <w:szCs w:val="22"/>
          <w:highlight w:val="none"/>
        </w:rPr>
      </w:pPr>
      <w:bookmarkStart w:id="191" w:name="_Toc273072869"/>
      <w:bookmarkStart w:id="192" w:name="_Toc409163586"/>
      <w:bookmarkStart w:id="193" w:name="_Toc2571"/>
      <w:r>
        <w:rPr>
          <w:rFonts w:hint="eastAsia" w:asciiTheme="minorEastAsia" w:hAnsiTheme="minorEastAsia" w:eastAsiaTheme="minorEastAsia" w:cstheme="minorEastAsia"/>
          <w:color w:val="000000"/>
          <w:sz w:val="22"/>
          <w:szCs w:val="22"/>
          <w:highlight w:val="none"/>
        </w:rPr>
        <w:t>7.  交通运输</w:t>
      </w:r>
      <w:bookmarkEnd w:id="191"/>
      <w:bookmarkEnd w:id="192"/>
      <w:bookmarkEnd w:id="193"/>
    </w:p>
    <w:p w14:paraId="47313596">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7.1 道路通行权和场外设施</w:t>
      </w:r>
    </w:p>
    <w:p w14:paraId="1A2544D9">
      <w:pPr>
        <w:snapToGrid w:val="0"/>
        <w:spacing w:line="360" w:lineRule="auto"/>
        <w:ind w:firstLine="440" w:firstLineChars="200"/>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道路通行权和场外设施的约定：由承包人自行解决。</w:t>
      </w:r>
    </w:p>
    <w:p w14:paraId="6124A7B4">
      <w:pPr>
        <w:pStyle w:val="4"/>
        <w:snapToGrid w:val="0"/>
        <w:rPr>
          <w:rFonts w:hint="eastAsia" w:asciiTheme="minorEastAsia" w:hAnsiTheme="minorEastAsia" w:eastAsiaTheme="minorEastAsia" w:cstheme="minorEastAsia"/>
          <w:sz w:val="22"/>
          <w:szCs w:val="22"/>
          <w:highlight w:val="none"/>
        </w:rPr>
      </w:pPr>
      <w:bookmarkStart w:id="194" w:name="_Toc273072871"/>
      <w:bookmarkStart w:id="195" w:name="_Toc409163587"/>
      <w:bookmarkStart w:id="196" w:name="_Toc19152"/>
      <w:r>
        <w:rPr>
          <w:rFonts w:hint="eastAsia" w:asciiTheme="minorEastAsia" w:hAnsiTheme="minorEastAsia" w:eastAsiaTheme="minorEastAsia" w:cstheme="minorEastAsia"/>
          <w:color w:val="000000"/>
          <w:sz w:val="22"/>
          <w:szCs w:val="22"/>
          <w:highlight w:val="none"/>
        </w:rPr>
        <w:t>9. 施工安全、治安保卫和环境保护</w:t>
      </w:r>
      <w:bookmarkEnd w:id="194"/>
      <w:bookmarkEnd w:id="195"/>
      <w:bookmarkEnd w:id="196"/>
    </w:p>
    <w:p w14:paraId="018D8936">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9.1 发包人的施工安全责任</w:t>
      </w:r>
    </w:p>
    <w:p w14:paraId="0910E0F6">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 xml:space="preserve">    9.1.4 </w:t>
      </w:r>
      <w:r>
        <w:rPr>
          <w:rFonts w:hint="eastAsia" w:asciiTheme="minorEastAsia" w:hAnsiTheme="minorEastAsia" w:eastAsiaTheme="minorEastAsia" w:cstheme="minorEastAsia"/>
          <w:sz w:val="22"/>
          <w:szCs w:val="22"/>
          <w:highlight w:val="none"/>
        </w:rPr>
        <w:t>执行通用条款。</w:t>
      </w:r>
    </w:p>
    <w:p w14:paraId="10949584">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9.7 文明施工</w:t>
      </w:r>
    </w:p>
    <w:p w14:paraId="5FB11C30">
      <w:pPr>
        <w:snapToGrid w:val="0"/>
        <w:spacing w:line="360" w:lineRule="auto"/>
        <w:ind w:firstLine="48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 xml:space="preserve">9.7.1 </w:t>
      </w:r>
      <w:r>
        <w:rPr>
          <w:rFonts w:hint="eastAsia" w:asciiTheme="minorEastAsia" w:hAnsiTheme="minorEastAsia" w:eastAsiaTheme="minorEastAsia" w:cstheme="minorEastAsia"/>
          <w:sz w:val="22"/>
          <w:szCs w:val="22"/>
          <w:highlight w:val="none"/>
        </w:rPr>
        <w:t>本合同文明工地的约定：</w:t>
      </w:r>
      <w:bookmarkStart w:id="197" w:name="_Toc273072872"/>
      <w:r>
        <w:rPr>
          <w:rFonts w:hint="eastAsia" w:asciiTheme="minorEastAsia" w:hAnsiTheme="minorEastAsia" w:eastAsiaTheme="minorEastAsia" w:cstheme="minorEastAsia"/>
          <w:sz w:val="22"/>
          <w:szCs w:val="22"/>
          <w:highlight w:val="none"/>
        </w:rPr>
        <w:t>按照水利施工规范执行</w:t>
      </w:r>
    </w:p>
    <w:p w14:paraId="03420C63">
      <w:pPr>
        <w:pStyle w:val="4"/>
        <w:snapToGrid w:val="0"/>
        <w:rPr>
          <w:rFonts w:hint="eastAsia" w:asciiTheme="minorEastAsia" w:hAnsiTheme="minorEastAsia" w:eastAsiaTheme="minorEastAsia" w:cstheme="minorEastAsia"/>
          <w:color w:val="000000"/>
          <w:sz w:val="22"/>
          <w:szCs w:val="22"/>
          <w:highlight w:val="none"/>
        </w:rPr>
      </w:pPr>
      <w:bookmarkStart w:id="198" w:name="_Toc3235"/>
      <w:bookmarkStart w:id="199" w:name="_Toc409163588"/>
      <w:r>
        <w:rPr>
          <w:rFonts w:hint="eastAsia" w:asciiTheme="minorEastAsia" w:hAnsiTheme="minorEastAsia" w:eastAsiaTheme="minorEastAsia" w:cstheme="minorEastAsia"/>
          <w:color w:val="000000"/>
          <w:sz w:val="22"/>
          <w:szCs w:val="22"/>
          <w:highlight w:val="none"/>
        </w:rPr>
        <w:t>10 承包工程内容</w:t>
      </w:r>
      <w:bookmarkEnd w:id="198"/>
      <w:bookmarkEnd w:id="199"/>
    </w:p>
    <w:p w14:paraId="4E1213BB">
      <w:pPr>
        <w:snapToGrid w:val="0"/>
        <w:spacing w:line="360" w:lineRule="auto"/>
        <w:rPr>
          <w:rFonts w:hint="eastAsia" w:asciiTheme="minorEastAsia" w:hAnsiTheme="minorEastAsia" w:eastAsiaTheme="minorEastAsia" w:cstheme="minorEastAsia"/>
          <w:color w:val="000000"/>
          <w:sz w:val="22"/>
          <w:szCs w:val="22"/>
          <w:highlight w:val="none"/>
        </w:rPr>
      </w:pPr>
      <w:bookmarkStart w:id="200" w:name="_Toc32228"/>
      <w:bookmarkStart w:id="201" w:name="_Toc21114"/>
      <w:r>
        <w:rPr>
          <w:rFonts w:hint="eastAsia" w:asciiTheme="minorEastAsia" w:hAnsiTheme="minorEastAsia" w:eastAsiaTheme="minorEastAsia" w:cstheme="minorEastAsia"/>
          <w:color w:val="000000"/>
          <w:sz w:val="22"/>
          <w:szCs w:val="22"/>
          <w:highlight w:val="none"/>
        </w:rPr>
        <w:t xml:space="preserve">    施工招标书工程量清单和施工图纸中所有内容。</w:t>
      </w:r>
      <w:bookmarkEnd w:id="200"/>
      <w:bookmarkEnd w:id="201"/>
    </w:p>
    <w:p w14:paraId="039B8190">
      <w:pPr>
        <w:pStyle w:val="4"/>
        <w:numPr>
          <w:ilvl w:val="0"/>
          <w:numId w:val="2"/>
        </w:numPr>
        <w:snapToGrid w:val="0"/>
        <w:rPr>
          <w:rFonts w:hint="eastAsia" w:asciiTheme="minorEastAsia" w:hAnsiTheme="minorEastAsia" w:eastAsiaTheme="minorEastAsia" w:cstheme="minorEastAsia"/>
          <w:sz w:val="22"/>
          <w:szCs w:val="22"/>
          <w:highlight w:val="none"/>
        </w:rPr>
      </w:pPr>
      <w:bookmarkStart w:id="202" w:name="_Toc372"/>
      <w:bookmarkStart w:id="203" w:name="_Toc409163589"/>
      <w:r>
        <w:rPr>
          <w:rFonts w:hint="eastAsia" w:asciiTheme="minorEastAsia" w:hAnsiTheme="minorEastAsia" w:eastAsiaTheme="minorEastAsia" w:cstheme="minorEastAsia"/>
          <w:color w:val="000000"/>
          <w:sz w:val="22"/>
          <w:szCs w:val="22"/>
          <w:highlight w:val="none"/>
        </w:rPr>
        <w:t>开工和竣工（完</w:t>
      </w:r>
      <w:r>
        <w:rPr>
          <w:rFonts w:hint="eastAsia" w:asciiTheme="minorEastAsia" w:hAnsiTheme="minorEastAsia" w:eastAsiaTheme="minorEastAsia" w:cstheme="minorEastAsia"/>
          <w:sz w:val="22"/>
          <w:szCs w:val="22"/>
          <w:highlight w:val="none"/>
        </w:rPr>
        <w:t>工）</w:t>
      </w:r>
      <w:bookmarkEnd w:id="197"/>
      <w:bookmarkEnd w:id="202"/>
      <w:bookmarkEnd w:id="203"/>
      <w:bookmarkStart w:id="204" w:name="_Toc24839"/>
      <w:bookmarkStart w:id="205" w:name="_Toc22893"/>
    </w:p>
    <w:p w14:paraId="73D85B11">
      <w:pPr>
        <w:snapToGrid w:val="0"/>
        <w:spacing w:line="360" w:lineRule="auto"/>
        <w:rPr>
          <w:rFonts w:hint="eastAsia" w:asciiTheme="minorEastAsia" w:hAnsiTheme="minorEastAsia" w:eastAsiaTheme="minorEastAsia" w:cstheme="minorEastAsia"/>
          <w:color w:val="000000"/>
          <w:sz w:val="22"/>
          <w:szCs w:val="22"/>
          <w:highlight w:val="none"/>
          <w:lang w:val="en-US" w:eastAsia="zh-CN"/>
        </w:rPr>
      </w:pPr>
      <w:r>
        <w:rPr>
          <w:rFonts w:hint="eastAsia" w:asciiTheme="minorEastAsia" w:hAnsiTheme="minorEastAsia" w:eastAsiaTheme="minorEastAsia" w:cstheme="minorEastAsia"/>
          <w:sz w:val="22"/>
          <w:szCs w:val="22"/>
          <w:highlight w:val="none"/>
        </w:rPr>
        <w:t xml:space="preserve"> </w:t>
      </w:r>
      <w:r>
        <w:rPr>
          <w:rFonts w:hint="eastAsia" w:asciiTheme="minorEastAsia" w:hAnsiTheme="minorEastAsia" w:eastAsiaTheme="minorEastAsia" w:cstheme="minorEastAsia"/>
          <w:color w:val="000000"/>
          <w:sz w:val="22"/>
          <w:szCs w:val="22"/>
          <w:highlight w:val="none"/>
        </w:rPr>
        <w:t xml:space="preserve"> </w:t>
      </w:r>
      <w:bookmarkEnd w:id="204"/>
      <w:bookmarkEnd w:id="205"/>
      <w:r>
        <w:rPr>
          <w:rFonts w:hint="eastAsia" w:asciiTheme="minorEastAsia" w:hAnsiTheme="minorEastAsia" w:eastAsiaTheme="minorEastAsia" w:cstheme="minorEastAsia"/>
          <w:color w:val="000000"/>
          <w:sz w:val="22"/>
          <w:szCs w:val="22"/>
          <w:highlight w:val="none"/>
          <w:lang w:val="en-US" w:eastAsia="zh-CN"/>
        </w:rPr>
        <w:t>计划总工期：</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日历天。</w:t>
      </w:r>
    </w:p>
    <w:p w14:paraId="7A4A406C">
      <w:pPr>
        <w:snapToGrid w:val="0"/>
        <w:spacing w:line="360" w:lineRule="auto"/>
        <w:rPr>
          <w:rFonts w:hint="eastAsia" w:asciiTheme="minorEastAsia" w:hAnsiTheme="minorEastAsia" w:eastAsiaTheme="minorEastAsia" w:cstheme="minorEastAsia"/>
          <w:color w:val="000000"/>
          <w:sz w:val="22"/>
          <w:szCs w:val="22"/>
          <w:highlight w:val="none"/>
          <w:lang w:val="en-US" w:eastAsia="zh-CN"/>
        </w:rPr>
      </w:pPr>
      <w:r>
        <w:rPr>
          <w:rFonts w:hint="eastAsia" w:asciiTheme="minorEastAsia" w:hAnsiTheme="minorEastAsia" w:eastAsiaTheme="minorEastAsia" w:cstheme="minorEastAsia"/>
          <w:color w:val="000000"/>
          <w:sz w:val="22"/>
          <w:szCs w:val="22"/>
          <w:highlight w:val="none"/>
          <w:lang w:val="en-US" w:eastAsia="zh-CN"/>
        </w:rPr>
        <w:t>工程计划开工日期：</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年</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月</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日</w:t>
      </w:r>
    </w:p>
    <w:p w14:paraId="0F7160D8">
      <w:pPr>
        <w:snapToGrid w:val="0"/>
        <w:spacing w:line="360" w:lineRule="auto"/>
        <w:rPr>
          <w:rFonts w:hint="eastAsia" w:asciiTheme="minorEastAsia" w:hAnsiTheme="minorEastAsia" w:eastAsiaTheme="minorEastAsia" w:cstheme="minorEastAsia"/>
          <w:color w:val="000000"/>
          <w:sz w:val="22"/>
          <w:szCs w:val="22"/>
          <w:highlight w:val="none"/>
          <w:lang w:val="en-US" w:eastAsia="zh-CN"/>
        </w:rPr>
      </w:pPr>
      <w:r>
        <w:rPr>
          <w:rFonts w:hint="eastAsia" w:asciiTheme="minorEastAsia" w:hAnsiTheme="minorEastAsia" w:eastAsiaTheme="minorEastAsia" w:cstheme="minorEastAsia"/>
          <w:color w:val="000000"/>
          <w:sz w:val="22"/>
          <w:szCs w:val="22"/>
          <w:highlight w:val="none"/>
          <w:lang w:val="en-US" w:eastAsia="zh-CN"/>
        </w:rPr>
        <w:t>工程计划竣工日期：</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年</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月</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lang w:val="en-US" w:eastAsia="zh-CN"/>
        </w:rPr>
        <w:t>日</w:t>
      </w:r>
    </w:p>
    <w:p w14:paraId="437FB387">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11.5 承包人工期延误</w:t>
      </w:r>
    </w:p>
    <w:p w14:paraId="73E93A3B">
      <w:pPr>
        <w:snapToGrid w:val="0"/>
        <w:spacing w:line="360" w:lineRule="auto"/>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 xml:space="preserve">    1. 因承包人原因造成的工期延误，每逾期一天，承包人支付发包人施工合同总金额3‰的违约金，逾期超过30天，发包人有权单方面终止合同，并不予结算未付已完成工程的工程款，剩余未完工程由甲方指定专业施工队完成施工。</w:t>
      </w:r>
    </w:p>
    <w:p w14:paraId="1EE0C7DC">
      <w:pPr>
        <w:pStyle w:val="4"/>
        <w:snapToGrid w:val="0"/>
        <w:rPr>
          <w:rFonts w:hint="eastAsia" w:asciiTheme="minorEastAsia" w:hAnsiTheme="minorEastAsia" w:eastAsiaTheme="minorEastAsia" w:cstheme="minorEastAsia"/>
          <w:color w:val="000000"/>
          <w:sz w:val="22"/>
          <w:szCs w:val="22"/>
          <w:highlight w:val="none"/>
        </w:rPr>
      </w:pPr>
      <w:bookmarkStart w:id="206" w:name="_Toc273072874"/>
      <w:bookmarkStart w:id="207" w:name="_Toc24595"/>
      <w:bookmarkStart w:id="208" w:name="_Toc409163590"/>
      <w:r>
        <w:rPr>
          <w:rFonts w:hint="eastAsia" w:asciiTheme="minorEastAsia" w:hAnsiTheme="minorEastAsia" w:eastAsiaTheme="minorEastAsia" w:cstheme="minorEastAsia"/>
          <w:color w:val="000000"/>
          <w:sz w:val="22"/>
          <w:szCs w:val="22"/>
          <w:highlight w:val="none"/>
        </w:rPr>
        <w:t>13. 工程质量</w:t>
      </w:r>
      <w:bookmarkEnd w:id="206"/>
      <w:bookmarkEnd w:id="207"/>
      <w:bookmarkEnd w:id="208"/>
    </w:p>
    <w:p w14:paraId="5576EB02">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13.7  质量评定</w:t>
      </w:r>
    </w:p>
    <w:p w14:paraId="27D88F9B">
      <w:pPr>
        <w:snapToGrid w:val="0"/>
        <w:spacing w:line="360" w:lineRule="auto"/>
        <w:ind w:firstLine="649" w:firstLineChars="294"/>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b/>
          <w:color w:val="000000"/>
          <w:sz w:val="22"/>
          <w:szCs w:val="22"/>
          <w:highlight w:val="none"/>
        </w:rPr>
        <w:t xml:space="preserve">13.7.4 </w:t>
      </w:r>
      <w:r>
        <w:rPr>
          <w:rFonts w:hint="eastAsia" w:asciiTheme="minorEastAsia" w:hAnsiTheme="minorEastAsia" w:eastAsiaTheme="minorEastAsia" w:cstheme="minorEastAsia"/>
          <w:color w:val="000000"/>
          <w:sz w:val="22"/>
          <w:szCs w:val="22"/>
          <w:highlight w:val="none"/>
        </w:rPr>
        <w:t>重要隐蔽单元工程和关键部位单元工程质量评定的约定：合格。</w:t>
      </w:r>
    </w:p>
    <w:p w14:paraId="0223AD3A">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13.8  质量事故处理</w:t>
      </w:r>
    </w:p>
    <w:p w14:paraId="2B43FDA7">
      <w:pPr>
        <w:snapToGrid w:val="0"/>
        <w:spacing w:line="360" w:lineRule="auto"/>
        <w:ind w:firstLine="541" w:firstLineChars="245"/>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b/>
          <w:color w:val="000000"/>
          <w:sz w:val="22"/>
          <w:szCs w:val="22"/>
          <w:highlight w:val="none"/>
        </w:rPr>
        <w:t xml:space="preserve">13.8.4 </w:t>
      </w:r>
      <w:r>
        <w:rPr>
          <w:rFonts w:hint="eastAsia" w:asciiTheme="minorEastAsia" w:hAnsiTheme="minorEastAsia" w:eastAsiaTheme="minorEastAsia" w:cstheme="minorEastAsia"/>
          <w:color w:val="000000"/>
          <w:sz w:val="22"/>
          <w:szCs w:val="22"/>
          <w:highlight w:val="none"/>
        </w:rPr>
        <w:t>工程竣工验收时，监理单位向竣工验收委员会汇报并提交历次质量缺陷处理的备案资料。</w:t>
      </w:r>
    </w:p>
    <w:p w14:paraId="610DB815">
      <w:pPr>
        <w:pStyle w:val="4"/>
        <w:snapToGrid w:val="0"/>
        <w:rPr>
          <w:rFonts w:hint="eastAsia" w:asciiTheme="minorEastAsia" w:hAnsiTheme="minorEastAsia" w:eastAsiaTheme="minorEastAsia" w:cstheme="minorEastAsia"/>
          <w:color w:val="000000"/>
          <w:sz w:val="22"/>
          <w:szCs w:val="22"/>
          <w:highlight w:val="none"/>
        </w:rPr>
      </w:pPr>
      <w:bookmarkStart w:id="209" w:name="_Toc409163591"/>
      <w:bookmarkStart w:id="210" w:name="_Toc2353"/>
      <w:bookmarkStart w:id="211" w:name="_Toc273072875"/>
      <w:r>
        <w:rPr>
          <w:rFonts w:hint="eastAsia" w:asciiTheme="minorEastAsia" w:hAnsiTheme="minorEastAsia" w:eastAsiaTheme="minorEastAsia" w:cstheme="minorEastAsia"/>
          <w:color w:val="000000"/>
          <w:sz w:val="22"/>
          <w:szCs w:val="22"/>
          <w:highlight w:val="none"/>
        </w:rPr>
        <w:t>14.  试验和检验</w:t>
      </w:r>
      <w:bookmarkEnd w:id="209"/>
      <w:bookmarkEnd w:id="210"/>
      <w:bookmarkEnd w:id="211"/>
      <w:r>
        <w:rPr>
          <w:rFonts w:hint="eastAsia" w:asciiTheme="minorEastAsia" w:hAnsiTheme="minorEastAsia" w:eastAsiaTheme="minorEastAsia" w:cstheme="minorEastAsia"/>
          <w:color w:val="000000"/>
          <w:sz w:val="22"/>
          <w:szCs w:val="22"/>
          <w:highlight w:val="none"/>
        </w:rPr>
        <w:t xml:space="preserve"> </w:t>
      </w:r>
    </w:p>
    <w:p w14:paraId="1A5394C2">
      <w:pPr>
        <w:pStyle w:val="4"/>
        <w:snapToGrid w:val="0"/>
        <w:rPr>
          <w:rFonts w:hint="eastAsia" w:asciiTheme="minorEastAsia" w:hAnsiTheme="minorEastAsia" w:eastAsiaTheme="minorEastAsia" w:cstheme="minorEastAsia"/>
          <w:color w:val="000000"/>
          <w:sz w:val="22"/>
          <w:szCs w:val="22"/>
          <w:highlight w:val="none"/>
        </w:rPr>
      </w:pPr>
      <w:bookmarkStart w:id="212" w:name="_Toc273072876"/>
      <w:bookmarkStart w:id="213" w:name="_Toc409163592"/>
      <w:bookmarkStart w:id="214" w:name="_Toc2644"/>
      <w:r>
        <w:rPr>
          <w:rFonts w:hint="eastAsia" w:asciiTheme="minorEastAsia" w:hAnsiTheme="minorEastAsia" w:eastAsiaTheme="minorEastAsia" w:cstheme="minorEastAsia"/>
          <w:color w:val="000000"/>
          <w:sz w:val="22"/>
          <w:szCs w:val="22"/>
          <w:highlight w:val="none"/>
        </w:rPr>
        <w:t>15.  变更</w:t>
      </w:r>
      <w:bookmarkEnd w:id="212"/>
      <w:bookmarkEnd w:id="213"/>
      <w:bookmarkEnd w:id="214"/>
    </w:p>
    <w:p w14:paraId="557F03B9">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15.1 变更的范围和内容</w:t>
      </w:r>
    </w:p>
    <w:p w14:paraId="568ED8E2">
      <w:pPr>
        <w:snapToGrid w:val="0"/>
        <w:spacing w:line="360" w:lineRule="auto"/>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b/>
          <w:color w:val="000000"/>
          <w:sz w:val="22"/>
          <w:szCs w:val="22"/>
          <w:highlight w:val="none"/>
        </w:rPr>
        <w:t xml:space="preserve">   </w:t>
      </w:r>
      <w:r>
        <w:rPr>
          <w:rFonts w:hint="eastAsia" w:asciiTheme="minorEastAsia" w:hAnsiTheme="minorEastAsia" w:eastAsiaTheme="minorEastAsia" w:cstheme="minorEastAsia"/>
          <w:color w:val="000000"/>
          <w:sz w:val="22"/>
          <w:szCs w:val="22"/>
          <w:highlight w:val="none"/>
        </w:rPr>
        <w:t xml:space="preserve"> 按照水利部《水利工程设计变更管理暂行办法》执行。</w:t>
      </w:r>
    </w:p>
    <w:p w14:paraId="49B7B5B4">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color w:val="000000"/>
          <w:sz w:val="22"/>
          <w:szCs w:val="22"/>
          <w:highlight w:val="none"/>
        </w:rPr>
        <w:t>15.2 承包</w:t>
      </w:r>
      <w:r>
        <w:rPr>
          <w:rFonts w:hint="eastAsia" w:asciiTheme="minorEastAsia" w:hAnsiTheme="minorEastAsia" w:eastAsiaTheme="minorEastAsia" w:cstheme="minorEastAsia"/>
          <w:b/>
          <w:sz w:val="22"/>
          <w:szCs w:val="22"/>
          <w:highlight w:val="none"/>
        </w:rPr>
        <w:t>人的合理化建议</w:t>
      </w:r>
    </w:p>
    <w:p w14:paraId="22971C58">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 xml:space="preserve">    15.2.2 </w:t>
      </w:r>
      <w:r>
        <w:rPr>
          <w:rFonts w:hint="eastAsia" w:asciiTheme="minorEastAsia" w:hAnsiTheme="minorEastAsia" w:eastAsiaTheme="minorEastAsia" w:cstheme="minorEastAsia"/>
          <w:sz w:val="22"/>
          <w:szCs w:val="22"/>
          <w:highlight w:val="none"/>
        </w:rPr>
        <w:t>承包人实现合理化建议的奖励金额为：不奖励。</w:t>
      </w:r>
    </w:p>
    <w:p w14:paraId="0EA812D7">
      <w:pPr>
        <w:pStyle w:val="4"/>
        <w:snapToGrid w:val="0"/>
        <w:rPr>
          <w:rFonts w:hint="eastAsia" w:asciiTheme="minorEastAsia" w:hAnsiTheme="minorEastAsia" w:eastAsiaTheme="minorEastAsia" w:cstheme="minorEastAsia"/>
          <w:sz w:val="22"/>
          <w:szCs w:val="22"/>
          <w:highlight w:val="none"/>
        </w:rPr>
      </w:pPr>
      <w:bookmarkStart w:id="215" w:name="_Toc273072877"/>
      <w:bookmarkStart w:id="216" w:name="_Toc409163593"/>
      <w:bookmarkStart w:id="217" w:name="_Toc28457"/>
      <w:r>
        <w:rPr>
          <w:rFonts w:hint="eastAsia" w:asciiTheme="minorEastAsia" w:hAnsiTheme="minorEastAsia" w:eastAsiaTheme="minorEastAsia" w:cstheme="minorEastAsia"/>
          <w:sz w:val="22"/>
          <w:szCs w:val="22"/>
          <w:highlight w:val="none"/>
        </w:rPr>
        <w:t>16. 价格调整</w:t>
      </w:r>
      <w:bookmarkEnd w:id="215"/>
      <w:bookmarkEnd w:id="216"/>
      <w:bookmarkEnd w:id="217"/>
    </w:p>
    <w:p w14:paraId="49D84C9F">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16.1 物价引起的价格调整</w:t>
      </w:r>
    </w:p>
    <w:p w14:paraId="543C2686">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 xml:space="preserve">    </w:t>
      </w:r>
      <w:r>
        <w:rPr>
          <w:rFonts w:hint="eastAsia" w:asciiTheme="minorEastAsia" w:hAnsiTheme="minorEastAsia" w:eastAsiaTheme="minorEastAsia" w:cstheme="minorEastAsia"/>
          <w:sz w:val="22"/>
          <w:szCs w:val="22"/>
          <w:highlight w:val="none"/>
        </w:rPr>
        <w:t xml:space="preserve">   政策性性文件引起的价格调整：不予调整</w:t>
      </w:r>
      <w:bookmarkStart w:id="233" w:name="_GoBack"/>
      <w:bookmarkEnd w:id="233"/>
      <w:r>
        <w:rPr>
          <w:rFonts w:hint="eastAsia" w:asciiTheme="minorEastAsia" w:hAnsiTheme="minorEastAsia" w:eastAsiaTheme="minorEastAsia" w:cstheme="minorEastAsia"/>
          <w:sz w:val="22"/>
          <w:szCs w:val="22"/>
          <w:highlight w:val="none"/>
        </w:rPr>
        <w:t>。</w:t>
      </w:r>
    </w:p>
    <w:p w14:paraId="3248D289">
      <w:pPr>
        <w:pStyle w:val="4"/>
        <w:snapToGrid w:val="0"/>
        <w:rPr>
          <w:rFonts w:hint="eastAsia" w:asciiTheme="minorEastAsia" w:hAnsiTheme="minorEastAsia" w:eastAsiaTheme="minorEastAsia" w:cstheme="minorEastAsia"/>
          <w:sz w:val="22"/>
          <w:szCs w:val="22"/>
          <w:highlight w:val="none"/>
        </w:rPr>
      </w:pPr>
      <w:bookmarkStart w:id="218" w:name="_Toc12002"/>
      <w:bookmarkStart w:id="219" w:name="_Toc273072878"/>
      <w:bookmarkStart w:id="220" w:name="_Toc409163594"/>
      <w:r>
        <w:rPr>
          <w:rFonts w:hint="eastAsia" w:asciiTheme="minorEastAsia" w:hAnsiTheme="minorEastAsia" w:eastAsiaTheme="minorEastAsia" w:cstheme="minorEastAsia"/>
          <w:sz w:val="22"/>
          <w:szCs w:val="22"/>
          <w:highlight w:val="none"/>
        </w:rPr>
        <w:t>17. 计量与支付</w:t>
      </w:r>
      <w:bookmarkEnd w:id="218"/>
      <w:bookmarkEnd w:id="219"/>
      <w:bookmarkEnd w:id="220"/>
    </w:p>
    <w:p w14:paraId="16BC2F0E">
      <w:pPr>
        <w:snapToGrid w:val="0"/>
        <w:spacing w:line="360" w:lineRule="auto"/>
        <w:rPr>
          <w:rFonts w:hint="eastAsia" w:asciiTheme="minorEastAsia" w:hAnsiTheme="minorEastAsia" w:eastAsiaTheme="minorEastAsia" w:cstheme="minorEastAsia"/>
          <w:b/>
          <w:sz w:val="22"/>
          <w:szCs w:val="22"/>
          <w:highlight w:val="none"/>
          <w:u w:val="single"/>
        </w:rPr>
      </w:pPr>
      <w:r>
        <w:rPr>
          <w:rFonts w:hint="eastAsia" w:asciiTheme="minorEastAsia" w:hAnsiTheme="minorEastAsia" w:eastAsiaTheme="minorEastAsia" w:cstheme="minorEastAsia"/>
          <w:b/>
          <w:sz w:val="22"/>
          <w:szCs w:val="22"/>
          <w:highlight w:val="none"/>
        </w:rPr>
        <w:t>17.2 预付款：</w:t>
      </w:r>
      <w:r>
        <w:rPr>
          <w:rFonts w:hint="eastAsia" w:asciiTheme="minorEastAsia" w:hAnsiTheme="minorEastAsia" w:eastAsiaTheme="minorEastAsia" w:cstheme="minorEastAsia"/>
          <w:b/>
          <w:sz w:val="22"/>
          <w:szCs w:val="22"/>
          <w:highlight w:val="none"/>
          <w:u w:val="single"/>
        </w:rPr>
        <w:t>本工程不设预付款</w:t>
      </w:r>
    </w:p>
    <w:p w14:paraId="31D206E8">
      <w:pPr>
        <w:snapToGrid w:val="0"/>
        <w:spacing w:line="360" w:lineRule="auto"/>
        <w:rPr>
          <w:rFonts w:hint="eastAsia"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17.3工程款支付：</w:t>
      </w:r>
      <w:r>
        <w:rPr>
          <w:rFonts w:hint="eastAsia" w:asciiTheme="minorEastAsia" w:hAnsiTheme="minorEastAsia" w:eastAsiaTheme="minorEastAsia" w:cstheme="minorEastAsia"/>
          <w:b/>
          <w:sz w:val="22"/>
          <w:szCs w:val="22"/>
          <w:highlight w:val="none"/>
          <w:lang w:val="en-US" w:eastAsia="zh-CN"/>
        </w:rPr>
        <w:t>视财政资金拨付情况，按实际工程进度价款的80%支付工程款，待审计公司出具审计报告结算后，工程款支付至90%；项目竣工验收合格后付至97%，通过竣工验收且满一年保修期无质量缺陷付完尾款</w:t>
      </w:r>
      <w:r>
        <w:rPr>
          <w:rFonts w:hint="eastAsia" w:asciiTheme="minorEastAsia" w:hAnsiTheme="minorEastAsia" w:eastAsiaTheme="minorEastAsia" w:cstheme="minorEastAsia"/>
          <w:b/>
          <w:sz w:val="22"/>
          <w:szCs w:val="22"/>
          <w:highlight w:val="none"/>
        </w:rPr>
        <w:t>。</w:t>
      </w:r>
    </w:p>
    <w:p w14:paraId="571FB6B6">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color w:val="000000"/>
          <w:sz w:val="22"/>
          <w:szCs w:val="22"/>
          <w:highlight w:val="none"/>
        </w:rPr>
        <w:t xml:space="preserve"> </w:t>
      </w:r>
      <w:r>
        <w:rPr>
          <w:rFonts w:hint="eastAsia" w:asciiTheme="minorEastAsia" w:hAnsiTheme="minorEastAsia" w:eastAsiaTheme="minorEastAsia" w:cstheme="minorEastAsia"/>
          <w:b/>
          <w:color w:val="000000"/>
          <w:sz w:val="22"/>
          <w:szCs w:val="22"/>
          <w:highlight w:val="none"/>
        </w:rPr>
        <w:t>17.4  质量保证金</w:t>
      </w:r>
    </w:p>
    <w:p w14:paraId="3F40D1C1">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color w:val="000000"/>
          <w:sz w:val="22"/>
          <w:szCs w:val="22"/>
          <w:highlight w:val="none"/>
        </w:rPr>
        <w:t>17.</w:t>
      </w:r>
      <w:r>
        <w:rPr>
          <w:rFonts w:hint="eastAsia" w:asciiTheme="minorEastAsia" w:hAnsiTheme="minorEastAsia" w:eastAsiaTheme="minorEastAsia" w:cstheme="minorEastAsia"/>
          <w:b/>
          <w:sz w:val="22"/>
          <w:szCs w:val="22"/>
          <w:highlight w:val="none"/>
        </w:rPr>
        <w:t xml:space="preserve">4.1 </w:t>
      </w:r>
      <w:r>
        <w:rPr>
          <w:rFonts w:hint="eastAsia" w:asciiTheme="minorEastAsia" w:hAnsiTheme="minorEastAsia" w:eastAsiaTheme="minorEastAsia" w:cstheme="minorEastAsia"/>
          <w:sz w:val="22"/>
          <w:szCs w:val="22"/>
          <w:highlight w:val="none"/>
        </w:rPr>
        <w:t>扣留的质量保证金总额为</w:t>
      </w:r>
      <w:r>
        <w:rPr>
          <w:rFonts w:hint="eastAsia" w:asciiTheme="minorEastAsia" w:hAnsiTheme="minorEastAsia" w:eastAsiaTheme="minorEastAsia" w:cstheme="minorEastAsia"/>
          <w:sz w:val="22"/>
          <w:szCs w:val="22"/>
          <w:highlight w:val="none"/>
          <w:lang w:val="en-US" w:eastAsia="zh-CN"/>
        </w:rPr>
        <w:t>工程竣工审计金额</w:t>
      </w:r>
      <w:r>
        <w:rPr>
          <w:rFonts w:hint="eastAsia" w:asciiTheme="minorEastAsia" w:hAnsiTheme="minorEastAsia" w:eastAsiaTheme="minorEastAsia" w:cstheme="minorEastAsia"/>
          <w:sz w:val="22"/>
          <w:szCs w:val="22"/>
          <w:highlight w:val="none"/>
        </w:rPr>
        <w:t>的3%，时间为一年，质保期满后发包人全部支付承包人。</w:t>
      </w:r>
    </w:p>
    <w:p w14:paraId="2493C249">
      <w:pPr>
        <w:pStyle w:val="4"/>
        <w:snapToGrid w:val="0"/>
        <w:rPr>
          <w:rFonts w:hint="eastAsia" w:asciiTheme="minorEastAsia" w:hAnsiTheme="minorEastAsia" w:eastAsiaTheme="minorEastAsia" w:cstheme="minorEastAsia"/>
          <w:sz w:val="22"/>
          <w:szCs w:val="22"/>
          <w:highlight w:val="none"/>
        </w:rPr>
      </w:pPr>
      <w:bookmarkStart w:id="221" w:name="_Toc273072879"/>
      <w:bookmarkStart w:id="222" w:name="_Toc409163595"/>
      <w:bookmarkStart w:id="223" w:name="_Toc28731"/>
      <w:r>
        <w:rPr>
          <w:rFonts w:hint="eastAsia" w:asciiTheme="minorEastAsia" w:hAnsiTheme="minorEastAsia" w:eastAsiaTheme="minorEastAsia" w:cstheme="minorEastAsia"/>
          <w:sz w:val="22"/>
          <w:szCs w:val="22"/>
          <w:highlight w:val="none"/>
        </w:rPr>
        <w:t>18. 竣工结算与验收</w:t>
      </w:r>
      <w:bookmarkEnd w:id="221"/>
      <w:bookmarkEnd w:id="222"/>
      <w:bookmarkEnd w:id="223"/>
    </w:p>
    <w:p w14:paraId="66DBCE90">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w:t>
      </w:r>
      <w:r>
        <w:rPr>
          <w:rFonts w:hint="eastAsia" w:asciiTheme="minorEastAsia" w:hAnsiTheme="minorEastAsia" w:eastAsiaTheme="minorEastAsia" w:cstheme="minorEastAsia"/>
          <w:b/>
          <w:bCs/>
          <w:sz w:val="22"/>
          <w:szCs w:val="22"/>
          <w:highlight w:val="none"/>
        </w:rPr>
        <w:t>18.1 最终结算价以审计机关竣工决算审定价为准。施工单位在结算审计中要积极配合审计工作，在审计单位书面通知后要在一个月内确认审计结果，逾期视为同意审计审定的造价结论。</w:t>
      </w:r>
    </w:p>
    <w:p w14:paraId="259005F0">
      <w:pPr>
        <w:snapToGrid w:val="0"/>
        <w:spacing w:line="360" w:lineRule="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18.2验收按照《水利水电建设工程验收规程》（SL223—2008）执行。</w:t>
      </w:r>
    </w:p>
    <w:p w14:paraId="369145E7">
      <w:pPr>
        <w:pStyle w:val="4"/>
        <w:snapToGrid w:val="0"/>
        <w:rPr>
          <w:rFonts w:hint="eastAsia" w:asciiTheme="minorEastAsia" w:hAnsiTheme="minorEastAsia" w:eastAsiaTheme="minorEastAsia" w:cstheme="minorEastAsia"/>
          <w:sz w:val="22"/>
          <w:szCs w:val="22"/>
          <w:highlight w:val="none"/>
        </w:rPr>
      </w:pPr>
      <w:bookmarkStart w:id="224" w:name="_Toc409163596"/>
      <w:bookmarkStart w:id="225" w:name="_Toc2321"/>
      <w:bookmarkStart w:id="226" w:name="_Toc273072880"/>
      <w:r>
        <w:rPr>
          <w:rFonts w:hint="eastAsia" w:asciiTheme="minorEastAsia" w:hAnsiTheme="minorEastAsia" w:eastAsiaTheme="minorEastAsia" w:cstheme="minorEastAsia"/>
          <w:sz w:val="22"/>
          <w:szCs w:val="22"/>
          <w:highlight w:val="none"/>
        </w:rPr>
        <w:t>19.  缺陷责任与保修责任</w:t>
      </w:r>
      <w:bookmarkEnd w:id="224"/>
      <w:bookmarkEnd w:id="225"/>
      <w:bookmarkEnd w:id="226"/>
    </w:p>
    <w:p w14:paraId="2C38C09A">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19.1 缺陷责任期（工程质量保修期）起算时间</w:t>
      </w:r>
    </w:p>
    <w:p w14:paraId="317B04B4">
      <w:pPr>
        <w:snapToGrid w:val="0"/>
        <w:spacing w:line="360" w:lineRule="auto"/>
        <w:ind w:firstLine="435"/>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本工程缺陷责任期（工程质量保修期）计算如下：工程竣工验收合格后一年。</w:t>
      </w:r>
    </w:p>
    <w:p w14:paraId="6246EA4B">
      <w:pPr>
        <w:pStyle w:val="4"/>
        <w:snapToGrid w:val="0"/>
        <w:rPr>
          <w:rFonts w:hint="eastAsia" w:asciiTheme="minorEastAsia" w:hAnsiTheme="minorEastAsia" w:eastAsiaTheme="minorEastAsia" w:cstheme="minorEastAsia"/>
          <w:color w:val="000000"/>
          <w:sz w:val="22"/>
          <w:szCs w:val="22"/>
          <w:highlight w:val="none"/>
        </w:rPr>
      </w:pPr>
      <w:bookmarkStart w:id="227" w:name="_Toc273072881"/>
      <w:bookmarkStart w:id="228" w:name="_Toc409163597"/>
      <w:bookmarkStart w:id="229" w:name="_Toc19610"/>
      <w:r>
        <w:rPr>
          <w:rFonts w:hint="eastAsia" w:asciiTheme="minorEastAsia" w:hAnsiTheme="minorEastAsia" w:eastAsiaTheme="minorEastAsia" w:cstheme="minorEastAsia"/>
          <w:color w:val="000000"/>
          <w:sz w:val="22"/>
          <w:szCs w:val="22"/>
          <w:highlight w:val="none"/>
        </w:rPr>
        <w:t>20. 保险</w:t>
      </w:r>
      <w:bookmarkEnd w:id="227"/>
      <w:bookmarkEnd w:id="228"/>
      <w:bookmarkEnd w:id="229"/>
    </w:p>
    <w:p w14:paraId="76FFF348">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20.1 工程保险</w:t>
      </w:r>
    </w:p>
    <w:p w14:paraId="40FD69D5">
      <w:pPr>
        <w:snapToGrid w:val="0"/>
        <w:spacing w:line="360" w:lineRule="auto"/>
        <w:ind w:firstLine="435"/>
        <w:rPr>
          <w:rFonts w:hint="eastAsia"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建筑工程一切险和（或）安装工程一切险投保人：承包单位负责投保，出现问题由承包单位负责。</w:t>
      </w:r>
    </w:p>
    <w:p w14:paraId="7FBB043E">
      <w:pPr>
        <w:pStyle w:val="4"/>
        <w:snapToGrid w:val="0"/>
        <w:rPr>
          <w:rFonts w:hint="eastAsia" w:asciiTheme="minorEastAsia" w:hAnsiTheme="minorEastAsia" w:eastAsiaTheme="minorEastAsia" w:cstheme="minorEastAsia"/>
          <w:color w:val="000000"/>
          <w:sz w:val="22"/>
          <w:szCs w:val="22"/>
          <w:highlight w:val="none"/>
        </w:rPr>
      </w:pPr>
      <w:bookmarkStart w:id="230" w:name="_Toc273072882"/>
      <w:bookmarkStart w:id="231" w:name="_Toc409163598"/>
      <w:bookmarkStart w:id="232" w:name="_Toc10700"/>
      <w:r>
        <w:rPr>
          <w:rFonts w:hint="eastAsia" w:asciiTheme="minorEastAsia" w:hAnsiTheme="minorEastAsia" w:eastAsiaTheme="minorEastAsia" w:cstheme="minorEastAsia"/>
          <w:color w:val="000000"/>
          <w:sz w:val="22"/>
          <w:szCs w:val="22"/>
          <w:highlight w:val="none"/>
        </w:rPr>
        <w:t>24. 争议的解决</w:t>
      </w:r>
      <w:bookmarkEnd w:id="230"/>
      <w:bookmarkEnd w:id="231"/>
      <w:bookmarkEnd w:id="232"/>
    </w:p>
    <w:p w14:paraId="2FBA1D00">
      <w:pPr>
        <w:snapToGrid w:val="0"/>
        <w:spacing w:line="360" w:lineRule="auto"/>
        <w:rPr>
          <w:rFonts w:hint="eastAsia" w:asciiTheme="minorEastAsia" w:hAnsiTheme="minorEastAsia" w:eastAsiaTheme="minorEastAsia" w:cstheme="minorEastAsia"/>
          <w:b/>
          <w:color w:val="000000"/>
          <w:sz w:val="22"/>
          <w:szCs w:val="22"/>
          <w:highlight w:val="none"/>
        </w:rPr>
      </w:pPr>
      <w:r>
        <w:rPr>
          <w:rFonts w:hint="eastAsia" w:asciiTheme="minorEastAsia" w:hAnsiTheme="minorEastAsia" w:eastAsiaTheme="minorEastAsia" w:cstheme="minorEastAsia"/>
          <w:b/>
          <w:color w:val="000000"/>
          <w:sz w:val="22"/>
          <w:szCs w:val="22"/>
          <w:highlight w:val="none"/>
        </w:rPr>
        <w:t>24.1争议解决方式</w:t>
      </w:r>
    </w:p>
    <w:p w14:paraId="7FF10E03">
      <w:pPr>
        <w:snapToGrid w:val="0"/>
        <w:spacing w:line="360" w:lineRule="auto"/>
        <w:ind w:firstLine="435"/>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 w:val="22"/>
          <w:szCs w:val="22"/>
          <w:highlight w:val="none"/>
        </w:rPr>
        <w:t>合同当事人友好协商解</w:t>
      </w:r>
      <w:r>
        <w:rPr>
          <w:rFonts w:hint="eastAsia" w:asciiTheme="minorEastAsia" w:hAnsiTheme="minorEastAsia" w:eastAsiaTheme="minorEastAsia" w:cstheme="minorEastAsia"/>
          <w:color w:val="000000"/>
          <w:sz w:val="22"/>
          <w:szCs w:val="22"/>
        </w:rPr>
        <w:t>决不成、不愿提请争议评审或不接受争议评审足意见的，约定的合同争议解决方式由鄂尔多斯市仲裁委员会仲裁。</w:t>
      </w:r>
    </w:p>
    <w:p w14:paraId="7A01A9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8E9DED"/>
    <w:multiLevelType w:val="singleLevel"/>
    <w:tmpl w:val="918E9DED"/>
    <w:lvl w:ilvl="0" w:tentative="0">
      <w:start w:val="4"/>
      <w:numFmt w:val="decimal"/>
      <w:suff w:val="space"/>
      <w:lvlText w:val="%1."/>
      <w:lvlJc w:val="left"/>
    </w:lvl>
  </w:abstractNum>
  <w:abstractNum w:abstractNumId="1">
    <w:nsid w:val="0000000E"/>
    <w:multiLevelType w:val="singleLevel"/>
    <w:tmpl w:val="0000000E"/>
    <w:lvl w:ilvl="0" w:tentative="0">
      <w:start w:val="1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745835"/>
    <w:rsid w:val="29BC62A3"/>
    <w:rsid w:val="411F2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b/>
      <w:bCs/>
      <w:sz w:val="32"/>
      <w:szCs w:val="32"/>
    </w:rPr>
  </w:style>
  <w:style w:type="paragraph" w:styleId="4">
    <w:name w:val="heading 3"/>
    <w:basedOn w:val="1"/>
    <w:next w:val="1"/>
    <w:qFormat/>
    <w:uiPriority w:val="0"/>
    <w:pPr>
      <w:keepNext/>
      <w:keepLines/>
      <w:spacing w:before="260" w:after="260" w:line="415" w:lineRule="auto"/>
      <w:ind w:firstLine="137" w:firstLineChars="49"/>
      <w:outlineLvl w:val="2"/>
    </w:pPr>
    <w:rPr>
      <w:rFonts w:ascii="黑体" w:hAnsi="宋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21"/>
    <w:basedOn w:val="1"/>
    <w:autoRedefine/>
    <w:qFormat/>
    <w:uiPriority w:val="0"/>
    <w:pPr>
      <w:spacing w:after="120" w:line="480" w:lineRule="auto"/>
    </w:pPr>
    <w:rPr>
      <w:rFonts w:cs="Times New Roman"/>
      <w:sz w:val="20"/>
      <w:szCs w:val="20"/>
    </w:rPr>
  </w:style>
  <w:style w:type="character" w:customStyle="1" w:styleId="7">
    <w:name w:val=" Char Char7"/>
    <w:autoRedefine/>
    <w:qFormat/>
    <w:uiPriority w:val="0"/>
    <w:rPr>
      <w:rFonts w:ascii="Arial" w:hAnsi="Arial" w:eastAsia="黑体"/>
      <w:b/>
      <w:bCs/>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16211</Words>
  <Characters>17529</Characters>
  <Lines>0</Lines>
  <Paragraphs>0</Paragraphs>
  <TotalTime>12</TotalTime>
  <ScaleCrop>false</ScaleCrop>
  <LinksUpToDate>false</LinksUpToDate>
  <CharactersWithSpaces>19046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2025-04-29T08:38:00Z</dcterms:created>
  <dc:creator>a3</dc:creator>
  <cp:lastModifiedBy>郝强</cp:lastModifiedBy>
  <dcterms:modified xsi:type="dcterms:W3CDTF">2025-05-30T08:01:07Z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eyJoZGlkIjoiN2EwM2MwNjQwYTg2NzQwMTcyMWNjNGI4N2I1YjIwNmMiLCJ1c2VySWQiOiIyOTAzODA5NjEifQ==</vt:lpwstr>
  </property>
  <property fmtid="{D5CDD505-2E9C-101B-9397-08002B2CF9AE}" pid="4" name="ICV">
    <vt:lpwstr>205C654EE3C74B168D419620B97EF462_13</vt:lpwstr>
  </property>
</Properties>
</file>