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E1C46">
      <w:pPr>
        <w:bidi w:val="0"/>
        <w:rPr>
          <w:rFonts w:hint="eastAsia"/>
        </w:rPr>
      </w:pPr>
    </w:p>
    <w:p w14:paraId="18380C63">
      <w:pPr>
        <w:bidi w:val="0"/>
        <w:rPr>
          <w:rFonts w:hint="eastAsia"/>
        </w:rPr>
      </w:pPr>
    </w:p>
    <w:p w14:paraId="543E3330">
      <w:pPr>
        <w:bidi w:val="0"/>
        <w:rPr>
          <w:rFonts w:hint="eastAsia"/>
        </w:rPr>
      </w:pPr>
    </w:p>
    <w:p w14:paraId="67112377">
      <w:pPr>
        <w:bidi w:val="0"/>
        <w:rPr>
          <w:rFonts w:hint="eastAsia"/>
        </w:rPr>
      </w:pPr>
    </w:p>
    <w:p w14:paraId="42F3B5CF">
      <w:pPr>
        <w:bidi w:val="0"/>
        <w:jc w:val="center"/>
        <w:rPr>
          <w:rFonts w:hint="eastAsia"/>
          <w:b/>
          <w:bCs/>
          <w:sz w:val="48"/>
          <w:szCs w:val="56"/>
          <w:lang w:eastAsia="zh-CN"/>
        </w:rPr>
      </w:pPr>
      <w:r>
        <w:rPr>
          <w:rFonts w:hint="eastAsia"/>
          <w:b/>
          <w:bCs/>
          <w:sz w:val="48"/>
          <w:szCs w:val="56"/>
        </w:rPr>
        <w:t>能源费用托管</w:t>
      </w:r>
      <w:r>
        <w:rPr>
          <w:rFonts w:hint="eastAsia"/>
          <w:b/>
          <w:bCs/>
          <w:sz w:val="48"/>
          <w:szCs w:val="56"/>
          <w:lang w:eastAsia="zh-CN"/>
        </w:rPr>
        <w:t>项目</w:t>
      </w:r>
      <w:r>
        <w:rPr>
          <w:rFonts w:hint="eastAsia"/>
          <w:b/>
          <w:bCs/>
          <w:sz w:val="48"/>
          <w:szCs w:val="56"/>
        </w:rPr>
        <w:t>合同</w:t>
      </w:r>
    </w:p>
    <w:p w14:paraId="25D716FF">
      <w:pPr>
        <w:bidi w:val="0"/>
        <w:rPr>
          <w:rFonts w:hint="eastAsia"/>
          <w:lang w:eastAsia="zh-CN"/>
        </w:rPr>
      </w:pPr>
    </w:p>
    <w:p w14:paraId="0D61860C">
      <w:pPr>
        <w:bidi w:val="0"/>
        <w:rPr>
          <w:rFonts w:hint="eastAsia"/>
          <w:lang w:eastAsia="zh-CN"/>
        </w:rPr>
      </w:pPr>
    </w:p>
    <w:p w14:paraId="397F5A90">
      <w:pPr>
        <w:bidi w:val="0"/>
        <w:rPr>
          <w:rFonts w:hint="eastAsia"/>
          <w:lang w:eastAsia="zh-CN"/>
        </w:rPr>
      </w:pPr>
    </w:p>
    <w:p w14:paraId="57562AA8">
      <w:pPr>
        <w:bidi w:val="0"/>
        <w:rPr>
          <w:rFonts w:hint="eastAsia"/>
          <w:lang w:eastAsia="zh-CN"/>
        </w:rPr>
      </w:pPr>
    </w:p>
    <w:p w14:paraId="67ADF8D7">
      <w:pPr>
        <w:bidi w:val="0"/>
        <w:rPr>
          <w:rFonts w:hint="eastAsia"/>
          <w:lang w:eastAsia="zh-CN"/>
        </w:rPr>
      </w:pPr>
    </w:p>
    <w:p w14:paraId="6D61984A">
      <w:pPr>
        <w:bidi w:val="0"/>
        <w:rPr>
          <w:rFonts w:hint="eastAsia"/>
          <w:lang w:eastAsia="zh-CN"/>
        </w:rPr>
      </w:pPr>
    </w:p>
    <w:p w14:paraId="541976B4">
      <w:pPr>
        <w:bidi w:val="0"/>
        <w:rPr>
          <w:rFonts w:hint="eastAsia"/>
          <w:lang w:eastAsia="zh-CN"/>
        </w:rPr>
      </w:pPr>
    </w:p>
    <w:p w14:paraId="78875EDE">
      <w:pPr>
        <w:bidi w:val="0"/>
        <w:rPr>
          <w:rFonts w:hint="eastAsia"/>
          <w:lang w:eastAsia="zh-CN"/>
        </w:rPr>
      </w:pPr>
    </w:p>
    <w:p w14:paraId="3F27CC33">
      <w:pPr>
        <w:bidi w:val="0"/>
        <w:rPr>
          <w:rFonts w:hint="eastAsia"/>
          <w:lang w:eastAsia="zh-CN"/>
        </w:rPr>
      </w:pPr>
    </w:p>
    <w:p w14:paraId="050A0BBA">
      <w:pPr>
        <w:bidi w:val="0"/>
        <w:rPr>
          <w:rFonts w:hint="eastAsia"/>
          <w:lang w:eastAsia="zh-CN"/>
        </w:rPr>
      </w:pPr>
    </w:p>
    <w:p w14:paraId="013B7A7F">
      <w:pPr>
        <w:bidi w:val="0"/>
        <w:rPr>
          <w:rFonts w:hint="eastAsia"/>
          <w:lang w:eastAsia="zh-CN"/>
        </w:rPr>
      </w:pPr>
    </w:p>
    <w:p w14:paraId="509FC49A">
      <w:pPr>
        <w:bidi w:val="0"/>
        <w:rPr>
          <w:rFonts w:hint="eastAsia"/>
          <w:lang w:eastAsia="zh-CN"/>
        </w:rPr>
      </w:pPr>
    </w:p>
    <w:p w14:paraId="43576EF0">
      <w:pPr>
        <w:bidi w:val="0"/>
        <w:rPr>
          <w:rFonts w:hint="eastAsia"/>
          <w:lang w:eastAsia="zh-CN"/>
        </w:rPr>
      </w:pPr>
    </w:p>
    <w:p w14:paraId="1AA5807C">
      <w:pPr>
        <w:bidi w:val="0"/>
        <w:rPr>
          <w:rFonts w:hint="eastAsia"/>
          <w:lang w:eastAsia="zh-CN"/>
        </w:rPr>
      </w:pPr>
    </w:p>
    <w:p w14:paraId="6C7246A9">
      <w:pPr>
        <w:bidi w:val="0"/>
        <w:rPr>
          <w:rFonts w:hint="eastAsia"/>
          <w:lang w:eastAsia="zh-CN"/>
        </w:rPr>
      </w:pPr>
    </w:p>
    <w:p w14:paraId="06FCFE1E">
      <w:pPr>
        <w:bidi w:val="0"/>
        <w:rPr>
          <w:rFonts w:hint="eastAsia"/>
          <w:lang w:eastAsia="zh-CN"/>
        </w:rPr>
      </w:pPr>
    </w:p>
    <w:p w14:paraId="58A50448">
      <w:pPr>
        <w:bidi w:val="0"/>
        <w:rPr>
          <w:rFonts w:hint="eastAsia"/>
          <w:lang w:eastAsia="zh-CN"/>
        </w:rPr>
      </w:pPr>
    </w:p>
    <w:p w14:paraId="52B67A63">
      <w:pPr>
        <w:bidi w:val="0"/>
        <w:rPr>
          <w:rFonts w:hint="eastAsia"/>
          <w:lang w:eastAsia="zh-CN"/>
        </w:rPr>
      </w:pPr>
    </w:p>
    <w:p w14:paraId="28C8A7D3">
      <w:pPr>
        <w:keepNext w:val="0"/>
        <w:keepLines w:val="0"/>
        <w:pageBreakBefore w:val="0"/>
        <w:widowControl w:val="0"/>
        <w:kinsoku/>
        <w:wordWrap/>
        <w:overflowPunct/>
        <w:topLinePunct w:val="0"/>
        <w:autoSpaceDE/>
        <w:autoSpaceDN/>
        <w:bidi w:val="0"/>
        <w:adjustRightInd/>
        <w:snapToGrid/>
        <w:spacing w:line="480" w:lineRule="auto"/>
        <w:ind w:left="1920" w:leftChars="800"/>
        <w:jc w:val="left"/>
        <w:textAlignment w:val="auto"/>
        <w:rPr>
          <w:rFonts w:hint="default"/>
          <w:sz w:val="24"/>
          <w:szCs w:val="32"/>
          <w:u w:val="single"/>
          <w:lang w:val="en-US" w:eastAsia="zh-CN"/>
        </w:rPr>
      </w:pPr>
      <w:r>
        <w:rPr>
          <w:rFonts w:hint="eastAsia"/>
          <w:sz w:val="24"/>
          <w:szCs w:val="32"/>
          <w:lang w:eastAsia="zh-CN"/>
        </w:rPr>
        <w:t>委托方（甲方）：</w:t>
      </w:r>
      <w:bookmarkStart w:id="0" w:name="OLE_LINK1"/>
      <w:bookmarkEnd w:id="0"/>
      <w:bookmarkStart w:id="1" w:name="OLE_LINK2"/>
      <w:r>
        <w:rPr>
          <w:rFonts w:hint="eastAsia"/>
          <w:sz w:val="24"/>
          <w:szCs w:val="32"/>
          <w:u w:val="single"/>
          <w:lang w:val="en-US" w:eastAsia="zh-CN"/>
        </w:rPr>
        <w:t xml:space="preserve">                                  </w:t>
      </w:r>
      <w:bookmarkEnd w:id="1"/>
    </w:p>
    <w:p w14:paraId="68D302EF">
      <w:pPr>
        <w:keepNext w:val="0"/>
        <w:keepLines w:val="0"/>
        <w:pageBreakBefore w:val="0"/>
        <w:widowControl w:val="0"/>
        <w:kinsoku/>
        <w:wordWrap/>
        <w:overflowPunct/>
        <w:topLinePunct w:val="0"/>
        <w:autoSpaceDE/>
        <w:autoSpaceDN/>
        <w:bidi w:val="0"/>
        <w:adjustRightInd/>
        <w:snapToGrid/>
        <w:spacing w:line="480" w:lineRule="auto"/>
        <w:ind w:left="1920" w:leftChars="800"/>
        <w:jc w:val="left"/>
        <w:textAlignment w:val="auto"/>
        <w:rPr>
          <w:rFonts w:hint="default"/>
          <w:sz w:val="24"/>
          <w:szCs w:val="32"/>
          <w:lang w:val="en-US" w:eastAsia="zh-CN"/>
        </w:rPr>
      </w:pPr>
      <w:r>
        <w:rPr>
          <w:rFonts w:hint="eastAsia"/>
          <w:sz w:val="24"/>
          <w:szCs w:val="32"/>
          <w:lang w:eastAsia="zh-CN"/>
        </w:rPr>
        <w:t>受托方（乙方）：</w:t>
      </w:r>
      <w:r>
        <w:rPr>
          <w:rFonts w:hint="eastAsia"/>
          <w:sz w:val="24"/>
          <w:szCs w:val="32"/>
          <w:lang w:val="en-US" w:eastAsia="zh-CN"/>
        </w:rPr>
        <w:t xml:space="preserve"> </w:t>
      </w:r>
      <w:r>
        <w:rPr>
          <w:rFonts w:hint="eastAsia"/>
          <w:sz w:val="24"/>
          <w:szCs w:val="32"/>
          <w:u w:val="single"/>
          <w:lang w:val="en-US" w:eastAsia="zh-CN"/>
        </w:rPr>
        <w:t xml:space="preserve">                                  </w:t>
      </w:r>
    </w:p>
    <w:p w14:paraId="1E117C8D">
      <w:pPr>
        <w:keepNext w:val="0"/>
        <w:keepLines w:val="0"/>
        <w:pageBreakBefore w:val="0"/>
        <w:widowControl w:val="0"/>
        <w:kinsoku/>
        <w:wordWrap/>
        <w:overflowPunct/>
        <w:topLinePunct w:val="0"/>
        <w:autoSpaceDE/>
        <w:autoSpaceDN/>
        <w:bidi w:val="0"/>
        <w:adjustRightInd/>
        <w:snapToGrid/>
        <w:spacing w:line="480" w:lineRule="auto"/>
        <w:ind w:left="1920" w:leftChars="800"/>
        <w:jc w:val="left"/>
        <w:textAlignment w:val="auto"/>
        <w:rPr>
          <w:rFonts w:hint="default"/>
          <w:sz w:val="24"/>
          <w:szCs w:val="32"/>
          <w:lang w:val="en-US" w:eastAsia="zh-CN"/>
        </w:rPr>
      </w:pPr>
      <w:r>
        <w:rPr>
          <w:rFonts w:hint="eastAsia"/>
          <w:sz w:val="24"/>
          <w:szCs w:val="32"/>
          <w:lang w:eastAsia="zh-CN"/>
        </w:rPr>
        <w:t>签订时间：</w:t>
      </w:r>
      <w:r>
        <w:rPr>
          <w:rFonts w:hint="eastAsia"/>
          <w:sz w:val="24"/>
          <w:szCs w:val="32"/>
          <w:u w:val="single"/>
          <w:lang w:val="en-US" w:eastAsia="zh-CN"/>
        </w:rPr>
        <w:t xml:space="preserve">                                       </w:t>
      </w:r>
    </w:p>
    <w:p w14:paraId="497FCC69">
      <w:pPr>
        <w:bidi w:val="0"/>
        <w:jc w:val="center"/>
        <w:rPr>
          <w:rFonts w:hint="eastAsia"/>
          <w:sz w:val="24"/>
          <w:szCs w:val="32"/>
          <w:lang w:eastAsia="zh-CN"/>
        </w:rPr>
      </w:pPr>
    </w:p>
    <w:p w14:paraId="2B4277AC">
      <w:pPr>
        <w:bidi w:val="0"/>
        <w:ind w:firstLine="1920" w:firstLineChars="800"/>
        <w:jc w:val="both"/>
        <w:rPr>
          <w:rFonts w:hint="default"/>
          <w:sz w:val="24"/>
          <w:szCs w:val="32"/>
          <w:lang w:val="en-US" w:eastAsia="zh-CN"/>
        </w:rPr>
        <w:sectPr>
          <w:pgSz w:w="12250" w:h="17180"/>
          <w:pgMar w:top="1800" w:right="1020" w:bottom="1360" w:left="1120" w:header="1532" w:footer="1174" w:gutter="0"/>
          <w:cols w:space="720" w:num="1"/>
        </w:sectPr>
      </w:pPr>
      <w:r>
        <w:rPr>
          <w:rFonts w:hint="eastAsia"/>
          <w:sz w:val="24"/>
          <w:szCs w:val="32"/>
          <w:lang w:eastAsia="zh-CN"/>
        </w:rPr>
        <w:t>签订地点</w:t>
      </w:r>
      <w:r>
        <w:rPr>
          <w:rFonts w:hint="eastAsia"/>
          <w:lang w:eastAsia="zh-CN"/>
        </w:rPr>
        <w:t>：</w:t>
      </w:r>
      <w:r>
        <w:rPr>
          <w:rFonts w:hint="eastAsia"/>
          <w:sz w:val="24"/>
          <w:szCs w:val="32"/>
          <w:u w:val="single"/>
          <w:lang w:val="en-US" w:eastAsia="zh-CN"/>
        </w:rPr>
        <w:t xml:space="preserve">                                      </w:t>
      </w:r>
    </w:p>
    <w:tbl>
      <w:tblPr>
        <w:tblStyle w:val="9"/>
        <w:tblW w:w="4999" w:type="pct"/>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autofit"/>
        <w:tblCellMar>
          <w:top w:w="0" w:type="dxa"/>
          <w:left w:w="0" w:type="dxa"/>
          <w:bottom w:w="0" w:type="dxa"/>
          <w:right w:w="0" w:type="dxa"/>
        </w:tblCellMar>
      </w:tblPr>
      <w:tblGrid>
        <w:gridCol w:w="2080"/>
        <w:gridCol w:w="2242"/>
        <w:gridCol w:w="1531"/>
        <w:gridCol w:w="551"/>
        <w:gridCol w:w="1341"/>
        <w:gridCol w:w="2379"/>
      </w:tblGrid>
      <w:tr w14:paraId="5F1635F0">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661" w:hRule="atLeast"/>
        </w:trPr>
        <w:tc>
          <w:tcPr>
            <w:tcW w:w="1027" w:type="pct"/>
            <w:vMerge w:val="restart"/>
            <w:tcBorders>
              <w:bottom w:val="single" w:color="231F20" w:sz="4" w:space="0"/>
              <w:right w:val="single" w:color="231F20" w:sz="4" w:space="0"/>
            </w:tcBorders>
            <w:vAlign w:val="center"/>
          </w:tcPr>
          <w:p w14:paraId="3ADB3FE1">
            <w:pPr>
              <w:bidi w:val="0"/>
              <w:jc w:val="center"/>
              <w:rPr>
                <w:sz w:val="22"/>
                <w:szCs w:val="22"/>
              </w:rPr>
            </w:pPr>
          </w:p>
          <w:p w14:paraId="0EC1F51E">
            <w:pPr>
              <w:bidi w:val="0"/>
              <w:jc w:val="center"/>
              <w:rPr>
                <w:sz w:val="22"/>
                <w:szCs w:val="22"/>
              </w:rPr>
            </w:pPr>
          </w:p>
          <w:p w14:paraId="062BB67E">
            <w:pPr>
              <w:bidi w:val="0"/>
              <w:jc w:val="center"/>
              <w:rPr>
                <w:sz w:val="22"/>
                <w:szCs w:val="22"/>
              </w:rPr>
            </w:pPr>
          </w:p>
          <w:p w14:paraId="37D4D345">
            <w:pPr>
              <w:bidi w:val="0"/>
              <w:jc w:val="center"/>
              <w:rPr>
                <w:sz w:val="22"/>
                <w:szCs w:val="22"/>
              </w:rPr>
            </w:pPr>
          </w:p>
          <w:p w14:paraId="0AA97076">
            <w:pPr>
              <w:bidi w:val="0"/>
              <w:jc w:val="center"/>
              <w:rPr>
                <w:sz w:val="22"/>
                <w:szCs w:val="22"/>
              </w:rPr>
            </w:pPr>
          </w:p>
          <w:p w14:paraId="00C12F67">
            <w:pPr>
              <w:bidi w:val="0"/>
              <w:jc w:val="center"/>
              <w:rPr>
                <w:sz w:val="22"/>
                <w:szCs w:val="22"/>
              </w:rPr>
            </w:pPr>
          </w:p>
          <w:p w14:paraId="1DDDEE79">
            <w:pPr>
              <w:bidi w:val="0"/>
              <w:jc w:val="center"/>
              <w:rPr>
                <w:sz w:val="22"/>
                <w:szCs w:val="22"/>
              </w:rPr>
            </w:pPr>
          </w:p>
          <w:p w14:paraId="6F18A435">
            <w:pPr>
              <w:bidi w:val="0"/>
              <w:jc w:val="center"/>
              <w:rPr>
                <w:sz w:val="22"/>
                <w:szCs w:val="22"/>
              </w:rPr>
            </w:pPr>
            <w:r>
              <w:rPr>
                <w:sz w:val="22"/>
                <w:szCs w:val="22"/>
              </w:rPr>
              <w:t>委托方</w:t>
            </w:r>
          </w:p>
          <w:p w14:paraId="54F74122">
            <w:pPr>
              <w:bidi w:val="0"/>
              <w:jc w:val="center"/>
              <w:rPr>
                <w:sz w:val="22"/>
                <w:szCs w:val="22"/>
              </w:rPr>
            </w:pPr>
            <w:r>
              <w:rPr>
                <w:sz w:val="22"/>
                <w:szCs w:val="22"/>
              </w:rPr>
              <w:t>（甲方）</w:t>
            </w:r>
          </w:p>
        </w:tc>
        <w:tc>
          <w:tcPr>
            <w:tcW w:w="1107" w:type="pct"/>
            <w:tcBorders>
              <w:left w:val="single" w:color="231F20" w:sz="4" w:space="0"/>
              <w:bottom w:val="single" w:color="231F20" w:sz="4" w:space="0"/>
              <w:right w:val="single" w:color="231F20" w:sz="4" w:space="0"/>
            </w:tcBorders>
            <w:vAlign w:val="center"/>
          </w:tcPr>
          <w:p w14:paraId="2E7B74AF">
            <w:pPr>
              <w:bidi w:val="0"/>
              <w:jc w:val="center"/>
              <w:rPr>
                <w:sz w:val="22"/>
                <w:szCs w:val="22"/>
              </w:rPr>
            </w:pPr>
          </w:p>
          <w:p w14:paraId="5C626D67">
            <w:pPr>
              <w:bidi w:val="0"/>
              <w:jc w:val="center"/>
              <w:rPr>
                <w:sz w:val="22"/>
                <w:szCs w:val="22"/>
              </w:rPr>
            </w:pPr>
            <w:r>
              <w:rPr>
                <w:sz w:val="22"/>
                <w:szCs w:val="22"/>
              </w:rPr>
              <w:t>单位名称</w:t>
            </w:r>
          </w:p>
        </w:tc>
        <w:tc>
          <w:tcPr>
            <w:tcW w:w="2864" w:type="pct"/>
            <w:gridSpan w:val="4"/>
            <w:tcBorders>
              <w:left w:val="single" w:color="231F20" w:sz="4" w:space="0"/>
              <w:bottom w:val="single" w:color="231F20" w:sz="4" w:space="0"/>
            </w:tcBorders>
            <w:vAlign w:val="center"/>
          </w:tcPr>
          <w:p w14:paraId="4C5B6172">
            <w:pPr>
              <w:bidi w:val="0"/>
              <w:jc w:val="center"/>
              <w:rPr>
                <w:sz w:val="22"/>
                <w:szCs w:val="22"/>
              </w:rPr>
            </w:pPr>
          </w:p>
        </w:tc>
      </w:tr>
      <w:tr w14:paraId="1C74DF08">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9" w:hRule="atLeast"/>
        </w:trPr>
        <w:tc>
          <w:tcPr>
            <w:tcW w:w="1027" w:type="pct"/>
            <w:vMerge w:val="continue"/>
            <w:tcBorders>
              <w:top w:val="nil"/>
              <w:bottom w:val="single" w:color="231F20" w:sz="4" w:space="0"/>
              <w:right w:val="single" w:color="231F20" w:sz="4" w:space="0"/>
            </w:tcBorders>
            <w:vAlign w:val="center"/>
          </w:tcPr>
          <w:p w14:paraId="0850DCE7">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369950E1">
            <w:pPr>
              <w:bidi w:val="0"/>
              <w:jc w:val="center"/>
              <w:rPr>
                <w:sz w:val="22"/>
                <w:szCs w:val="22"/>
              </w:rPr>
            </w:pPr>
          </w:p>
          <w:p w14:paraId="6A4203FC">
            <w:pPr>
              <w:bidi w:val="0"/>
              <w:jc w:val="center"/>
              <w:rPr>
                <w:sz w:val="22"/>
                <w:szCs w:val="22"/>
              </w:rPr>
            </w:pPr>
            <w:r>
              <w:rPr>
                <w:sz w:val="22"/>
                <w:szCs w:val="22"/>
              </w:rPr>
              <w:t>法定代表人</w:t>
            </w:r>
          </w:p>
        </w:tc>
        <w:tc>
          <w:tcPr>
            <w:tcW w:w="756" w:type="pct"/>
            <w:tcBorders>
              <w:top w:val="single" w:color="231F20" w:sz="4" w:space="0"/>
              <w:left w:val="single" w:color="231F20" w:sz="4" w:space="0"/>
              <w:bottom w:val="single" w:color="231F20" w:sz="4" w:space="0"/>
              <w:right w:val="single" w:color="231F20" w:sz="4" w:space="0"/>
            </w:tcBorders>
            <w:vAlign w:val="center"/>
          </w:tcPr>
          <w:p w14:paraId="0BE35EF5">
            <w:pPr>
              <w:bidi w:val="0"/>
              <w:jc w:val="center"/>
              <w:rPr>
                <w:sz w:val="22"/>
                <w:szCs w:val="22"/>
              </w:rPr>
            </w:pPr>
          </w:p>
        </w:tc>
        <w:tc>
          <w:tcPr>
            <w:tcW w:w="933" w:type="pct"/>
            <w:gridSpan w:val="2"/>
            <w:tcBorders>
              <w:top w:val="single" w:color="231F20" w:sz="4" w:space="0"/>
              <w:left w:val="single" w:color="231F20" w:sz="4" w:space="0"/>
              <w:bottom w:val="single" w:color="231F20" w:sz="4" w:space="0"/>
              <w:right w:val="single" w:color="231F20" w:sz="4" w:space="0"/>
            </w:tcBorders>
            <w:vAlign w:val="center"/>
          </w:tcPr>
          <w:p w14:paraId="2CCE9CDA">
            <w:pPr>
              <w:bidi w:val="0"/>
              <w:jc w:val="center"/>
              <w:rPr>
                <w:sz w:val="22"/>
                <w:szCs w:val="22"/>
              </w:rPr>
            </w:pPr>
          </w:p>
          <w:p w14:paraId="1903D32A">
            <w:pPr>
              <w:bidi w:val="0"/>
              <w:jc w:val="center"/>
              <w:rPr>
                <w:sz w:val="22"/>
                <w:szCs w:val="22"/>
              </w:rPr>
            </w:pPr>
            <w:r>
              <w:rPr>
                <w:sz w:val="22"/>
                <w:szCs w:val="22"/>
              </w:rPr>
              <w:t>委托代理人</w:t>
            </w:r>
          </w:p>
        </w:tc>
        <w:tc>
          <w:tcPr>
            <w:tcW w:w="1173" w:type="pct"/>
            <w:tcBorders>
              <w:top w:val="single" w:color="231F20" w:sz="4" w:space="0"/>
              <w:left w:val="single" w:color="231F20" w:sz="4" w:space="0"/>
              <w:bottom w:val="single" w:color="231F20" w:sz="4" w:space="0"/>
            </w:tcBorders>
            <w:vAlign w:val="center"/>
          </w:tcPr>
          <w:p w14:paraId="1DD89FEA">
            <w:pPr>
              <w:bidi w:val="0"/>
              <w:jc w:val="center"/>
              <w:rPr>
                <w:sz w:val="22"/>
                <w:szCs w:val="22"/>
              </w:rPr>
            </w:pPr>
          </w:p>
        </w:tc>
      </w:tr>
      <w:tr w14:paraId="732BF964">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9" w:hRule="atLeast"/>
        </w:trPr>
        <w:tc>
          <w:tcPr>
            <w:tcW w:w="1027" w:type="pct"/>
            <w:vMerge w:val="continue"/>
            <w:tcBorders>
              <w:top w:val="nil"/>
              <w:bottom w:val="single" w:color="231F20" w:sz="4" w:space="0"/>
              <w:right w:val="single" w:color="231F20" w:sz="4" w:space="0"/>
            </w:tcBorders>
            <w:vAlign w:val="center"/>
          </w:tcPr>
          <w:p w14:paraId="07947A62">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1056723E">
            <w:pPr>
              <w:bidi w:val="0"/>
              <w:jc w:val="center"/>
              <w:rPr>
                <w:sz w:val="22"/>
                <w:szCs w:val="22"/>
              </w:rPr>
            </w:pPr>
          </w:p>
          <w:p w14:paraId="6F6E0FA2">
            <w:pPr>
              <w:bidi w:val="0"/>
              <w:jc w:val="center"/>
              <w:rPr>
                <w:sz w:val="22"/>
                <w:szCs w:val="22"/>
              </w:rPr>
            </w:pPr>
            <w:r>
              <w:rPr>
                <w:sz w:val="22"/>
                <w:szCs w:val="22"/>
              </w:rPr>
              <w:t>联系人</w:t>
            </w:r>
          </w:p>
        </w:tc>
        <w:tc>
          <w:tcPr>
            <w:tcW w:w="2864" w:type="pct"/>
            <w:gridSpan w:val="4"/>
            <w:tcBorders>
              <w:top w:val="single" w:color="231F20" w:sz="4" w:space="0"/>
              <w:left w:val="single" w:color="231F20" w:sz="4" w:space="0"/>
              <w:bottom w:val="single" w:color="231F20" w:sz="4" w:space="0"/>
            </w:tcBorders>
            <w:vAlign w:val="center"/>
          </w:tcPr>
          <w:p w14:paraId="5A4DF3B6">
            <w:pPr>
              <w:bidi w:val="0"/>
              <w:jc w:val="center"/>
              <w:rPr>
                <w:sz w:val="22"/>
                <w:szCs w:val="22"/>
              </w:rPr>
            </w:pPr>
          </w:p>
        </w:tc>
      </w:tr>
      <w:tr w14:paraId="11C15E88">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9" w:hRule="atLeast"/>
        </w:trPr>
        <w:tc>
          <w:tcPr>
            <w:tcW w:w="1027" w:type="pct"/>
            <w:vMerge w:val="continue"/>
            <w:tcBorders>
              <w:top w:val="nil"/>
              <w:bottom w:val="single" w:color="231F20" w:sz="4" w:space="0"/>
              <w:right w:val="single" w:color="231F20" w:sz="4" w:space="0"/>
            </w:tcBorders>
            <w:vAlign w:val="center"/>
          </w:tcPr>
          <w:p w14:paraId="7A786B0A">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06B50DBC">
            <w:pPr>
              <w:bidi w:val="0"/>
              <w:jc w:val="center"/>
              <w:rPr>
                <w:sz w:val="22"/>
                <w:szCs w:val="22"/>
              </w:rPr>
            </w:pPr>
          </w:p>
          <w:p w14:paraId="76A573E4">
            <w:pPr>
              <w:bidi w:val="0"/>
              <w:jc w:val="center"/>
              <w:rPr>
                <w:sz w:val="22"/>
                <w:szCs w:val="22"/>
              </w:rPr>
            </w:pPr>
            <w:r>
              <w:rPr>
                <w:sz w:val="22"/>
                <w:szCs w:val="22"/>
              </w:rPr>
              <w:t>通信地址</w:t>
            </w:r>
          </w:p>
        </w:tc>
        <w:tc>
          <w:tcPr>
            <w:tcW w:w="2864" w:type="pct"/>
            <w:gridSpan w:val="4"/>
            <w:tcBorders>
              <w:top w:val="single" w:color="231F20" w:sz="4" w:space="0"/>
              <w:left w:val="single" w:color="231F20" w:sz="4" w:space="0"/>
              <w:bottom w:val="single" w:color="231F20" w:sz="4" w:space="0"/>
            </w:tcBorders>
            <w:vAlign w:val="center"/>
          </w:tcPr>
          <w:p w14:paraId="3DADE1B2">
            <w:pPr>
              <w:bidi w:val="0"/>
              <w:jc w:val="center"/>
              <w:rPr>
                <w:sz w:val="22"/>
                <w:szCs w:val="22"/>
              </w:rPr>
            </w:pPr>
          </w:p>
        </w:tc>
      </w:tr>
      <w:tr w14:paraId="122070B7">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9" w:hRule="atLeast"/>
        </w:trPr>
        <w:tc>
          <w:tcPr>
            <w:tcW w:w="1027" w:type="pct"/>
            <w:vMerge w:val="continue"/>
            <w:tcBorders>
              <w:top w:val="nil"/>
              <w:bottom w:val="single" w:color="231F20" w:sz="4" w:space="0"/>
              <w:right w:val="single" w:color="231F20" w:sz="4" w:space="0"/>
            </w:tcBorders>
            <w:vAlign w:val="center"/>
          </w:tcPr>
          <w:p w14:paraId="166E171C">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1AD9F730">
            <w:pPr>
              <w:bidi w:val="0"/>
              <w:jc w:val="center"/>
              <w:rPr>
                <w:sz w:val="22"/>
                <w:szCs w:val="22"/>
              </w:rPr>
            </w:pPr>
          </w:p>
          <w:p w14:paraId="1971E4B5">
            <w:pPr>
              <w:bidi w:val="0"/>
              <w:jc w:val="center"/>
              <w:rPr>
                <w:sz w:val="22"/>
                <w:szCs w:val="22"/>
              </w:rPr>
            </w:pPr>
            <w:r>
              <w:rPr>
                <w:sz w:val="22"/>
                <w:szCs w:val="22"/>
              </w:rPr>
              <w:t>电话</w:t>
            </w:r>
          </w:p>
        </w:tc>
        <w:tc>
          <w:tcPr>
            <w:tcW w:w="1028" w:type="pct"/>
            <w:gridSpan w:val="2"/>
            <w:tcBorders>
              <w:top w:val="single" w:color="231F20" w:sz="4" w:space="0"/>
              <w:left w:val="single" w:color="231F20" w:sz="4" w:space="0"/>
              <w:bottom w:val="single" w:color="231F20" w:sz="4" w:space="0"/>
              <w:right w:val="single" w:color="231F20" w:sz="4" w:space="0"/>
            </w:tcBorders>
            <w:vAlign w:val="center"/>
          </w:tcPr>
          <w:p w14:paraId="1AD6A458">
            <w:pPr>
              <w:bidi w:val="0"/>
              <w:jc w:val="center"/>
              <w:rPr>
                <w:sz w:val="22"/>
                <w:szCs w:val="22"/>
              </w:rPr>
            </w:pPr>
          </w:p>
        </w:tc>
        <w:tc>
          <w:tcPr>
            <w:tcW w:w="662" w:type="pct"/>
            <w:tcBorders>
              <w:top w:val="single" w:color="231F20" w:sz="4" w:space="0"/>
              <w:left w:val="single" w:color="231F20" w:sz="4" w:space="0"/>
              <w:bottom w:val="single" w:color="231F20" w:sz="4" w:space="0"/>
              <w:right w:val="single" w:color="231F20" w:sz="4" w:space="0"/>
            </w:tcBorders>
            <w:vAlign w:val="center"/>
          </w:tcPr>
          <w:p w14:paraId="5C127808">
            <w:pPr>
              <w:bidi w:val="0"/>
              <w:jc w:val="center"/>
              <w:rPr>
                <w:sz w:val="22"/>
                <w:szCs w:val="22"/>
              </w:rPr>
            </w:pPr>
          </w:p>
          <w:p w14:paraId="475E0C38">
            <w:pPr>
              <w:bidi w:val="0"/>
              <w:jc w:val="center"/>
              <w:rPr>
                <w:sz w:val="22"/>
                <w:szCs w:val="22"/>
              </w:rPr>
            </w:pPr>
            <w:r>
              <w:rPr>
                <w:sz w:val="22"/>
                <w:szCs w:val="22"/>
              </w:rPr>
              <w:t>传真</w:t>
            </w:r>
          </w:p>
        </w:tc>
        <w:tc>
          <w:tcPr>
            <w:tcW w:w="1173" w:type="pct"/>
            <w:tcBorders>
              <w:top w:val="single" w:color="231F20" w:sz="4" w:space="0"/>
              <w:left w:val="single" w:color="231F20" w:sz="4" w:space="0"/>
              <w:bottom w:val="single" w:color="231F20" w:sz="4" w:space="0"/>
            </w:tcBorders>
            <w:vAlign w:val="center"/>
          </w:tcPr>
          <w:p w14:paraId="1D25E52B">
            <w:pPr>
              <w:bidi w:val="0"/>
              <w:jc w:val="center"/>
              <w:rPr>
                <w:sz w:val="22"/>
                <w:szCs w:val="22"/>
              </w:rPr>
            </w:pPr>
          </w:p>
        </w:tc>
      </w:tr>
      <w:tr w14:paraId="3B5FFC70">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9" w:hRule="atLeast"/>
        </w:trPr>
        <w:tc>
          <w:tcPr>
            <w:tcW w:w="1027" w:type="pct"/>
            <w:vMerge w:val="continue"/>
            <w:tcBorders>
              <w:top w:val="nil"/>
              <w:bottom w:val="single" w:color="231F20" w:sz="4" w:space="0"/>
              <w:right w:val="single" w:color="231F20" w:sz="4" w:space="0"/>
            </w:tcBorders>
            <w:vAlign w:val="center"/>
          </w:tcPr>
          <w:p w14:paraId="03D9B167">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287B3332">
            <w:pPr>
              <w:bidi w:val="0"/>
              <w:jc w:val="center"/>
              <w:rPr>
                <w:sz w:val="22"/>
                <w:szCs w:val="22"/>
              </w:rPr>
            </w:pPr>
          </w:p>
          <w:p w14:paraId="1902505B">
            <w:pPr>
              <w:bidi w:val="0"/>
              <w:jc w:val="center"/>
              <w:rPr>
                <w:sz w:val="22"/>
                <w:szCs w:val="22"/>
              </w:rPr>
            </w:pPr>
            <w:r>
              <w:rPr>
                <w:sz w:val="22"/>
                <w:szCs w:val="22"/>
              </w:rPr>
              <w:t>电子邮箱</w:t>
            </w:r>
          </w:p>
        </w:tc>
        <w:tc>
          <w:tcPr>
            <w:tcW w:w="2864" w:type="pct"/>
            <w:gridSpan w:val="4"/>
            <w:tcBorders>
              <w:top w:val="single" w:color="231F20" w:sz="4" w:space="0"/>
              <w:left w:val="single" w:color="231F20" w:sz="4" w:space="0"/>
              <w:bottom w:val="single" w:color="231F20" w:sz="4" w:space="0"/>
            </w:tcBorders>
            <w:vAlign w:val="center"/>
          </w:tcPr>
          <w:p w14:paraId="022AE284">
            <w:pPr>
              <w:bidi w:val="0"/>
              <w:jc w:val="center"/>
              <w:rPr>
                <w:sz w:val="22"/>
                <w:szCs w:val="22"/>
              </w:rPr>
            </w:pPr>
          </w:p>
        </w:tc>
      </w:tr>
      <w:tr w14:paraId="7A09DE8E">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9" w:hRule="atLeast"/>
        </w:trPr>
        <w:tc>
          <w:tcPr>
            <w:tcW w:w="1027" w:type="pct"/>
            <w:vMerge w:val="continue"/>
            <w:tcBorders>
              <w:top w:val="nil"/>
              <w:bottom w:val="single" w:color="231F20" w:sz="4" w:space="0"/>
              <w:right w:val="single" w:color="231F20" w:sz="4" w:space="0"/>
            </w:tcBorders>
            <w:vAlign w:val="center"/>
          </w:tcPr>
          <w:p w14:paraId="7E197BC2">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0EB0DB14">
            <w:pPr>
              <w:bidi w:val="0"/>
              <w:jc w:val="center"/>
              <w:rPr>
                <w:sz w:val="22"/>
                <w:szCs w:val="22"/>
              </w:rPr>
            </w:pPr>
          </w:p>
          <w:p w14:paraId="472533F5">
            <w:pPr>
              <w:bidi w:val="0"/>
              <w:jc w:val="center"/>
              <w:rPr>
                <w:sz w:val="22"/>
                <w:szCs w:val="22"/>
              </w:rPr>
            </w:pPr>
            <w:r>
              <w:rPr>
                <w:sz w:val="22"/>
                <w:szCs w:val="22"/>
              </w:rPr>
              <w:t>开户银行</w:t>
            </w:r>
          </w:p>
        </w:tc>
        <w:tc>
          <w:tcPr>
            <w:tcW w:w="2864" w:type="pct"/>
            <w:gridSpan w:val="4"/>
            <w:tcBorders>
              <w:top w:val="single" w:color="231F20" w:sz="4" w:space="0"/>
              <w:left w:val="single" w:color="231F20" w:sz="4" w:space="0"/>
              <w:bottom w:val="single" w:color="231F20" w:sz="4" w:space="0"/>
            </w:tcBorders>
            <w:vAlign w:val="center"/>
          </w:tcPr>
          <w:p w14:paraId="1D6F418D">
            <w:pPr>
              <w:bidi w:val="0"/>
              <w:jc w:val="center"/>
              <w:rPr>
                <w:sz w:val="22"/>
                <w:szCs w:val="22"/>
              </w:rPr>
            </w:pPr>
          </w:p>
        </w:tc>
      </w:tr>
      <w:tr w14:paraId="3F7E6F42">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9" w:hRule="atLeast"/>
        </w:trPr>
        <w:tc>
          <w:tcPr>
            <w:tcW w:w="1027" w:type="pct"/>
            <w:vMerge w:val="continue"/>
            <w:tcBorders>
              <w:top w:val="nil"/>
              <w:bottom w:val="single" w:color="231F20" w:sz="4" w:space="0"/>
              <w:right w:val="single" w:color="231F20" w:sz="4" w:space="0"/>
            </w:tcBorders>
            <w:vAlign w:val="center"/>
          </w:tcPr>
          <w:p w14:paraId="3A17D614">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2CC12E37">
            <w:pPr>
              <w:bidi w:val="0"/>
              <w:jc w:val="center"/>
              <w:rPr>
                <w:sz w:val="22"/>
                <w:szCs w:val="22"/>
              </w:rPr>
            </w:pPr>
          </w:p>
          <w:p w14:paraId="185693ED">
            <w:pPr>
              <w:bidi w:val="0"/>
              <w:jc w:val="center"/>
              <w:rPr>
                <w:sz w:val="22"/>
                <w:szCs w:val="22"/>
              </w:rPr>
            </w:pPr>
            <w:r>
              <w:rPr>
                <w:sz w:val="22"/>
                <w:szCs w:val="22"/>
              </w:rPr>
              <w:t>账号</w:t>
            </w:r>
          </w:p>
        </w:tc>
        <w:tc>
          <w:tcPr>
            <w:tcW w:w="2864" w:type="pct"/>
            <w:gridSpan w:val="4"/>
            <w:tcBorders>
              <w:top w:val="single" w:color="231F20" w:sz="4" w:space="0"/>
              <w:left w:val="single" w:color="231F20" w:sz="4" w:space="0"/>
              <w:bottom w:val="single" w:color="231F20" w:sz="4" w:space="0"/>
            </w:tcBorders>
            <w:vAlign w:val="center"/>
          </w:tcPr>
          <w:p w14:paraId="5678CD8B">
            <w:pPr>
              <w:bidi w:val="0"/>
              <w:jc w:val="center"/>
              <w:rPr>
                <w:sz w:val="22"/>
                <w:szCs w:val="22"/>
              </w:rPr>
            </w:pPr>
          </w:p>
        </w:tc>
      </w:tr>
      <w:tr w14:paraId="3C58AB25">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9" w:hRule="atLeast"/>
        </w:trPr>
        <w:tc>
          <w:tcPr>
            <w:tcW w:w="1027" w:type="pct"/>
            <w:vMerge w:val="continue"/>
            <w:tcBorders>
              <w:top w:val="nil"/>
              <w:bottom w:val="single" w:color="231F20" w:sz="4" w:space="0"/>
              <w:right w:val="single" w:color="231F20" w:sz="4" w:space="0"/>
            </w:tcBorders>
            <w:vAlign w:val="center"/>
          </w:tcPr>
          <w:p w14:paraId="178344D3">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56992198">
            <w:pPr>
              <w:bidi w:val="0"/>
              <w:jc w:val="center"/>
              <w:rPr>
                <w:sz w:val="22"/>
                <w:szCs w:val="22"/>
              </w:rPr>
            </w:pPr>
          </w:p>
          <w:p w14:paraId="1EB4911F">
            <w:pPr>
              <w:bidi w:val="0"/>
              <w:jc w:val="center"/>
              <w:rPr>
                <w:sz w:val="22"/>
                <w:szCs w:val="22"/>
              </w:rPr>
            </w:pPr>
            <w:r>
              <w:rPr>
                <w:sz w:val="22"/>
                <w:szCs w:val="22"/>
              </w:rPr>
              <w:t>纳税人识别号</w:t>
            </w:r>
          </w:p>
        </w:tc>
        <w:tc>
          <w:tcPr>
            <w:tcW w:w="2864" w:type="pct"/>
            <w:gridSpan w:val="4"/>
            <w:tcBorders>
              <w:top w:val="single" w:color="231F20" w:sz="4" w:space="0"/>
              <w:left w:val="single" w:color="231F20" w:sz="4" w:space="0"/>
              <w:bottom w:val="single" w:color="231F20" w:sz="4" w:space="0"/>
            </w:tcBorders>
            <w:vAlign w:val="center"/>
          </w:tcPr>
          <w:p w14:paraId="46945146">
            <w:pPr>
              <w:bidi w:val="0"/>
              <w:jc w:val="center"/>
              <w:rPr>
                <w:sz w:val="22"/>
                <w:szCs w:val="22"/>
              </w:rPr>
            </w:pPr>
          </w:p>
        </w:tc>
      </w:tr>
      <w:tr w14:paraId="3456C4D0">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661" w:hRule="atLeast"/>
        </w:trPr>
        <w:tc>
          <w:tcPr>
            <w:tcW w:w="1027" w:type="pct"/>
            <w:vMerge w:val="restart"/>
            <w:tcBorders>
              <w:top w:val="single" w:color="231F20" w:sz="4" w:space="0"/>
              <w:right w:val="single" w:color="231F20" w:sz="4" w:space="0"/>
            </w:tcBorders>
            <w:vAlign w:val="center"/>
          </w:tcPr>
          <w:p w14:paraId="4D4CD7E9">
            <w:pPr>
              <w:bidi w:val="0"/>
              <w:jc w:val="center"/>
              <w:rPr>
                <w:sz w:val="22"/>
                <w:szCs w:val="22"/>
              </w:rPr>
            </w:pPr>
          </w:p>
          <w:p w14:paraId="3121DD39">
            <w:pPr>
              <w:bidi w:val="0"/>
              <w:jc w:val="center"/>
              <w:rPr>
                <w:sz w:val="22"/>
                <w:szCs w:val="22"/>
              </w:rPr>
            </w:pPr>
          </w:p>
          <w:p w14:paraId="07CC41B6">
            <w:pPr>
              <w:bidi w:val="0"/>
              <w:jc w:val="center"/>
              <w:rPr>
                <w:sz w:val="22"/>
                <w:szCs w:val="22"/>
              </w:rPr>
            </w:pPr>
          </w:p>
          <w:p w14:paraId="52A7031C">
            <w:pPr>
              <w:bidi w:val="0"/>
              <w:jc w:val="center"/>
              <w:rPr>
                <w:sz w:val="22"/>
                <w:szCs w:val="22"/>
              </w:rPr>
            </w:pPr>
          </w:p>
          <w:p w14:paraId="137136E1">
            <w:pPr>
              <w:bidi w:val="0"/>
              <w:jc w:val="center"/>
              <w:rPr>
                <w:sz w:val="22"/>
                <w:szCs w:val="22"/>
              </w:rPr>
            </w:pPr>
          </w:p>
          <w:p w14:paraId="3D5EFC54">
            <w:pPr>
              <w:bidi w:val="0"/>
              <w:jc w:val="center"/>
              <w:rPr>
                <w:sz w:val="22"/>
                <w:szCs w:val="22"/>
              </w:rPr>
            </w:pPr>
          </w:p>
          <w:p w14:paraId="596874D9">
            <w:pPr>
              <w:bidi w:val="0"/>
              <w:jc w:val="center"/>
              <w:rPr>
                <w:sz w:val="22"/>
                <w:szCs w:val="22"/>
              </w:rPr>
            </w:pPr>
          </w:p>
          <w:p w14:paraId="2732D054">
            <w:pPr>
              <w:bidi w:val="0"/>
              <w:jc w:val="center"/>
              <w:rPr>
                <w:sz w:val="22"/>
                <w:szCs w:val="22"/>
              </w:rPr>
            </w:pPr>
          </w:p>
          <w:p w14:paraId="41D6C779">
            <w:pPr>
              <w:bidi w:val="0"/>
              <w:jc w:val="center"/>
              <w:rPr>
                <w:sz w:val="22"/>
                <w:szCs w:val="22"/>
              </w:rPr>
            </w:pPr>
          </w:p>
          <w:p w14:paraId="375F387B">
            <w:pPr>
              <w:bidi w:val="0"/>
              <w:jc w:val="center"/>
              <w:rPr>
                <w:sz w:val="22"/>
                <w:szCs w:val="22"/>
              </w:rPr>
            </w:pPr>
          </w:p>
          <w:p w14:paraId="0132C6B0">
            <w:pPr>
              <w:bidi w:val="0"/>
              <w:jc w:val="center"/>
              <w:rPr>
                <w:sz w:val="22"/>
                <w:szCs w:val="22"/>
              </w:rPr>
            </w:pPr>
          </w:p>
          <w:p w14:paraId="3E243C4E">
            <w:pPr>
              <w:bidi w:val="0"/>
              <w:jc w:val="center"/>
              <w:rPr>
                <w:sz w:val="22"/>
                <w:szCs w:val="22"/>
              </w:rPr>
            </w:pPr>
            <w:r>
              <w:rPr>
                <w:sz w:val="22"/>
                <w:szCs w:val="22"/>
              </w:rPr>
              <w:t>受托方</w:t>
            </w:r>
          </w:p>
          <w:p w14:paraId="7F10D506">
            <w:pPr>
              <w:bidi w:val="0"/>
              <w:jc w:val="center"/>
              <w:rPr>
                <w:sz w:val="22"/>
                <w:szCs w:val="22"/>
              </w:rPr>
            </w:pPr>
            <w:r>
              <w:rPr>
                <w:sz w:val="22"/>
                <w:szCs w:val="22"/>
              </w:rPr>
              <w:t>（乙方）</w:t>
            </w:r>
          </w:p>
        </w:tc>
        <w:tc>
          <w:tcPr>
            <w:tcW w:w="1107" w:type="pct"/>
            <w:tcBorders>
              <w:top w:val="single" w:color="231F20" w:sz="4" w:space="0"/>
              <w:left w:val="single" w:color="231F20" w:sz="4" w:space="0"/>
              <w:bottom w:val="single" w:color="231F20" w:sz="4" w:space="0"/>
              <w:right w:val="single" w:color="231F20" w:sz="4" w:space="0"/>
            </w:tcBorders>
            <w:vAlign w:val="center"/>
          </w:tcPr>
          <w:p w14:paraId="71798286">
            <w:pPr>
              <w:bidi w:val="0"/>
              <w:jc w:val="center"/>
              <w:rPr>
                <w:sz w:val="22"/>
                <w:szCs w:val="22"/>
              </w:rPr>
            </w:pPr>
          </w:p>
          <w:p w14:paraId="0A810AE8">
            <w:pPr>
              <w:bidi w:val="0"/>
              <w:jc w:val="center"/>
              <w:rPr>
                <w:sz w:val="22"/>
                <w:szCs w:val="22"/>
              </w:rPr>
            </w:pPr>
            <w:r>
              <w:rPr>
                <w:sz w:val="22"/>
                <w:szCs w:val="22"/>
              </w:rPr>
              <w:t>单位名称</w:t>
            </w:r>
          </w:p>
        </w:tc>
        <w:tc>
          <w:tcPr>
            <w:tcW w:w="2864" w:type="pct"/>
            <w:gridSpan w:val="4"/>
            <w:tcBorders>
              <w:top w:val="single" w:color="231F20" w:sz="4" w:space="0"/>
              <w:left w:val="single" w:color="231F20" w:sz="4" w:space="0"/>
              <w:bottom w:val="single" w:color="231F20" w:sz="4" w:space="0"/>
            </w:tcBorders>
            <w:vAlign w:val="center"/>
          </w:tcPr>
          <w:p w14:paraId="2DD8EB3D">
            <w:pPr>
              <w:bidi w:val="0"/>
              <w:jc w:val="center"/>
              <w:rPr>
                <w:sz w:val="22"/>
                <w:szCs w:val="22"/>
              </w:rPr>
            </w:pPr>
          </w:p>
        </w:tc>
      </w:tr>
      <w:tr w14:paraId="55369A35">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4" w:hRule="atLeast"/>
        </w:trPr>
        <w:tc>
          <w:tcPr>
            <w:tcW w:w="1027" w:type="pct"/>
            <w:vMerge w:val="continue"/>
            <w:tcBorders>
              <w:top w:val="nil"/>
              <w:right w:val="single" w:color="231F20" w:sz="4" w:space="0"/>
            </w:tcBorders>
            <w:vAlign w:val="center"/>
          </w:tcPr>
          <w:p w14:paraId="699CB63F">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4D01CAD3">
            <w:pPr>
              <w:bidi w:val="0"/>
              <w:jc w:val="center"/>
              <w:rPr>
                <w:sz w:val="22"/>
                <w:szCs w:val="22"/>
              </w:rPr>
            </w:pPr>
          </w:p>
          <w:p w14:paraId="6CA3AC08">
            <w:pPr>
              <w:bidi w:val="0"/>
              <w:jc w:val="center"/>
              <w:rPr>
                <w:sz w:val="22"/>
                <w:szCs w:val="22"/>
              </w:rPr>
            </w:pPr>
            <w:r>
              <w:rPr>
                <w:sz w:val="22"/>
                <w:szCs w:val="22"/>
              </w:rPr>
              <w:t>法定代表人</w:t>
            </w:r>
          </w:p>
        </w:tc>
        <w:tc>
          <w:tcPr>
            <w:tcW w:w="756" w:type="pct"/>
            <w:tcBorders>
              <w:top w:val="single" w:color="231F20" w:sz="4" w:space="0"/>
              <w:left w:val="single" w:color="231F20" w:sz="4" w:space="0"/>
              <w:bottom w:val="single" w:color="231F20" w:sz="4" w:space="0"/>
              <w:right w:val="single" w:color="231F20" w:sz="4" w:space="0"/>
            </w:tcBorders>
            <w:vAlign w:val="center"/>
          </w:tcPr>
          <w:p w14:paraId="2DF66342">
            <w:pPr>
              <w:bidi w:val="0"/>
              <w:jc w:val="center"/>
              <w:rPr>
                <w:sz w:val="22"/>
                <w:szCs w:val="22"/>
              </w:rPr>
            </w:pPr>
          </w:p>
        </w:tc>
        <w:tc>
          <w:tcPr>
            <w:tcW w:w="933" w:type="pct"/>
            <w:gridSpan w:val="2"/>
            <w:tcBorders>
              <w:top w:val="single" w:color="231F20" w:sz="4" w:space="0"/>
              <w:left w:val="single" w:color="231F20" w:sz="4" w:space="0"/>
              <w:bottom w:val="single" w:color="231F20" w:sz="4" w:space="0"/>
              <w:right w:val="single" w:color="231F20" w:sz="4" w:space="0"/>
            </w:tcBorders>
            <w:vAlign w:val="center"/>
          </w:tcPr>
          <w:p w14:paraId="6C319094">
            <w:pPr>
              <w:bidi w:val="0"/>
              <w:jc w:val="center"/>
              <w:rPr>
                <w:sz w:val="22"/>
                <w:szCs w:val="22"/>
              </w:rPr>
            </w:pPr>
          </w:p>
          <w:p w14:paraId="4ED9C2DF">
            <w:pPr>
              <w:bidi w:val="0"/>
              <w:jc w:val="center"/>
              <w:rPr>
                <w:sz w:val="22"/>
                <w:szCs w:val="22"/>
              </w:rPr>
            </w:pPr>
            <w:r>
              <w:rPr>
                <w:sz w:val="22"/>
                <w:szCs w:val="22"/>
              </w:rPr>
              <w:t>委托代理人</w:t>
            </w:r>
          </w:p>
        </w:tc>
        <w:tc>
          <w:tcPr>
            <w:tcW w:w="1173" w:type="pct"/>
            <w:tcBorders>
              <w:top w:val="single" w:color="231F20" w:sz="4" w:space="0"/>
              <w:left w:val="single" w:color="231F20" w:sz="4" w:space="0"/>
              <w:bottom w:val="single" w:color="231F20" w:sz="4" w:space="0"/>
            </w:tcBorders>
            <w:vAlign w:val="center"/>
          </w:tcPr>
          <w:p w14:paraId="665420C2">
            <w:pPr>
              <w:bidi w:val="0"/>
              <w:jc w:val="center"/>
              <w:rPr>
                <w:sz w:val="22"/>
                <w:szCs w:val="22"/>
              </w:rPr>
            </w:pPr>
          </w:p>
        </w:tc>
      </w:tr>
      <w:tr w14:paraId="6554C70A">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4" w:hRule="atLeast"/>
        </w:trPr>
        <w:tc>
          <w:tcPr>
            <w:tcW w:w="1027" w:type="pct"/>
            <w:vMerge w:val="continue"/>
            <w:tcBorders>
              <w:top w:val="nil"/>
              <w:right w:val="single" w:color="231F20" w:sz="4" w:space="0"/>
            </w:tcBorders>
            <w:vAlign w:val="center"/>
          </w:tcPr>
          <w:p w14:paraId="302D529E">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77F9DCBB">
            <w:pPr>
              <w:bidi w:val="0"/>
              <w:jc w:val="center"/>
              <w:rPr>
                <w:sz w:val="22"/>
                <w:szCs w:val="22"/>
              </w:rPr>
            </w:pPr>
          </w:p>
          <w:p w14:paraId="1AC2A19C">
            <w:pPr>
              <w:bidi w:val="0"/>
              <w:jc w:val="center"/>
              <w:rPr>
                <w:sz w:val="22"/>
                <w:szCs w:val="22"/>
              </w:rPr>
            </w:pPr>
            <w:r>
              <w:rPr>
                <w:sz w:val="22"/>
                <w:szCs w:val="22"/>
              </w:rPr>
              <w:t>联系人</w:t>
            </w:r>
          </w:p>
        </w:tc>
        <w:tc>
          <w:tcPr>
            <w:tcW w:w="2864" w:type="pct"/>
            <w:gridSpan w:val="4"/>
            <w:tcBorders>
              <w:top w:val="single" w:color="231F20" w:sz="4" w:space="0"/>
              <w:left w:val="single" w:color="231F20" w:sz="4" w:space="0"/>
              <w:bottom w:val="single" w:color="231F20" w:sz="4" w:space="0"/>
            </w:tcBorders>
            <w:vAlign w:val="center"/>
          </w:tcPr>
          <w:p w14:paraId="3F25C2A8">
            <w:pPr>
              <w:bidi w:val="0"/>
              <w:jc w:val="center"/>
              <w:rPr>
                <w:sz w:val="22"/>
                <w:szCs w:val="22"/>
              </w:rPr>
            </w:pPr>
          </w:p>
        </w:tc>
      </w:tr>
      <w:tr w14:paraId="3517DFDF">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4" w:hRule="atLeast"/>
        </w:trPr>
        <w:tc>
          <w:tcPr>
            <w:tcW w:w="1027" w:type="pct"/>
            <w:vMerge w:val="continue"/>
            <w:tcBorders>
              <w:top w:val="nil"/>
              <w:right w:val="single" w:color="231F20" w:sz="4" w:space="0"/>
            </w:tcBorders>
            <w:vAlign w:val="center"/>
          </w:tcPr>
          <w:p w14:paraId="2F80930A">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17F26911">
            <w:pPr>
              <w:bidi w:val="0"/>
              <w:jc w:val="center"/>
              <w:rPr>
                <w:sz w:val="22"/>
                <w:szCs w:val="22"/>
              </w:rPr>
            </w:pPr>
          </w:p>
          <w:p w14:paraId="5AE89BBF">
            <w:pPr>
              <w:bidi w:val="0"/>
              <w:jc w:val="center"/>
              <w:rPr>
                <w:sz w:val="22"/>
                <w:szCs w:val="22"/>
              </w:rPr>
            </w:pPr>
            <w:r>
              <w:rPr>
                <w:sz w:val="22"/>
                <w:szCs w:val="22"/>
              </w:rPr>
              <w:t>通信地址</w:t>
            </w:r>
          </w:p>
        </w:tc>
        <w:tc>
          <w:tcPr>
            <w:tcW w:w="2864" w:type="pct"/>
            <w:gridSpan w:val="4"/>
            <w:tcBorders>
              <w:top w:val="single" w:color="231F20" w:sz="4" w:space="0"/>
              <w:left w:val="single" w:color="231F20" w:sz="4" w:space="0"/>
              <w:bottom w:val="single" w:color="231F20" w:sz="4" w:space="0"/>
            </w:tcBorders>
            <w:vAlign w:val="center"/>
          </w:tcPr>
          <w:p w14:paraId="33438116">
            <w:pPr>
              <w:bidi w:val="0"/>
              <w:jc w:val="center"/>
              <w:rPr>
                <w:sz w:val="22"/>
                <w:szCs w:val="22"/>
              </w:rPr>
            </w:pPr>
          </w:p>
        </w:tc>
      </w:tr>
      <w:tr w14:paraId="468D98C7">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4" w:hRule="atLeast"/>
        </w:trPr>
        <w:tc>
          <w:tcPr>
            <w:tcW w:w="1027" w:type="pct"/>
            <w:vMerge w:val="continue"/>
            <w:tcBorders>
              <w:top w:val="nil"/>
              <w:right w:val="single" w:color="231F20" w:sz="4" w:space="0"/>
            </w:tcBorders>
            <w:vAlign w:val="center"/>
          </w:tcPr>
          <w:p w14:paraId="3B532516">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6FAE8098">
            <w:pPr>
              <w:bidi w:val="0"/>
              <w:jc w:val="center"/>
              <w:rPr>
                <w:sz w:val="22"/>
                <w:szCs w:val="22"/>
              </w:rPr>
            </w:pPr>
          </w:p>
          <w:p w14:paraId="4DCC6B25">
            <w:pPr>
              <w:bidi w:val="0"/>
              <w:jc w:val="center"/>
              <w:rPr>
                <w:sz w:val="22"/>
                <w:szCs w:val="22"/>
              </w:rPr>
            </w:pPr>
            <w:r>
              <w:rPr>
                <w:sz w:val="22"/>
                <w:szCs w:val="22"/>
              </w:rPr>
              <w:t>电话</w:t>
            </w:r>
          </w:p>
        </w:tc>
        <w:tc>
          <w:tcPr>
            <w:tcW w:w="756" w:type="pct"/>
            <w:tcBorders>
              <w:top w:val="single" w:color="231F20" w:sz="4" w:space="0"/>
              <w:left w:val="single" w:color="231F20" w:sz="4" w:space="0"/>
              <w:bottom w:val="single" w:color="231F20" w:sz="4" w:space="0"/>
              <w:right w:val="single" w:color="231F20" w:sz="4" w:space="0"/>
            </w:tcBorders>
            <w:vAlign w:val="center"/>
          </w:tcPr>
          <w:p w14:paraId="772DC8BE">
            <w:pPr>
              <w:bidi w:val="0"/>
              <w:jc w:val="center"/>
              <w:rPr>
                <w:sz w:val="22"/>
                <w:szCs w:val="22"/>
              </w:rPr>
            </w:pPr>
          </w:p>
        </w:tc>
        <w:tc>
          <w:tcPr>
            <w:tcW w:w="933" w:type="pct"/>
            <w:gridSpan w:val="2"/>
            <w:tcBorders>
              <w:top w:val="single" w:color="231F20" w:sz="4" w:space="0"/>
              <w:left w:val="single" w:color="231F20" w:sz="4" w:space="0"/>
              <w:bottom w:val="single" w:color="231F20" w:sz="4" w:space="0"/>
              <w:right w:val="single" w:color="231F20" w:sz="4" w:space="0"/>
            </w:tcBorders>
            <w:vAlign w:val="center"/>
          </w:tcPr>
          <w:p w14:paraId="150209B3">
            <w:pPr>
              <w:bidi w:val="0"/>
              <w:jc w:val="center"/>
              <w:rPr>
                <w:sz w:val="22"/>
                <w:szCs w:val="22"/>
              </w:rPr>
            </w:pPr>
          </w:p>
          <w:p w14:paraId="63BABFF5">
            <w:pPr>
              <w:bidi w:val="0"/>
              <w:jc w:val="center"/>
              <w:rPr>
                <w:sz w:val="22"/>
                <w:szCs w:val="22"/>
              </w:rPr>
            </w:pPr>
            <w:r>
              <w:rPr>
                <w:sz w:val="22"/>
                <w:szCs w:val="22"/>
              </w:rPr>
              <w:t>传真</w:t>
            </w:r>
          </w:p>
        </w:tc>
        <w:tc>
          <w:tcPr>
            <w:tcW w:w="1173" w:type="pct"/>
            <w:tcBorders>
              <w:top w:val="single" w:color="231F20" w:sz="4" w:space="0"/>
              <w:left w:val="single" w:color="231F20" w:sz="4" w:space="0"/>
              <w:bottom w:val="single" w:color="231F20" w:sz="4" w:space="0"/>
            </w:tcBorders>
            <w:vAlign w:val="center"/>
          </w:tcPr>
          <w:p w14:paraId="209CBAC1">
            <w:pPr>
              <w:bidi w:val="0"/>
              <w:jc w:val="center"/>
              <w:rPr>
                <w:sz w:val="22"/>
                <w:szCs w:val="22"/>
              </w:rPr>
            </w:pPr>
          </w:p>
        </w:tc>
      </w:tr>
      <w:tr w14:paraId="37978683">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4" w:hRule="atLeast"/>
        </w:trPr>
        <w:tc>
          <w:tcPr>
            <w:tcW w:w="1027" w:type="pct"/>
            <w:vMerge w:val="continue"/>
            <w:tcBorders>
              <w:top w:val="nil"/>
              <w:right w:val="single" w:color="231F20" w:sz="4" w:space="0"/>
            </w:tcBorders>
            <w:vAlign w:val="center"/>
          </w:tcPr>
          <w:p w14:paraId="3D3253CE">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3A675FC4">
            <w:pPr>
              <w:bidi w:val="0"/>
              <w:jc w:val="center"/>
              <w:rPr>
                <w:sz w:val="22"/>
                <w:szCs w:val="22"/>
              </w:rPr>
            </w:pPr>
          </w:p>
          <w:p w14:paraId="41854DA4">
            <w:pPr>
              <w:bidi w:val="0"/>
              <w:jc w:val="center"/>
              <w:rPr>
                <w:sz w:val="22"/>
                <w:szCs w:val="22"/>
              </w:rPr>
            </w:pPr>
            <w:r>
              <w:rPr>
                <w:sz w:val="22"/>
                <w:szCs w:val="22"/>
              </w:rPr>
              <w:t>电子邮箱</w:t>
            </w:r>
          </w:p>
        </w:tc>
        <w:tc>
          <w:tcPr>
            <w:tcW w:w="2864" w:type="pct"/>
            <w:gridSpan w:val="4"/>
            <w:tcBorders>
              <w:top w:val="single" w:color="231F20" w:sz="4" w:space="0"/>
              <w:left w:val="single" w:color="231F20" w:sz="4" w:space="0"/>
              <w:bottom w:val="single" w:color="231F20" w:sz="4" w:space="0"/>
            </w:tcBorders>
            <w:vAlign w:val="center"/>
          </w:tcPr>
          <w:p w14:paraId="1D881A37">
            <w:pPr>
              <w:bidi w:val="0"/>
              <w:jc w:val="center"/>
              <w:rPr>
                <w:sz w:val="22"/>
                <w:szCs w:val="22"/>
              </w:rPr>
            </w:pPr>
          </w:p>
        </w:tc>
      </w:tr>
      <w:tr w14:paraId="7D9505E0">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4" w:hRule="atLeast"/>
        </w:trPr>
        <w:tc>
          <w:tcPr>
            <w:tcW w:w="1027" w:type="pct"/>
            <w:vMerge w:val="continue"/>
            <w:tcBorders>
              <w:top w:val="nil"/>
              <w:right w:val="single" w:color="231F20" w:sz="4" w:space="0"/>
            </w:tcBorders>
            <w:vAlign w:val="center"/>
          </w:tcPr>
          <w:p w14:paraId="703449FB">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640B4386">
            <w:pPr>
              <w:bidi w:val="0"/>
              <w:jc w:val="center"/>
              <w:rPr>
                <w:sz w:val="22"/>
                <w:szCs w:val="22"/>
              </w:rPr>
            </w:pPr>
          </w:p>
          <w:p w14:paraId="35D7D13A">
            <w:pPr>
              <w:bidi w:val="0"/>
              <w:jc w:val="center"/>
              <w:rPr>
                <w:sz w:val="22"/>
                <w:szCs w:val="22"/>
              </w:rPr>
            </w:pPr>
            <w:r>
              <w:rPr>
                <w:sz w:val="22"/>
                <w:szCs w:val="22"/>
              </w:rPr>
              <w:t>开户银行</w:t>
            </w:r>
          </w:p>
        </w:tc>
        <w:tc>
          <w:tcPr>
            <w:tcW w:w="2864" w:type="pct"/>
            <w:gridSpan w:val="4"/>
            <w:tcBorders>
              <w:top w:val="single" w:color="231F20" w:sz="4" w:space="0"/>
              <w:left w:val="single" w:color="231F20" w:sz="4" w:space="0"/>
              <w:bottom w:val="single" w:color="231F20" w:sz="4" w:space="0"/>
            </w:tcBorders>
            <w:vAlign w:val="center"/>
          </w:tcPr>
          <w:p w14:paraId="128AFB1D">
            <w:pPr>
              <w:bidi w:val="0"/>
              <w:jc w:val="center"/>
              <w:rPr>
                <w:sz w:val="22"/>
                <w:szCs w:val="22"/>
              </w:rPr>
            </w:pPr>
          </w:p>
        </w:tc>
      </w:tr>
      <w:tr w14:paraId="0162E540">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4" w:hRule="atLeast"/>
        </w:trPr>
        <w:tc>
          <w:tcPr>
            <w:tcW w:w="1027" w:type="pct"/>
            <w:vMerge w:val="continue"/>
            <w:tcBorders>
              <w:top w:val="nil"/>
              <w:right w:val="single" w:color="231F20" w:sz="4" w:space="0"/>
            </w:tcBorders>
            <w:vAlign w:val="center"/>
          </w:tcPr>
          <w:p w14:paraId="0BC627CA">
            <w:pPr>
              <w:bidi w:val="0"/>
              <w:jc w:val="center"/>
              <w:rPr>
                <w:sz w:val="22"/>
                <w:szCs w:val="22"/>
              </w:rPr>
            </w:pPr>
          </w:p>
        </w:tc>
        <w:tc>
          <w:tcPr>
            <w:tcW w:w="1107" w:type="pct"/>
            <w:tcBorders>
              <w:top w:val="single" w:color="231F20" w:sz="4" w:space="0"/>
              <w:left w:val="single" w:color="231F20" w:sz="4" w:space="0"/>
              <w:bottom w:val="single" w:color="231F20" w:sz="4" w:space="0"/>
              <w:right w:val="single" w:color="231F20" w:sz="4" w:space="0"/>
            </w:tcBorders>
            <w:vAlign w:val="center"/>
          </w:tcPr>
          <w:p w14:paraId="1F64D832">
            <w:pPr>
              <w:bidi w:val="0"/>
              <w:jc w:val="center"/>
              <w:rPr>
                <w:sz w:val="22"/>
                <w:szCs w:val="22"/>
              </w:rPr>
            </w:pPr>
          </w:p>
          <w:p w14:paraId="195CD44F">
            <w:pPr>
              <w:bidi w:val="0"/>
              <w:jc w:val="center"/>
              <w:rPr>
                <w:sz w:val="22"/>
                <w:szCs w:val="22"/>
              </w:rPr>
            </w:pPr>
            <w:r>
              <w:rPr>
                <w:sz w:val="22"/>
                <w:szCs w:val="22"/>
              </w:rPr>
              <w:t>账号</w:t>
            </w:r>
          </w:p>
        </w:tc>
        <w:tc>
          <w:tcPr>
            <w:tcW w:w="2864" w:type="pct"/>
            <w:gridSpan w:val="4"/>
            <w:tcBorders>
              <w:top w:val="single" w:color="231F20" w:sz="4" w:space="0"/>
              <w:left w:val="single" w:color="231F20" w:sz="4" w:space="0"/>
              <w:bottom w:val="single" w:color="231F20" w:sz="4" w:space="0"/>
            </w:tcBorders>
            <w:vAlign w:val="center"/>
          </w:tcPr>
          <w:p w14:paraId="72EB1E8E">
            <w:pPr>
              <w:bidi w:val="0"/>
              <w:jc w:val="center"/>
              <w:rPr>
                <w:sz w:val="22"/>
                <w:szCs w:val="22"/>
              </w:rPr>
            </w:pPr>
          </w:p>
        </w:tc>
      </w:tr>
      <w:tr w14:paraId="3A234B03">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14" w:hRule="atLeast"/>
        </w:trPr>
        <w:tc>
          <w:tcPr>
            <w:tcW w:w="1027" w:type="pct"/>
            <w:vMerge w:val="continue"/>
            <w:tcBorders>
              <w:top w:val="nil"/>
              <w:right w:val="single" w:color="231F20" w:sz="4" w:space="0"/>
            </w:tcBorders>
            <w:vAlign w:val="center"/>
          </w:tcPr>
          <w:p w14:paraId="441AF39B">
            <w:pPr>
              <w:bidi w:val="0"/>
              <w:jc w:val="center"/>
              <w:rPr>
                <w:sz w:val="22"/>
                <w:szCs w:val="22"/>
              </w:rPr>
            </w:pPr>
          </w:p>
        </w:tc>
        <w:tc>
          <w:tcPr>
            <w:tcW w:w="1107" w:type="pct"/>
            <w:tcBorders>
              <w:top w:val="single" w:color="231F20" w:sz="4" w:space="0"/>
              <w:left w:val="single" w:color="231F20" w:sz="4" w:space="0"/>
              <w:right w:val="single" w:color="231F20" w:sz="4" w:space="0"/>
            </w:tcBorders>
            <w:vAlign w:val="center"/>
          </w:tcPr>
          <w:p w14:paraId="5DC50972">
            <w:pPr>
              <w:bidi w:val="0"/>
              <w:jc w:val="center"/>
              <w:rPr>
                <w:sz w:val="22"/>
                <w:szCs w:val="22"/>
              </w:rPr>
            </w:pPr>
          </w:p>
          <w:p w14:paraId="77BD7768">
            <w:pPr>
              <w:bidi w:val="0"/>
              <w:jc w:val="center"/>
              <w:rPr>
                <w:sz w:val="22"/>
                <w:szCs w:val="22"/>
              </w:rPr>
            </w:pPr>
            <w:r>
              <w:rPr>
                <w:sz w:val="22"/>
                <w:szCs w:val="22"/>
              </w:rPr>
              <w:t>纳税人识别号</w:t>
            </w:r>
          </w:p>
        </w:tc>
        <w:tc>
          <w:tcPr>
            <w:tcW w:w="2864" w:type="pct"/>
            <w:gridSpan w:val="4"/>
            <w:tcBorders>
              <w:top w:val="single" w:color="231F20" w:sz="4" w:space="0"/>
              <w:left w:val="single" w:color="231F20" w:sz="4" w:space="0"/>
            </w:tcBorders>
            <w:vAlign w:val="center"/>
          </w:tcPr>
          <w:p w14:paraId="4D9FBC14">
            <w:pPr>
              <w:bidi w:val="0"/>
              <w:jc w:val="center"/>
              <w:rPr>
                <w:sz w:val="22"/>
                <w:szCs w:val="22"/>
              </w:rPr>
            </w:pPr>
          </w:p>
        </w:tc>
      </w:tr>
    </w:tbl>
    <w:p w14:paraId="2104CBA5">
      <w:pPr>
        <w:bidi w:val="0"/>
        <w:rPr>
          <w:rFonts w:hint="eastAsia"/>
          <w:lang w:val="en-US" w:eastAsia="zh-CN"/>
        </w:rPr>
      </w:pPr>
    </w:p>
    <w:p w14:paraId="769D8918">
      <w:pPr>
        <w:bidi w:val="0"/>
        <w:rPr>
          <w:rFonts w:hint="eastAsia"/>
        </w:rPr>
      </w:pPr>
    </w:p>
    <w:p w14:paraId="478D7F5E">
      <w:pPr>
        <w:bidi w:val="0"/>
        <w:rPr>
          <w:rFonts w:hint="eastAsia"/>
        </w:rPr>
      </w:pPr>
    </w:p>
    <w:p w14:paraId="55AD3146">
      <w:pPr>
        <w:bidi w:val="0"/>
        <w:rPr>
          <w:rFonts w:hint="eastAsia"/>
        </w:rPr>
      </w:pPr>
    </w:p>
    <w:p w14:paraId="1922A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鉴于本合同双方同意按“ 能源费用托管”模式就</w:t>
      </w:r>
      <w:r>
        <w:rPr>
          <w:u w:val="single"/>
        </w:rPr>
        <w:t xml:space="preserve"> </w:t>
      </w:r>
      <w:r>
        <w:rPr>
          <w:rFonts w:hint="eastAsia"/>
          <w:u w:val="single"/>
          <w:lang w:val="en-US" w:eastAsia="zh-CN"/>
        </w:rPr>
        <w:t xml:space="preserve">                 </w:t>
      </w:r>
      <w:r>
        <w:tab/>
      </w:r>
      <w:r>
        <w:t>项目（以下简称“ 项目”或“ 本项目”），由乙方为项目提供专项节能服务，甲方支付相应的能源托管费用。双方经过平等协商，在真实、充分地表达各自意愿的基础上，根据《中华人民共和国民法典》等法律法规的规定，达成如下协议，并由双方共同恪守。</w:t>
      </w:r>
    </w:p>
    <w:p w14:paraId="71F5E6E5">
      <w:pPr>
        <w:bidi w:val="0"/>
        <w:spacing w:line="360" w:lineRule="auto"/>
        <w:jc w:val="center"/>
        <w:rPr>
          <w:b/>
          <w:bCs/>
          <w:sz w:val="24"/>
          <w:szCs w:val="32"/>
        </w:rPr>
      </w:pPr>
      <w:r>
        <w:rPr>
          <w:b/>
          <w:bCs/>
          <w:sz w:val="24"/>
          <w:szCs w:val="32"/>
        </w:rPr>
        <w:t>第 1 节</w:t>
      </w:r>
      <w:r>
        <w:rPr>
          <w:b/>
          <w:bCs/>
          <w:sz w:val="24"/>
          <w:szCs w:val="32"/>
        </w:rPr>
        <w:tab/>
      </w:r>
      <w:r>
        <w:rPr>
          <w:b/>
          <w:bCs/>
          <w:sz w:val="24"/>
          <w:szCs w:val="32"/>
        </w:rPr>
        <w:t>术语和定义</w:t>
      </w:r>
    </w:p>
    <w:p w14:paraId="126B72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双方确定，本合同及相关附件中所涉及的有关名词和技术术语，其定义和解释如下：</w:t>
      </w:r>
    </w:p>
    <w:p w14:paraId="0B6E38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1.1</w:t>
      </w:r>
      <w:r>
        <w:t>合同能源管理：指甲乙双方以契约形式约定项目节能目标，乙方为实现节能目标向甲方提供服务，甲方以合同约定的节能效益、节能服务费或能源托管费支付乙方的投入及合理利润的节能服务机制。</w:t>
      </w:r>
    </w:p>
    <w:p w14:paraId="449C9B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1.2</w:t>
      </w:r>
      <w:r>
        <w:t>能源费用托管：指用能单位委托节能服务公司，进行电、气、煤、油、市政热力、水等能源资源系 统的运行、管理、维护和改造，用能单位将根据能源基准确定的费用支付给节能服务公司作为托管费用， 节能服务公司通过科学的管理运行和节能技术的应用达到节约能源资源、减少费用支出等目的，获取合理的利润的一种合同能源管理形式。</w:t>
      </w:r>
    </w:p>
    <w:p w14:paraId="019338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1.3</w:t>
      </w:r>
      <w:r>
        <w:t>能源托管费用：指甲乙双方签订能源费用托管项目合同后，甲方支付给乙方的能源托管款项。本合同能源托管费用可包括：</w:t>
      </w:r>
      <w:r>
        <w:rPr>
          <w:rFonts w:hint="eastAsia"/>
          <w:lang w:eastAsia="zh-CN"/>
        </w:rPr>
        <w:t>□</w:t>
      </w:r>
      <w:r>
        <w:t>电费、</w:t>
      </w:r>
      <w:r>
        <w:rPr>
          <w:rFonts w:hint="eastAsia"/>
        </w:rPr>
        <w:t>□</w:t>
      </w:r>
      <w:r>
        <w:t>蒸汽费、</w:t>
      </w:r>
      <w:r>
        <w:rPr>
          <w:rFonts w:hint="eastAsia"/>
        </w:rPr>
        <w:t>□</w:t>
      </w:r>
      <w:r>
        <w:t>燃气费、</w:t>
      </w:r>
      <w:r>
        <w:rPr>
          <w:rFonts w:hint="eastAsia"/>
        </w:rPr>
        <w:t>□</w:t>
      </w:r>
      <w:r>
        <w:t>水费、</w:t>
      </w:r>
      <w:r>
        <w:rPr>
          <w:rFonts w:hint="eastAsia"/>
        </w:rPr>
        <w:t>□</w:t>
      </w:r>
      <w:r>
        <w:t>运维费。</w:t>
      </w:r>
    </w:p>
    <w:p w14:paraId="4B6F1D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1.4</w:t>
      </w:r>
      <w:r>
        <w:t>能源托管期：指乙方向甲方提供能源费用托管服务，甲方向乙方支付能源托管费用的期限。</w:t>
      </w:r>
    </w:p>
    <w:p w14:paraId="796909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1.5</w:t>
      </w:r>
      <w:r>
        <w:t>节能设备：指本项目下所有由乙方采购并安装的设备、设施和仪器等设备财产。</w:t>
      </w:r>
    </w:p>
    <w:p w14:paraId="391BC8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1.6</w:t>
      </w:r>
      <w:r>
        <w:t>甲方现有设备：指与项目建设或运行相关的，甲方自有的除乙方节能设备之外的其他所有设备 设施及仪器等财产。</w:t>
      </w:r>
    </w:p>
    <w:p w14:paraId="1BDEBCE7">
      <w:pPr>
        <w:bidi w:val="0"/>
        <w:spacing w:line="360" w:lineRule="auto"/>
        <w:ind w:firstLine="480" w:firstLineChars="200"/>
      </w:pPr>
      <w:r>
        <w:rPr>
          <w:rFonts w:hint="eastAsia"/>
          <w:lang w:val="en-US" w:eastAsia="zh-CN"/>
        </w:rPr>
        <w:t>1.7</w:t>
      </w:r>
      <w:r>
        <w:t>其他：</w:t>
      </w:r>
      <w:r>
        <w:rPr>
          <w:u w:val="single"/>
        </w:rPr>
        <w:tab/>
      </w:r>
      <w:r>
        <w:rPr>
          <w:rFonts w:hint="eastAsia"/>
          <w:u w:val="single"/>
          <w:lang w:val="en-US" w:eastAsia="zh-CN"/>
        </w:rPr>
        <w:t xml:space="preserve">                         </w:t>
      </w:r>
      <w:r>
        <w:rPr>
          <w:rFonts w:hint="eastAsia"/>
          <w:lang w:val="en-US" w:eastAsia="zh-CN"/>
        </w:rPr>
        <w:t xml:space="preserve">  </w:t>
      </w:r>
      <w:r>
        <w:t>。</w:t>
      </w:r>
    </w:p>
    <w:p w14:paraId="79E6E5F4">
      <w:pPr>
        <w:bidi w:val="0"/>
        <w:spacing w:line="360" w:lineRule="auto"/>
        <w:jc w:val="center"/>
        <w:rPr>
          <w:b/>
          <w:bCs/>
          <w:sz w:val="24"/>
          <w:szCs w:val="32"/>
        </w:rPr>
      </w:pPr>
      <w:r>
        <w:rPr>
          <w:b/>
          <w:bCs/>
          <w:sz w:val="24"/>
          <w:szCs w:val="32"/>
        </w:rPr>
        <w:t>第 2 节</w:t>
      </w:r>
      <w:r>
        <w:rPr>
          <w:b/>
          <w:bCs/>
          <w:sz w:val="24"/>
          <w:szCs w:val="32"/>
        </w:rPr>
        <w:tab/>
      </w:r>
      <w:r>
        <w:rPr>
          <w:b/>
          <w:bCs/>
          <w:sz w:val="24"/>
          <w:szCs w:val="32"/>
        </w:rPr>
        <w:t>托管期限</w:t>
      </w:r>
    </w:p>
    <w:p w14:paraId="5610B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2.1</w:t>
      </w:r>
      <w:r>
        <w:t>本项目托管期为自项目移交托管之日起至能源托管期届满且双方履行完毕各自权利与义务之 日止，能源托管期为</w:t>
      </w:r>
      <w:r>
        <w:rPr>
          <w:u w:val="single"/>
        </w:rPr>
        <w:t xml:space="preserve"> </w:t>
      </w:r>
      <w:r>
        <w:rPr>
          <w:rFonts w:hint="eastAsia"/>
          <w:u w:val="single"/>
          <w:lang w:val="en-US" w:eastAsia="zh-CN"/>
        </w:rPr>
        <w:t xml:space="preserve">       </w:t>
      </w:r>
      <w:r>
        <w:t>个合同月（即</w:t>
      </w:r>
      <w:r>
        <w:rPr>
          <w:rFonts w:hint="eastAsia"/>
          <w:lang w:val="en-US" w:eastAsia="zh-CN"/>
        </w:rPr>
        <w:t xml:space="preserve">   </w:t>
      </w:r>
      <w:r>
        <w:t xml:space="preserve"> 年</w:t>
      </w:r>
      <w:r>
        <w:rPr>
          <w:rFonts w:hint="eastAsia"/>
          <w:lang w:val="en-US" w:eastAsia="zh-CN"/>
        </w:rPr>
        <w:t xml:space="preserve">  </w:t>
      </w:r>
      <w:r>
        <w:t xml:space="preserve"> 月</w:t>
      </w:r>
      <w:r>
        <w:rPr>
          <w:rFonts w:hint="eastAsia"/>
          <w:lang w:val="en-US" w:eastAsia="zh-CN"/>
        </w:rPr>
        <w:t xml:space="preserve">  </w:t>
      </w:r>
      <w:r>
        <w:t xml:space="preserve"> 日至 </w:t>
      </w:r>
      <w:r>
        <w:rPr>
          <w:rFonts w:hint="eastAsia"/>
          <w:lang w:val="en-US" w:eastAsia="zh-CN"/>
        </w:rPr>
        <w:t xml:space="preserve">  </w:t>
      </w:r>
      <w:r>
        <w:t xml:space="preserve">年 </w:t>
      </w:r>
      <w:r>
        <w:rPr>
          <w:rFonts w:hint="eastAsia"/>
          <w:lang w:val="en-US" w:eastAsia="zh-CN"/>
        </w:rPr>
        <w:t xml:space="preserve">  </w:t>
      </w:r>
      <w:r>
        <w:t>月</w:t>
      </w:r>
      <w:r>
        <w:rPr>
          <w:rFonts w:hint="eastAsia"/>
          <w:lang w:val="en-US" w:eastAsia="zh-CN"/>
        </w:rPr>
        <w:t xml:space="preserve">   </w:t>
      </w:r>
      <w:r>
        <w:t xml:space="preserve"> 日止）。</w:t>
      </w:r>
    </w:p>
    <w:p w14:paraId="11206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2.2</w:t>
      </w:r>
      <w:r>
        <w:t>能源托管期包括节能改造项目建设和运行管理两个阶段。其中，节能改造项目建设期为   个日历天，自合同生效且甲方提供了项目建设的必要条件之日起，至乙方实施完成节能改造并通过验收日 止。其中，施工期为</w:t>
      </w:r>
      <w:r>
        <w:rPr>
          <w:u w:val="single"/>
        </w:rPr>
        <w:t xml:space="preserve"> </w:t>
      </w:r>
      <w:r>
        <w:rPr>
          <w:u w:val="single"/>
        </w:rPr>
        <w:tab/>
      </w:r>
      <w:r>
        <w:rPr>
          <w:rFonts w:hint="eastAsia"/>
          <w:u w:val="single"/>
          <w:lang w:val="en-US" w:eastAsia="zh-CN"/>
        </w:rPr>
        <w:t xml:space="preserve">  </w:t>
      </w:r>
      <w:r>
        <w:t xml:space="preserve">个日历天，验收期为 </w:t>
      </w:r>
      <w:r>
        <w:rPr>
          <w:u w:val="single"/>
        </w:rPr>
        <w:t xml:space="preserve">   </w:t>
      </w:r>
      <w:r>
        <w:rPr>
          <w:rFonts w:hint="eastAsia"/>
          <w:u w:val="single"/>
          <w:lang w:val="en-US" w:eastAsia="zh-CN"/>
        </w:rPr>
        <w:t xml:space="preserve">   </w:t>
      </w:r>
      <w:r>
        <w:t>个日历天，剩余的期限为运行管理期。在节能改造项目建设内，非因乙方原因造成工程延误的，则工期相应顺延。</w:t>
      </w:r>
    </w:p>
    <w:p w14:paraId="2789AF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2.3</w:t>
      </w:r>
      <w:r>
        <w:t>其他：</w:t>
      </w:r>
      <w:r>
        <w:rPr>
          <w:rFonts w:hint="eastAsia"/>
          <w:u w:val="single"/>
          <w:lang w:val="en-US" w:eastAsia="zh-CN"/>
        </w:rPr>
        <w:t xml:space="preserve">                        </w:t>
      </w:r>
      <w:r>
        <w:tab/>
      </w:r>
      <w:r>
        <w:t>。</w:t>
      </w:r>
    </w:p>
    <w:p w14:paraId="48422478">
      <w:pPr>
        <w:bidi w:val="0"/>
      </w:pPr>
    </w:p>
    <w:p w14:paraId="494BBAD4">
      <w:pPr>
        <w:rPr>
          <w:b/>
          <w:bCs/>
        </w:rPr>
      </w:pPr>
      <w:r>
        <w:rPr>
          <w:b/>
          <w:bCs/>
        </w:rPr>
        <w:br w:type="page"/>
      </w:r>
    </w:p>
    <w:p w14:paraId="6970A002">
      <w:pPr>
        <w:bidi w:val="0"/>
        <w:jc w:val="center"/>
        <w:rPr>
          <w:b/>
          <w:bCs/>
        </w:rPr>
      </w:pPr>
      <w:r>
        <w:rPr>
          <w:b/>
          <w:bCs/>
        </w:rPr>
        <w:t>第 3 节</w:t>
      </w:r>
      <w:r>
        <w:rPr>
          <w:b/>
          <w:bCs/>
        </w:rPr>
        <w:tab/>
      </w:r>
      <w:r>
        <w:rPr>
          <w:b/>
          <w:bCs/>
        </w:rPr>
        <w:t>托管内容</w:t>
      </w:r>
    </w:p>
    <w:p w14:paraId="4E55DB6F">
      <w:pPr>
        <w:bidi w:val="0"/>
      </w:pPr>
    </w:p>
    <w:p w14:paraId="355AA8C7">
      <w:pPr>
        <w:bidi w:val="0"/>
        <w:spacing w:line="360" w:lineRule="auto"/>
      </w:pPr>
      <w:r>
        <w:rPr>
          <w:rFonts w:hint="eastAsia"/>
          <w:lang w:val="en-US" w:eastAsia="zh-CN"/>
        </w:rPr>
        <w:t>3.1</w:t>
      </w:r>
      <w:r>
        <w:t>甲方委托乙方托管项目能源资源系统，托管的能源资源系统范围详见下表：</w:t>
      </w:r>
    </w:p>
    <w:p w14:paraId="5C688FFF">
      <w:pPr>
        <w:bidi w:val="0"/>
        <w:spacing w:line="360" w:lineRule="auto"/>
      </w:pPr>
      <w:r>
        <w:t>托管的能源资源系统范围</w:t>
      </w:r>
    </w:p>
    <w:tbl>
      <w:tblPr>
        <w:tblStyle w:val="9"/>
        <w:tblW w:w="4999" w:type="pct"/>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autofit"/>
        <w:tblCellMar>
          <w:top w:w="0" w:type="dxa"/>
          <w:left w:w="0" w:type="dxa"/>
          <w:bottom w:w="0" w:type="dxa"/>
          <w:right w:w="0" w:type="dxa"/>
        </w:tblCellMar>
      </w:tblPr>
      <w:tblGrid>
        <w:gridCol w:w="2531"/>
        <w:gridCol w:w="2531"/>
        <w:gridCol w:w="2531"/>
        <w:gridCol w:w="2531"/>
      </w:tblGrid>
      <w:tr w14:paraId="3258A1AA">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3" w:hRule="atLeast"/>
        </w:trPr>
        <w:tc>
          <w:tcPr>
            <w:tcW w:w="1250" w:type="pct"/>
            <w:tcBorders>
              <w:right w:val="single" w:color="231F20" w:sz="4" w:space="0"/>
            </w:tcBorders>
          </w:tcPr>
          <w:p w14:paraId="60814CFE">
            <w:pPr>
              <w:bidi w:val="0"/>
              <w:jc w:val="center"/>
            </w:pPr>
            <w:r>
              <w:t>序号</w:t>
            </w:r>
          </w:p>
        </w:tc>
        <w:tc>
          <w:tcPr>
            <w:tcW w:w="1250" w:type="pct"/>
            <w:tcBorders>
              <w:left w:val="single" w:color="231F20" w:sz="4" w:space="0"/>
              <w:right w:val="single" w:color="231F20" w:sz="4" w:space="0"/>
            </w:tcBorders>
          </w:tcPr>
          <w:p w14:paraId="1D557BEE">
            <w:pPr>
              <w:bidi w:val="0"/>
              <w:jc w:val="center"/>
            </w:pPr>
            <w:r>
              <w:t>建筑名称</w:t>
            </w:r>
          </w:p>
        </w:tc>
        <w:tc>
          <w:tcPr>
            <w:tcW w:w="1250" w:type="pct"/>
            <w:tcBorders>
              <w:left w:val="single" w:color="231F20" w:sz="4" w:space="0"/>
              <w:right w:val="single" w:color="231F20" w:sz="4" w:space="0"/>
            </w:tcBorders>
          </w:tcPr>
          <w:p w14:paraId="3FD31422">
            <w:pPr>
              <w:bidi w:val="0"/>
              <w:jc w:val="center"/>
            </w:pPr>
            <w:r>
              <w:t>设备名称</w:t>
            </w:r>
          </w:p>
        </w:tc>
        <w:tc>
          <w:tcPr>
            <w:tcW w:w="1250" w:type="pct"/>
            <w:tcBorders>
              <w:left w:val="single" w:color="231F20" w:sz="4" w:space="0"/>
            </w:tcBorders>
          </w:tcPr>
          <w:p w14:paraId="2B826C2D">
            <w:pPr>
              <w:bidi w:val="0"/>
              <w:jc w:val="center"/>
            </w:pPr>
            <w:r>
              <w:t>备注</w:t>
            </w:r>
          </w:p>
        </w:tc>
      </w:tr>
      <w:tr w14:paraId="5FF7CBBB">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5" w:hRule="atLeast"/>
        </w:trPr>
        <w:tc>
          <w:tcPr>
            <w:tcW w:w="1250" w:type="pct"/>
            <w:tcBorders>
              <w:bottom w:val="single" w:color="231F20" w:sz="4" w:space="0"/>
              <w:right w:val="single" w:color="231F20" w:sz="4" w:space="0"/>
            </w:tcBorders>
          </w:tcPr>
          <w:p w14:paraId="03B21BB0">
            <w:pPr>
              <w:bidi w:val="0"/>
              <w:jc w:val="center"/>
            </w:pPr>
            <w:r>
              <w:t>1</w:t>
            </w:r>
          </w:p>
        </w:tc>
        <w:tc>
          <w:tcPr>
            <w:tcW w:w="1250" w:type="pct"/>
            <w:tcBorders>
              <w:left w:val="single" w:color="231F20" w:sz="4" w:space="0"/>
              <w:bottom w:val="single" w:color="231F20" w:sz="4" w:space="0"/>
              <w:right w:val="single" w:color="231F20" w:sz="4" w:space="0"/>
            </w:tcBorders>
          </w:tcPr>
          <w:p w14:paraId="7D346B25">
            <w:pPr>
              <w:bidi w:val="0"/>
              <w:jc w:val="center"/>
            </w:pPr>
          </w:p>
        </w:tc>
        <w:tc>
          <w:tcPr>
            <w:tcW w:w="1250" w:type="pct"/>
            <w:tcBorders>
              <w:left w:val="single" w:color="231F20" w:sz="4" w:space="0"/>
              <w:bottom w:val="single" w:color="231F20" w:sz="4" w:space="0"/>
              <w:right w:val="single" w:color="231F20" w:sz="4" w:space="0"/>
            </w:tcBorders>
          </w:tcPr>
          <w:p w14:paraId="4588ED70">
            <w:pPr>
              <w:bidi w:val="0"/>
              <w:jc w:val="center"/>
            </w:pPr>
          </w:p>
        </w:tc>
        <w:tc>
          <w:tcPr>
            <w:tcW w:w="1250" w:type="pct"/>
            <w:tcBorders>
              <w:left w:val="single" w:color="231F20" w:sz="4" w:space="0"/>
              <w:bottom w:val="single" w:color="231F20" w:sz="4" w:space="0"/>
            </w:tcBorders>
          </w:tcPr>
          <w:p w14:paraId="78102F63">
            <w:pPr>
              <w:bidi w:val="0"/>
              <w:jc w:val="center"/>
            </w:pPr>
          </w:p>
        </w:tc>
      </w:tr>
      <w:tr w14:paraId="30D7C87B">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8" w:hRule="atLeast"/>
        </w:trPr>
        <w:tc>
          <w:tcPr>
            <w:tcW w:w="1250" w:type="pct"/>
            <w:tcBorders>
              <w:top w:val="single" w:color="231F20" w:sz="4" w:space="0"/>
              <w:bottom w:val="single" w:color="231F20" w:sz="4" w:space="0"/>
              <w:right w:val="single" w:color="231F20" w:sz="4" w:space="0"/>
            </w:tcBorders>
          </w:tcPr>
          <w:p w14:paraId="69E70ED8">
            <w:pPr>
              <w:bidi w:val="0"/>
              <w:jc w:val="center"/>
            </w:pPr>
            <w:r>
              <w:t>2</w:t>
            </w:r>
          </w:p>
        </w:tc>
        <w:tc>
          <w:tcPr>
            <w:tcW w:w="1250" w:type="pct"/>
            <w:tcBorders>
              <w:top w:val="single" w:color="231F20" w:sz="4" w:space="0"/>
              <w:left w:val="single" w:color="231F20" w:sz="4" w:space="0"/>
              <w:bottom w:val="single" w:color="231F20" w:sz="4" w:space="0"/>
              <w:right w:val="single" w:color="231F20" w:sz="4" w:space="0"/>
            </w:tcBorders>
          </w:tcPr>
          <w:p w14:paraId="3A5AEE91">
            <w:pPr>
              <w:bidi w:val="0"/>
              <w:jc w:val="center"/>
            </w:pPr>
          </w:p>
        </w:tc>
        <w:tc>
          <w:tcPr>
            <w:tcW w:w="1250" w:type="pct"/>
            <w:tcBorders>
              <w:top w:val="single" w:color="231F20" w:sz="4" w:space="0"/>
              <w:left w:val="single" w:color="231F20" w:sz="4" w:space="0"/>
              <w:bottom w:val="single" w:color="231F20" w:sz="4" w:space="0"/>
              <w:right w:val="single" w:color="231F20" w:sz="4" w:space="0"/>
            </w:tcBorders>
          </w:tcPr>
          <w:p w14:paraId="48FFB263">
            <w:pPr>
              <w:bidi w:val="0"/>
              <w:jc w:val="center"/>
            </w:pPr>
          </w:p>
        </w:tc>
        <w:tc>
          <w:tcPr>
            <w:tcW w:w="1250" w:type="pct"/>
            <w:tcBorders>
              <w:top w:val="single" w:color="231F20" w:sz="4" w:space="0"/>
              <w:left w:val="single" w:color="231F20" w:sz="4" w:space="0"/>
              <w:bottom w:val="single" w:color="231F20" w:sz="4" w:space="0"/>
            </w:tcBorders>
          </w:tcPr>
          <w:p w14:paraId="14B8FE23">
            <w:pPr>
              <w:bidi w:val="0"/>
              <w:jc w:val="center"/>
            </w:pPr>
          </w:p>
        </w:tc>
      </w:tr>
      <w:tr w14:paraId="0B2C4C16">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5" w:hRule="atLeast"/>
        </w:trPr>
        <w:tc>
          <w:tcPr>
            <w:tcW w:w="1250" w:type="pct"/>
            <w:tcBorders>
              <w:top w:val="single" w:color="231F20" w:sz="4" w:space="0"/>
              <w:right w:val="single" w:color="231F20" w:sz="4" w:space="0"/>
            </w:tcBorders>
          </w:tcPr>
          <w:p w14:paraId="23A8FF7D">
            <w:pPr>
              <w:bidi w:val="0"/>
              <w:jc w:val="center"/>
            </w:pPr>
            <w:r>
              <w:t>……</w:t>
            </w:r>
          </w:p>
        </w:tc>
        <w:tc>
          <w:tcPr>
            <w:tcW w:w="1250" w:type="pct"/>
            <w:tcBorders>
              <w:top w:val="single" w:color="231F20" w:sz="4" w:space="0"/>
              <w:left w:val="single" w:color="231F20" w:sz="4" w:space="0"/>
              <w:right w:val="single" w:color="231F20" w:sz="4" w:space="0"/>
            </w:tcBorders>
          </w:tcPr>
          <w:p w14:paraId="4A091AF1">
            <w:pPr>
              <w:bidi w:val="0"/>
              <w:jc w:val="center"/>
            </w:pPr>
          </w:p>
        </w:tc>
        <w:tc>
          <w:tcPr>
            <w:tcW w:w="1250" w:type="pct"/>
            <w:tcBorders>
              <w:top w:val="single" w:color="231F20" w:sz="4" w:space="0"/>
              <w:left w:val="single" w:color="231F20" w:sz="4" w:space="0"/>
              <w:right w:val="single" w:color="231F20" w:sz="4" w:space="0"/>
            </w:tcBorders>
          </w:tcPr>
          <w:p w14:paraId="72F79C93">
            <w:pPr>
              <w:bidi w:val="0"/>
              <w:jc w:val="center"/>
            </w:pPr>
          </w:p>
        </w:tc>
        <w:tc>
          <w:tcPr>
            <w:tcW w:w="1250" w:type="pct"/>
            <w:tcBorders>
              <w:top w:val="single" w:color="231F20" w:sz="4" w:space="0"/>
              <w:left w:val="single" w:color="231F20" w:sz="4" w:space="0"/>
            </w:tcBorders>
          </w:tcPr>
          <w:p w14:paraId="4B8B4E2E">
            <w:pPr>
              <w:bidi w:val="0"/>
              <w:jc w:val="center"/>
            </w:pPr>
          </w:p>
        </w:tc>
      </w:tr>
    </w:tbl>
    <w:p w14:paraId="22EE99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乙方负责投资项目改造的全部工作，包括节能改造和</w:t>
      </w:r>
      <w:r>
        <w:rPr>
          <w:u w:val="single"/>
        </w:rPr>
        <w:t xml:space="preserve"> </w:t>
      </w:r>
      <w:r>
        <w:rPr>
          <w:u w:val="single"/>
        </w:rPr>
        <w:tab/>
      </w:r>
      <w:r>
        <w:rPr>
          <w:rFonts w:hint="eastAsia"/>
          <w:u w:val="single"/>
          <w:lang w:val="en-US" w:eastAsia="zh-CN"/>
        </w:rPr>
        <w:t xml:space="preserve">       </w:t>
      </w:r>
      <w:r>
        <w:rPr>
          <w:rFonts w:hint="eastAsia"/>
          <w:lang w:val="en-US" w:eastAsia="zh-CN"/>
        </w:rPr>
        <w:t xml:space="preserve"> </w:t>
      </w:r>
      <w:r>
        <w:t>，提高能源效率，降低能源等费用，对托管项目</w:t>
      </w:r>
      <w:r>
        <w:rPr>
          <w:rFonts w:hint="eastAsia"/>
        </w:rPr>
        <w:t>□</w:t>
      </w:r>
      <w:r>
        <w:t>电费、</w:t>
      </w:r>
      <w:r>
        <w:rPr>
          <w:rFonts w:hint="eastAsia"/>
        </w:rPr>
        <w:t>□</w:t>
      </w:r>
      <w:r>
        <w:t>蒸汽费、</w:t>
      </w:r>
      <w:r>
        <w:rPr>
          <w:rFonts w:hint="eastAsia"/>
        </w:rPr>
        <w:t>□</w:t>
      </w:r>
      <w:r>
        <w:t>燃气费、</w:t>
      </w:r>
      <w:r>
        <w:rPr>
          <w:rFonts w:hint="eastAsia"/>
        </w:rPr>
        <w:t>□</w:t>
      </w:r>
      <w:r>
        <w:t>水费、</w:t>
      </w:r>
      <w:r>
        <w:rPr>
          <w:rFonts w:hint="eastAsia"/>
        </w:rPr>
        <w:t>□</w:t>
      </w:r>
      <w:r>
        <w:t>运维费等费用进行承包。改造项目的投资规模由乙方自行控制，托管期内的经济效益风险由乙方自行承担。</w:t>
      </w:r>
    </w:p>
    <w:p w14:paraId="75C19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3.2</w:t>
      </w:r>
      <w:r>
        <w:t>乙方负责托管能源资源系统的节能改造。</w:t>
      </w:r>
    </w:p>
    <w:p w14:paraId="4E3B39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3.2.1</w:t>
      </w:r>
      <w:r>
        <w:t>乙方根据节能诊断结果及双方设定的节能目标，编制节能改造方案，通过甲方审批后实施， 本次改造范围见下表：</w:t>
      </w:r>
    </w:p>
    <w:p w14:paraId="32C9B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乙方改造边界范围</w:t>
      </w:r>
    </w:p>
    <w:tbl>
      <w:tblPr>
        <w:tblStyle w:val="9"/>
        <w:tblW w:w="4999" w:type="pct"/>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autofit"/>
        <w:tblCellMar>
          <w:top w:w="0" w:type="dxa"/>
          <w:left w:w="0" w:type="dxa"/>
          <w:bottom w:w="0" w:type="dxa"/>
          <w:right w:w="0" w:type="dxa"/>
        </w:tblCellMar>
      </w:tblPr>
      <w:tblGrid>
        <w:gridCol w:w="1248"/>
        <w:gridCol w:w="8876"/>
      </w:tblGrid>
      <w:tr w14:paraId="679B0667">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7" w:hRule="atLeast"/>
        </w:trPr>
        <w:tc>
          <w:tcPr>
            <w:tcW w:w="616" w:type="pct"/>
            <w:tcBorders>
              <w:bottom w:val="single" w:color="231F20" w:sz="4" w:space="0"/>
              <w:right w:val="single" w:color="231F20" w:sz="4" w:space="0"/>
            </w:tcBorders>
            <w:vAlign w:val="top"/>
          </w:tcPr>
          <w:p w14:paraId="684C1F8B">
            <w:pPr>
              <w:bidi w:val="0"/>
            </w:pPr>
          </w:p>
        </w:tc>
        <w:tc>
          <w:tcPr>
            <w:tcW w:w="4383" w:type="pct"/>
            <w:tcBorders>
              <w:left w:val="single" w:color="231F20" w:sz="4" w:space="0"/>
              <w:bottom w:val="single" w:color="231F20" w:sz="4" w:space="0"/>
            </w:tcBorders>
            <w:vAlign w:val="top"/>
          </w:tcPr>
          <w:p w14:paraId="584C2B03">
            <w:pPr>
              <w:bidi w:val="0"/>
            </w:pPr>
          </w:p>
        </w:tc>
      </w:tr>
      <w:tr w14:paraId="0AE537E9">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7" w:hRule="atLeast"/>
        </w:trPr>
        <w:tc>
          <w:tcPr>
            <w:tcW w:w="616" w:type="pct"/>
            <w:tcBorders>
              <w:top w:val="single" w:color="231F20" w:sz="4" w:space="0"/>
              <w:right w:val="single" w:color="231F20" w:sz="4" w:space="0"/>
            </w:tcBorders>
            <w:vAlign w:val="top"/>
          </w:tcPr>
          <w:p w14:paraId="18B9B261">
            <w:pPr>
              <w:bidi w:val="0"/>
            </w:pPr>
          </w:p>
        </w:tc>
        <w:tc>
          <w:tcPr>
            <w:tcW w:w="4383" w:type="pct"/>
            <w:tcBorders>
              <w:top w:val="single" w:color="231F20" w:sz="4" w:space="0"/>
              <w:left w:val="single" w:color="231F20" w:sz="4" w:space="0"/>
            </w:tcBorders>
            <w:vAlign w:val="top"/>
          </w:tcPr>
          <w:p w14:paraId="18F23977">
            <w:pPr>
              <w:bidi w:val="0"/>
            </w:pPr>
          </w:p>
        </w:tc>
      </w:tr>
    </w:tbl>
    <w:p w14:paraId="04D1A1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3.2.2</w:t>
      </w:r>
      <w:r>
        <w:t>如在本能源费用托管项目节能改造期间出现乙方作为专业的节能服务提供者合理预料之外 的情况，导致原有项目方案需要修改，则乙方有权对原有项目方案进行修改。</w:t>
      </w:r>
    </w:p>
    <w:p w14:paraId="7CD84F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3.2.3</w:t>
      </w:r>
      <w:r>
        <w:t>本项目运行期间，在不影响甲方生产经营的前提下，乙方有权为优化托管方案、提高节能效益对项目进行改造，包括但不限于对相关设备或设施进行添加、替换、去除、改造，或者是对相关操作、维 护程序和方法进行修改。乙方应编制相关改造方案并在改造方案实施前</w:t>
      </w:r>
      <w:r>
        <w:rPr>
          <w:u w:val="single"/>
        </w:rPr>
        <w:t xml:space="preserve"> </w:t>
      </w:r>
      <w:r>
        <w:rPr>
          <w:rFonts w:hint="eastAsia"/>
          <w:u w:val="single"/>
          <w:lang w:val="en-US" w:eastAsia="zh-CN"/>
        </w:rPr>
        <w:t xml:space="preserve">    </w:t>
      </w:r>
      <w:r>
        <w:t>日将改造方案书面告知甲方。</w:t>
      </w:r>
    </w:p>
    <w:p w14:paraId="07140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3.3</w:t>
      </w:r>
      <w:r>
        <w:t>托管能源资源系统的运行管理责任。</w:t>
      </w:r>
    </w:p>
    <w:p w14:paraId="3394F5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3.3.1</w:t>
      </w:r>
      <w:r>
        <w:t>甲方现有设备全部归甲方所有，新增节能设备在能源托管期间归乙方所有，甲方享有使用 权，托管期结束且甲方付清本合同约定的所有款项后节能设备归甲方所有。</w:t>
      </w:r>
    </w:p>
    <w:p w14:paraId="6D689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3.3.2</w:t>
      </w:r>
      <w:r>
        <w:t>甲方现有设备的维保及日常性维护等工作（不包括设备的大修）在托管期间委托给乙方负责 并向乙方支付相应的维保费。乙方的节能设备在托管期间的设备质量问题及维保工作由乙方负责。具 体运维界面见下表：</w:t>
      </w:r>
    </w:p>
    <w:tbl>
      <w:tblPr>
        <w:tblStyle w:val="9"/>
        <w:tblW w:w="4999" w:type="pct"/>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autofit"/>
        <w:tblCellMar>
          <w:top w:w="0" w:type="dxa"/>
          <w:left w:w="0" w:type="dxa"/>
          <w:bottom w:w="0" w:type="dxa"/>
          <w:right w:w="0" w:type="dxa"/>
        </w:tblCellMar>
      </w:tblPr>
      <w:tblGrid>
        <w:gridCol w:w="3374"/>
        <w:gridCol w:w="3375"/>
        <w:gridCol w:w="3375"/>
      </w:tblGrid>
      <w:tr w14:paraId="2E23801F">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5" w:hRule="atLeast"/>
        </w:trPr>
        <w:tc>
          <w:tcPr>
            <w:tcW w:w="1666" w:type="pct"/>
            <w:tcBorders>
              <w:bottom w:val="single" w:color="231F20" w:sz="4" w:space="0"/>
              <w:right w:val="single" w:color="231F20" w:sz="4" w:space="0"/>
            </w:tcBorders>
          </w:tcPr>
          <w:p w14:paraId="2F0BD067">
            <w:pPr>
              <w:bidi w:val="0"/>
              <w:jc w:val="center"/>
            </w:pPr>
            <w:r>
              <w:t>甲方</w:t>
            </w:r>
          </w:p>
        </w:tc>
        <w:tc>
          <w:tcPr>
            <w:tcW w:w="1666" w:type="pct"/>
            <w:tcBorders>
              <w:left w:val="single" w:color="231F20" w:sz="4" w:space="0"/>
              <w:bottom w:val="single" w:color="231F20" w:sz="4" w:space="0"/>
              <w:right w:val="single" w:color="231F20" w:sz="4" w:space="0"/>
            </w:tcBorders>
          </w:tcPr>
          <w:p w14:paraId="39435863">
            <w:pPr>
              <w:bidi w:val="0"/>
              <w:jc w:val="center"/>
            </w:pPr>
            <w:r>
              <w:t>乙方</w:t>
            </w:r>
          </w:p>
        </w:tc>
        <w:tc>
          <w:tcPr>
            <w:tcW w:w="1666" w:type="pct"/>
            <w:tcBorders>
              <w:left w:val="single" w:color="231F20" w:sz="4" w:space="0"/>
              <w:bottom w:val="single" w:color="231F20" w:sz="4" w:space="0"/>
            </w:tcBorders>
          </w:tcPr>
          <w:p w14:paraId="26FF2AE8">
            <w:pPr>
              <w:bidi w:val="0"/>
              <w:jc w:val="center"/>
            </w:pPr>
            <w:r>
              <w:t>备注</w:t>
            </w:r>
          </w:p>
        </w:tc>
      </w:tr>
      <w:tr w14:paraId="4906D388">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8" w:hRule="atLeast"/>
        </w:trPr>
        <w:tc>
          <w:tcPr>
            <w:tcW w:w="1666" w:type="pct"/>
            <w:tcBorders>
              <w:top w:val="single" w:color="231F20" w:sz="4" w:space="0"/>
              <w:bottom w:val="single" w:color="231F20" w:sz="4" w:space="0"/>
              <w:right w:val="single" w:color="231F20" w:sz="4" w:space="0"/>
            </w:tcBorders>
          </w:tcPr>
          <w:p w14:paraId="757FF89C">
            <w:pPr>
              <w:bidi w:val="0"/>
            </w:pPr>
          </w:p>
        </w:tc>
        <w:tc>
          <w:tcPr>
            <w:tcW w:w="1666" w:type="pct"/>
            <w:tcBorders>
              <w:top w:val="single" w:color="231F20" w:sz="4" w:space="0"/>
              <w:left w:val="single" w:color="231F20" w:sz="4" w:space="0"/>
              <w:bottom w:val="single" w:color="231F20" w:sz="4" w:space="0"/>
              <w:right w:val="single" w:color="231F20" w:sz="4" w:space="0"/>
            </w:tcBorders>
          </w:tcPr>
          <w:p w14:paraId="6F7D5538">
            <w:pPr>
              <w:bidi w:val="0"/>
            </w:pPr>
          </w:p>
        </w:tc>
        <w:tc>
          <w:tcPr>
            <w:tcW w:w="1666" w:type="pct"/>
            <w:tcBorders>
              <w:top w:val="single" w:color="231F20" w:sz="4" w:space="0"/>
              <w:left w:val="single" w:color="231F20" w:sz="4" w:space="0"/>
              <w:bottom w:val="single" w:color="231F20" w:sz="4" w:space="0"/>
            </w:tcBorders>
          </w:tcPr>
          <w:p w14:paraId="0C23E88F">
            <w:pPr>
              <w:bidi w:val="0"/>
            </w:pPr>
          </w:p>
        </w:tc>
      </w:tr>
    </w:tbl>
    <w:p w14:paraId="795BC9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3.3.3</w:t>
      </w:r>
      <w:r>
        <w:t>托管期开始</w:t>
      </w:r>
      <w:r>
        <w:rPr>
          <w:rFonts w:hint="eastAsia"/>
          <w:u w:val="single"/>
          <w:lang w:val="en-US" w:eastAsia="zh-CN"/>
        </w:rPr>
        <w:t xml:space="preserve">      </w:t>
      </w:r>
      <w:r>
        <w:t>个日历天内，乙方应协助甲方共同评估甲方现有设备存在的故障、安全隐患、设备功能及性能等，出具用能设备现状评估单并统一维修所有故障设备，消除安全隐患，保障设备正常运行，甲方应向乙方支付相应维保费。</w:t>
      </w:r>
    </w:p>
    <w:p w14:paraId="10A6C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3.3.4</w:t>
      </w:r>
      <w:r>
        <w:t>在完成节能改造建设及调试后，乙方应根据设定的节能目标在不影响甲方的正常使用需求 的情况下编制运行策略。甲方应积极配合乙方进行建筑的节能运行，并督导建筑管理单位严格执行。乙方应配合甲方对建筑管理单位的人员开展节能培训工作，保障机电系统的高效运行，以保证节能量的实现。</w:t>
      </w:r>
    </w:p>
    <w:p w14:paraId="79AC56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3.3.5</w:t>
      </w:r>
      <w:r>
        <w:t>乙方应以全面节能为目标，结合项目使用功能情况现状，协助甲方建立完善节能管理体系。</w:t>
      </w:r>
    </w:p>
    <w:p w14:paraId="255AB7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3.4</w:t>
      </w:r>
      <w:r>
        <w:t>如节能改造范围包括</w:t>
      </w:r>
      <w:r>
        <w:rPr>
          <w:rFonts w:hint="eastAsia"/>
        </w:rPr>
        <w:t xml:space="preserve">LED </w:t>
      </w:r>
      <w:r>
        <w:t xml:space="preserve">灯改造，在托管期内乙方对所改造 </w:t>
      </w:r>
      <w:r>
        <w:rPr>
          <w:rFonts w:hint="eastAsia"/>
        </w:rPr>
        <w:t xml:space="preserve">LED </w:t>
      </w:r>
      <w:r>
        <w:t>灯实行全面质量保证，在托管期内如所改造</w:t>
      </w:r>
      <w:r>
        <w:rPr>
          <w:rFonts w:hint="eastAsia"/>
        </w:rPr>
        <w:t xml:space="preserve">LED </w:t>
      </w:r>
      <w:r>
        <w:t>灯具有质量问题，乙方负责以旧换新方式免费提供灯具。</w:t>
      </w:r>
    </w:p>
    <w:p w14:paraId="01BCF7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3.5</w:t>
      </w:r>
      <w:r>
        <w:t>供能时间、质量。</w:t>
      </w:r>
    </w:p>
    <w:p w14:paraId="2231DB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3.5.1</w:t>
      </w:r>
      <w:r>
        <w:t>甲方的供能时间要求：</w:t>
      </w:r>
      <w:r>
        <w:rPr>
          <w:rFonts w:hint="eastAsia"/>
          <w:u w:val="single"/>
          <w:lang w:val="en-US" w:eastAsia="zh-CN"/>
        </w:rPr>
        <w:t xml:space="preserve">          </w:t>
      </w:r>
      <w:r>
        <w:rPr>
          <w:u w:val="single"/>
        </w:rPr>
        <w:tab/>
      </w:r>
      <w:r>
        <w:rPr>
          <w:rFonts w:hint="eastAsia"/>
          <w:u w:val="single"/>
          <w:lang w:val="en-US" w:eastAsia="zh-CN"/>
        </w:rPr>
        <w:t xml:space="preserve">  </w:t>
      </w:r>
      <w:r>
        <w:rPr>
          <w:rFonts w:hint="eastAsia"/>
          <w:lang w:val="en-US" w:eastAsia="zh-CN"/>
        </w:rPr>
        <w:t xml:space="preserve"> </w:t>
      </w:r>
      <w:r>
        <w:t>。</w:t>
      </w:r>
    </w:p>
    <w:p w14:paraId="7C3529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3.5.2</w:t>
      </w:r>
      <w:r>
        <w:t>甲方的供能质量要求：</w:t>
      </w:r>
      <w:r>
        <w:rPr>
          <w:rFonts w:hint="eastAsia"/>
          <w:u w:val="single"/>
          <w:lang w:val="en-US" w:eastAsia="zh-CN"/>
        </w:rPr>
        <w:t xml:space="preserve">              </w:t>
      </w:r>
      <w:r>
        <w:tab/>
      </w:r>
      <w:r>
        <w:t>。</w:t>
      </w:r>
    </w:p>
    <w:p w14:paraId="677856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3.6</w:t>
      </w:r>
      <w:r>
        <w:rPr>
          <w:rFonts w:hint="eastAsia"/>
        </w:rPr>
        <w:tab/>
      </w:r>
      <w:r>
        <w:t>其他：</w:t>
      </w:r>
      <w:r>
        <w:rPr>
          <w:u w:val="single"/>
        </w:rPr>
        <w:tab/>
      </w:r>
      <w:r>
        <w:rPr>
          <w:rFonts w:hint="eastAsia"/>
          <w:u w:val="single"/>
          <w:lang w:val="en-US" w:eastAsia="zh-CN"/>
        </w:rPr>
        <w:t xml:space="preserve">                 </w:t>
      </w:r>
      <w:r>
        <w:rPr>
          <w:rFonts w:hint="eastAsia"/>
          <w:lang w:val="en-US" w:eastAsia="zh-CN"/>
        </w:rPr>
        <w:t xml:space="preserve"> </w:t>
      </w:r>
      <w:r>
        <w:t>。</w:t>
      </w:r>
    </w:p>
    <w:p w14:paraId="65185BE5">
      <w:pPr>
        <w:bidi w:val="0"/>
        <w:jc w:val="center"/>
        <w:rPr>
          <w:b/>
          <w:bCs/>
        </w:rPr>
      </w:pPr>
      <w:r>
        <w:rPr>
          <w:b/>
          <w:bCs/>
        </w:rPr>
        <w:t>第 4 节</w:t>
      </w:r>
      <w:r>
        <w:rPr>
          <w:b/>
          <w:bCs/>
        </w:rPr>
        <w:tab/>
      </w:r>
      <w:r>
        <w:rPr>
          <w:b/>
          <w:bCs/>
        </w:rPr>
        <w:t>费用计算</w:t>
      </w:r>
    </w:p>
    <w:p w14:paraId="26E5DAA6">
      <w:pPr>
        <w:bidi w:val="0"/>
      </w:pPr>
    </w:p>
    <w:p w14:paraId="6719F7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4.1</w:t>
      </w:r>
      <w:r>
        <w:t xml:space="preserve">乙方应在合同生效之日起 </w:t>
      </w:r>
      <w:r>
        <w:tab/>
      </w:r>
      <w:r>
        <w:t>个日历天内向甲方提交详细的能源托管方案（含改造方案和节能运维方案等）。</w:t>
      </w:r>
    </w:p>
    <w:p w14:paraId="780A4B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4.2</w:t>
      </w:r>
      <w:r>
        <w:t>乙方应按能源托管方案的要求，在托管期内协助甲方进行能源资源系统的运行管理，享有能源 托管节省</w:t>
      </w:r>
      <w:r>
        <w:rPr>
          <w:rFonts w:hint="eastAsia"/>
        </w:rPr>
        <w:t>□</w:t>
      </w:r>
      <w:r>
        <w:t>电费、</w:t>
      </w:r>
      <w:r>
        <w:rPr>
          <w:rFonts w:hint="eastAsia"/>
        </w:rPr>
        <w:t xml:space="preserve">□ </w:t>
      </w:r>
      <w:r>
        <w:t>蒸汽费、</w:t>
      </w:r>
      <w:r>
        <w:rPr>
          <w:rFonts w:hint="eastAsia"/>
        </w:rPr>
        <w:t xml:space="preserve">□ </w:t>
      </w:r>
      <w:r>
        <w:t>燃气费、</w:t>
      </w:r>
      <w:r>
        <w:rPr>
          <w:rFonts w:hint="eastAsia"/>
        </w:rPr>
        <w:t xml:space="preserve">□ </w:t>
      </w:r>
      <w:r>
        <w:t>水费、</w:t>
      </w:r>
      <w:r>
        <w:rPr>
          <w:rFonts w:hint="eastAsia"/>
        </w:rPr>
        <w:t xml:space="preserve">□ </w:t>
      </w:r>
      <w:r>
        <w:t>运维费等费用的收益权，承担能源托管</w:t>
      </w:r>
      <w:r>
        <w:rPr>
          <w:rFonts w:hint="eastAsia"/>
        </w:rPr>
        <w:t xml:space="preserve">□ </w:t>
      </w:r>
      <w:r>
        <w:t>电费、</w:t>
      </w:r>
      <w:r>
        <w:rPr>
          <w:rFonts w:hint="eastAsia"/>
        </w:rPr>
        <w:t xml:space="preserve">□ </w:t>
      </w:r>
      <w:r>
        <w:t>蒸汽费、</w:t>
      </w:r>
      <w:r>
        <w:rPr>
          <w:rFonts w:hint="eastAsia"/>
        </w:rPr>
        <w:t>□</w:t>
      </w:r>
      <w:r>
        <w:t>燃气费、</w:t>
      </w:r>
      <w:r>
        <w:rPr>
          <w:rFonts w:hint="eastAsia"/>
        </w:rPr>
        <w:t>□</w:t>
      </w:r>
      <w:r>
        <w:t>水费、</w:t>
      </w:r>
      <w:r>
        <w:rPr>
          <w:rFonts w:hint="eastAsia"/>
        </w:rPr>
        <w:t>□</w:t>
      </w:r>
      <w:r>
        <w:t>运维费等费用超支的风险（按实际用能量进行托管的模式除外）。</w:t>
      </w:r>
    </w:p>
    <w:p w14:paraId="386D99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4.3</w:t>
      </w:r>
      <w:r>
        <w:t>甲乙双方应对托管项目现有的能源资源系统设施、设备进行登记造册，设施设备的数量、功率、 使用时间、状态经双方评估签字确认。确认后的设施、设备总功率作为能源托管的基准功率。</w:t>
      </w:r>
    </w:p>
    <w:p w14:paraId="082BB5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4.4</w:t>
      </w:r>
      <w:r>
        <w:t>能源托管量计算办法：</w:t>
      </w:r>
    </w:p>
    <w:p w14:paraId="03701F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4.4.1</w:t>
      </w:r>
      <w:r>
        <w:t>托管基准量：年托管基准量分别为</w:t>
      </w:r>
      <w:r>
        <w:rPr>
          <w:rFonts w:hint="eastAsia"/>
        </w:rPr>
        <w:t>□</w:t>
      </w:r>
      <w:r>
        <w:t>电量</w:t>
      </w:r>
      <w:r>
        <w:rPr>
          <w:u w:val="single"/>
        </w:rPr>
        <w:t xml:space="preserve"> </w:t>
      </w:r>
      <w:r>
        <w:rPr>
          <w:u w:val="single"/>
        </w:rPr>
        <w:tab/>
      </w:r>
      <w:r>
        <w:rPr>
          <w:rFonts w:hint="eastAsia"/>
          <w:u w:val="single"/>
          <w:lang w:val="en-US" w:eastAsia="zh-CN"/>
        </w:rPr>
        <w:t xml:space="preserve">   </w:t>
      </w:r>
      <w:r>
        <w:rPr>
          <w:rFonts w:hint="eastAsia"/>
        </w:rPr>
        <w:t>kW</w:t>
      </w:r>
      <w:r>
        <w:t>、</w:t>
      </w:r>
      <w:r>
        <w:rPr>
          <w:rFonts w:hint="eastAsia"/>
        </w:rPr>
        <w:t>□</w:t>
      </w:r>
      <w:r>
        <w:t>蒸汽量</w:t>
      </w:r>
      <w:r>
        <w:rPr>
          <w:rFonts w:hint="eastAsia"/>
          <w:lang w:val="en-US" w:eastAsia="zh-CN"/>
        </w:rPr>
        <w:t xml:space="preserve"> </w:t>
      </w:r>
      <w:r>
        <w:rPr>
          <w:rFonts w:hint="eastAsia"/>
          <w:u w:val="single"/>
          <w:lang w:val="en-US" w:eastAsia="zh-CN"/>
        </w:rPr>
        <w:t xml:space="preserve">  </w:t>
      </w:r>
      <w:r>
        <w:rPr>
          <w:u w:val="single"/>
        </w:rPr>
        <w:t xml:space="preserve"> </w:t>
      </w:r>
      <w:r>
        <w:rPr>
          <w:u w:val="single"/>
        </w:rPr>
        <w:tab/>
      </w:r>
      <w:r>
        <w:rPr>
          <w:rFonts w:hint="eastAsia"/>
        </w:rPr>
        <w:t>m³</w:t>
      </w:r>
      <w:r>
        <w:t>、</w:t>
      </w:r>
      <w:r>
        <w:rPr>
          <w:rFonts w:hint="eastAsia"/>
        </w:rPr>
        <w:t>□</w:t>
      </w:r>
      <w:r>
        <w:t>燃气量</w:t>
      </w:r>
      <w:r>
        <w:rPr>
          <w:u w:val="single"/>
        </w:rPr>
        <w:t xml:space="preserve"> </w:t>
      </w:r>
      <w:r>
        <w:rPr>
          <w:rFonts w:hint="eastAsia"/>
          <w:u w:val="single"/>
          <w:lang w:val="en-US" w:eastAsia="zh-CN"/>
        </w:rPr>
        <w:t xml:space="preserve">   </w:t>
      </w:r>
      <w:r>
        <w:rPr>
          <w:u w:val="single"/>
        </w:rPr>
        <w:tab/>
      </w:r>
      <w:r>
        <w:rPr>
          <w:rFonts w:hint="eastAsia"/>
        </w:rPr>
        <w:t>m³</w:t>
      </w:r>
      <w:r>
        <w:t>、</w:t>
      </w:r>
      <w:r>
        <w:rPr>
          <w:rFonts w:hint="eastAsia"/>
        </w:rPr>
        <w:t>□</w:t>
      </w:r>
      <w:r>
        <w:t>水量</w:t>
      </w:r>
      <w:r>
        <w:rPr>
          <w:u w:val="single"/>
        </w:rPr>
        <w:t xml:space="preserve"> </w:t>
      </w:r>
      <w:r>
        <w:rPr>
          <w:u w:val="single"/>
        </w:rPr>
        <w:tab/>
      </w:r>
      <w:r>
        <w:rPr>
          <w:rFonts w:hint="eastAsia"/>
          <w:u w:val="single"/>
          <w:lang w:val="en-US" w:eastAsia="zh-CN"/>
        </w:rPr>
        <w:t xml:space="preserve">   </w:t>
      </w:r>
      <w:r>
        <w:rPr>
          <w:rFonts w:hint="eastAsia"/>
        </w:rPr>
        <w:t>m³</w:t>
      </w:r>
      <w:r>
        <w:t>；年托管基准量分解至</w:t>
      </w:r>
      <w:r>
        <w:rPr>
          <w:u w:val="single"/>
        </w:rPr>
        <w:t xml:space="preserve"> </w:t>
      </w:r>
      <w:r>
        <w:rPr>
          <w:rFonts w:hint="eastAsia"/>
          <w:u w:val="single"/>
          <w:lang w:val="en-US" w:eastAsia="zh-CN"/>
        </w:rPr>
        <w:t xml:space="preserve">   </w:t>
      </w:r>
      <w:r>
        <w:t>个月，各月托管基准量按下表：</w:t>
      </w:r>
    </w:p>
    <w:tbl>
      <w:tblPr>
        <w:tblStyle w:val="9"/>
        <w:tblW w:w="0" w:type="auto"/>
        <w:tblInd w:w="19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959"/>
        <w:gridCol w:w="1204"/>
        <w:gridCol w:w="1204"/>
        <w:gridCol w:w="1204"/>
        <w:gridCol w:w="1257"/>
        <w:gridCol w:w="1257"/>
        <w:gridCol w:w="1257"/>
      </w:tblGrid>
      <w:tr w14:paraId="2CB9F794">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53" w:hRule="atLeast"/>
        </w:trPr>
        <w:tc>
          <w:tcPr>
            <w:tcW w:w="1959" w:type="dxa"/>
            <w:tcBorders>
              <w:right w:val="single" w:color="231F20" w:sz="4" w:space="0"/>
            </w:tcBorders>
            <w:vAlign w:val="center"/>
          </w:tcPr>
          <w:p w14:paraId="13A57AFD">
            <w:pPr>
              <w:bidi w:val="0"/>
              <w:jc w:val="center"/>
            </w:pPr>
            <w:r>
              <w:t>时间</w:t>
            </w:r>
          </w:p>
        </w:tc>
        <w:tc>
          <w:tcPr>
            <w:tcW w:w="1204" w:type="dxa"/>
            <w:tcBorders>
              <w:left w:val="single" w:color="231F20" w:sz="4" w:space="0"/>
              <w:right w:val="single" w:color="231F20" w:sz="4" w:space="0"/>
            </w:tcBorders>
            <w:vAlign w:val="center"/>
          </w:tcPr>
          <w:p w14:paraId="2517CBA0">
            <w:pPr>
              <w:bidi w:val="0"/>
              <w:jc w:val="center"/>
            </w:pPr>
            <w:r>
              <w:rPr>
                <w:rFonts w:hint="eastAsia"/>
              </w:rPr>
              <w:t xml:space="preserve">1 </w:t>
            </w:r>
            <w:r>
              <w:t>月</w:t>
            </w:r>
          </w:p>
        </w:tc>
        <w:tc>
          <w:tcPr>
            <w:tcW w:w="1204" w:type="dxa"/>
            <w:tcBorders>
              <w:left w:val="single" w:color="231F20" w:sz="4" w:space="0"/>
              <w:right w:val="single" w:color="231F20" w:sz="4" w:space="0"/>
            </w:tcBorders>
            <w:vAlign w:val="center"/>
          </w:tcPr>
          <w:p w14:paraId="57E90E35">
            <w:pPr>
              <w:bidi w:val="0"/>
              <w:jc w:val="center"/>
            </w:pPr>
            <w:r>
              <w:rPr>
                <w:rFonts w:hint="eastAsia"/>
              </w:rPr>
              <w:t xml:space="preserve">2 </w:t>
            </w:r>
            <w:r>
              <w:t>月</w:t>
            </w:r>
          </w:p>
        </w:tc>
        <w:tc>
          <w:tcPr>
            <w:tcW w:w="1204" w:type="dxa"/>
            <w:tcBorders>
              <w:left w:val="single" w:color="231F20" w:sz="4" w:space="0"/>
              <w:right w:val="single" w:color="231F20" w:sz="4" w:space="0"/>
            </w:tcBorders>
            <w:vAlign w:val="center"/>
          </w:tcPr>
          <w:p w14:paraId="60E77886">
            <w:pPr>
              <w:bidi w:val="0"/>
              <w:jc w:val="center"/>
            </w:pPr>
            <w:r>
              <w:rPr>
                <w:rFonts w:hint="eastAsia"/>
              </w:rPr>
              <w:t xml:space="preserve">3 </w:t>
            </w:r>
            <w:r>
              <w:t>月</w:t>
            </w:r>
          </w:p>
        </w:tc>
        <w:tc>
          <w:tcPr>
            <w:tcW w:w="1257" w:type="dxa"/>
            <w:tcBorders>
              <w:left w:val="single" w:color="231F20" w:sz="4" w:space="0"/>
              <w:right w:val="single" w:color="231F20" w:sz="4" w:space="0"/>
            </w:tcBorders>
            <w:vAlign w:val="center"/>
          </w:tcPr>
          <w:p w14:paraId="04EA58F7">
            <w:pPr>
              <w:bidi w:val="0"/>
              <w:jc w:val="center"/>
            </w:pPr>
            <w:r>
              <w:rPr>
                <w:rFonts w:hint="eastAsia"/>
              </w:rPr>
              <w:t xml:space="preserve">4 </w:t>
            </w:r>
            <w:r>
              <w:t>月</w:t>
            </w:r>
          </w:p>
        </w:tc>
        <w:tc>
          <w:tcPr>
            <w:tcW w:w="1257" w:type="dxa"/>
            <w:tcBorders>
              <w:left w:val="single" w:color="231F20" w:sz="4" w:space="0"/>
              <w:right w:val="single" w:color="231F20" w:sz="4" w:space="0"/>
            </w:tcBorders>
            <w:vAlign w:val="center"/>
          </w:tcPr>
          <w:p w14:paraId="5C2CE696">
            <w:pPr>
              <w:bidi w:val="0"/>
              <w:jc w:val="center"/>
            </w:pPr>
            <w:r>
              <w:rPr>
                <w:rFonts w:hint="eastAsia"/>
              </w:rPr>
              <w:t xml:space="preserve">5 </w:t>
            </w:r>
            <w:r>
              <w:t>月</w:t>
            </w:r>
          </w:p>
        </w:tc>
        <w:tc>
          <w:tcPr>
            <w:tcW w:w="1257" w:type="dxa"/>
            <w:tcBorders>
              <w:left w:val="single" w:color="231F20" w:sz="4" w:space="0"/>
            </w:tcBorders>
            <w:vAlign w:val="center"/>
          </w:tcPr>
          <w:p w14:paraId="3CA0D647">
            <w:pPr>
              <w:bidi w:val="0"/>
              <w:jc w:val="center"/>
            </w:pPr>
            <w:r>
              <w:rPr>
                <w:rFonts w:hint="eastAsia"/>
              </w:rPr>
              <w:t xml:space="preserve">6 </w:t>
            </w:r>
            <w:r>
              <w:t>月</w:t>
            </w:r>
          </w:p>
        </w:tc>
      </w:tr>
      <w:tr w14:paraId="516D4F91">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5" w:hRule="atLeast"/>
        </w:trPr>
        <w:tc>
          <w:tcPr>
            <w:tcW w:w="1959" w:type="dxa"/>
            <w:tcBorders>
              <w:bottom w:val="single" w:color="231F20" w:sz="4" w:space="0"/>
              <w:right w:val="single" w:color="231F20" w:sz="4" w:space="0"/>
            </w:tcBorders>
            <w:vAlign w:val="center"/>
          </w:tcPr>
          <w:p w14:paraId="3084A2BB">
            <w:pPr>
              <w:bidi w:val="0"/>
              <w:jc w:val="center"/>
            </w:pPr>
            <w:r>
              <w:t>基准电量（</w:t>
            </w:r>
            <w:r>
              <w:rPr>
                <w:rFonts w:hint="eastAsia"/>
              </w:rPr>
              <w:t>kWh</w:t>
            </w:r>
            <w:r>
              <w:t>）</w:t>
            </w:r>
          </w:p>
        </w:tc>
        <w:tc>
          <w:tcPr>
            <w:tcW w:w="1204" w:type="dxa"/>
            <w:tcBorders>
              <w:left w:val="single" w:color="231F20" w:sz="4" w:space="0"/>
              <w:bottom w:val="single" w:color="231F20" w:sz="4" w:space="0"/>
              <w:right w:val="single" w:color="231F20" w:sz="4" w:space="0"/>
            </w:tcBorders>
            <w:vAlign w:val="center"/>
          </w:tcPr>
          <w:p w14:paraId="0206676A">
            <w:pPr>
              <w:bidi w:val="0"/>
              <w:jc w:val="center"/>
            </w:pPr>
          </w:p>
        </w:tc>
        <w:tc>
          <w:tcPr>
            <w:tcW w:w="1204" w:type="dxa"/>
            <w:tcBorders>
              <w:left w:val="single" w:color="231F20" w:sz="4" w:space="0"/>
              <w:bottom w:val="single" w:color="231F20" w:sz="4" w:space="0"/>
              <w:right w:val="single" w:color="231F20" w:sz="4" w:space="0"/>
            </w:tcBorders>
            <w:vAlign w:val="center"/>
          </w:tcPr>
          <w:p w14:paraId="2157A25A">
            <w:pPr>
              <w:bidi w:val="0"/>
              <w:jc w:val="center"/>
            </w:pPr>
          </w:p>
        </w:tc>
        <w:tc>
          <w:tcPr>
            <w:tcW w:w="1204" w:type="dxa"/>
            <w:tcBorders>
              <w:left w:val="single" w:color="231F20" w:sz="4" w:space="0"/>
              <w:bottom w:val="single" w:color="231F20" w:sz="4" w:space="0"/>
              <w:right w:val="single" w:color="231F20" w:sz="4" w:space="0"/>
            </w:tcBorders>
            <w:vAlign w:val="center"/>
          </w:tcPr>
          <w:p w14:paraId="37AB1250">
            <w:pPr>
              <w:bidi w:val="0"/>
              <w:jc w:val="center"/>
            </w:pPr>
          </w:p>
        </w:tc>
        <w:tc>
          <w:tcPr>
            <w:tcW w:w="1257" w:type="dxa"/>
            <w:tcBorders>
              <w:left w:val="single" w:color="231F20" w:sz="4" w:space="0"/>
              <w:bottom w:val="single" w:color="231F20" w:sz="4" w:space="0"/>
              <w:right w:val="single" w:color="231F20" w:sz="4" w:space="0"/>
            </w:tcBorders>
            <w:vAlign w:val="center"/>
          </w:tcPr>
          <w:p w14:paraId="293C253D">
            <w:pPr>
              <w:bidi w:val="0"/>
              <w:jc w:val="center"/>
            </w:pPr>
          </w:p>
        </w:tc>
        <w:tc>
          <w:tcPr>
            <w:tcW w:w="1257" w:type="dxa"/>
            <w:tcBorders>
              <w:left w:val="single" w:color="231F20" w:sz="4" w:space="0"/>
              <w:bottom w:val="single" w:color="231F20" w:sz="4" w:space="0"/>
              <w:right w:val="single" w:color="231F20" w:sz="4" w:space="0"/>
            </w:tcBorders>
            <w:vAlign w:val="center"/>
          </w:tcPr>
          <w:p w14:paraId="2E6A24C0">
            <w:pPr>
              <w:bidi w:val="0"/>
              <w:jc w:val="center"/>
            </w:pPr>
          </w:p>
        </w:tc>
        <w:tc>
          <w:tcPr>
            <w:tcW w:w="1257" w:type="dxa"/>
            <w:tcBorders>
              <w:left w:val="single" w:color="231F20" w:sz="4" w:space="0"/>
              <w:bottom w:val="single" w:color="231F20" w:sz="4" w:space="0"/>
            </w:tcBorders>
            <w:vAlign w:val="center"/>
          </w:tcPr>
          <w:p w14:paraId="4B34F905">
            <w:pPr>
              <w:bidi w:val="0"/>
              <w:jc w:val="center"/>
            </w:pPr>
          </w:p>
        </w:tc>
      </w:tr>
      <w:tr w14:paraId="39269F0C">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8" w:hRule="atLeast"/>
        </w:trPr>
        <w:tc>
          <w:tcPr>
            <w:tcW w:w="1959" w:type="dxa"/>
            <w:tcBorders>
              <w:top w:val="single" w:color="231F20" w:sz="4" w:space="0"/>
              <w:bottom w:val="single" w:color="231F20" w:sz="4" w:space="0"/>
              <w:right w:val="single" w:color="231F20" w:sz="4" w:space="0"/>
            </w:tcBorders>
            <w:vAlign w:val="center"/>
          </w:tcPr>
          <w:p w14:paraId="03E8FE7D">
            <w:pPr>
              <w:bidi w:val="0"/>
              <w:jc w:val="center"/>
            </w:pPr>
            <w:r>
              <w:t>基准气量（</w:t>
            </w:r>
            <w:r>
              <w:rPr>
                <w:rFonts w:hint="eastAsia"/>
              </w:rPr>
              <w:t>m³</w:t>
            </w:r>
            <w:r>
              <w:t>）</w:t>
            </w:r>
          </w:p>
        </w:tc>
        <w:tc>
          <w:tcPr>
            <w:tcW w:w="1204" w:type="dxa"/>
            <w:tcBorders>
              <w:top w:val="single" w:color="231F20" w:sz="4" w:space="0"/>
              <w:left w:val="single" w:color="231F20" w:sz="4" w:space="0"/>
              <w:bottom w:val="single" w:color="231F20" w:sz="4" w:space="0"/>
              <w:right w:val="single" w:color="231F20" w:sz="4" w:space="0"/>
            </w:tcBorders>
            <w:vAlign w:val="center"/>
          </w:tcPr>
          <w:p w14:paraId="21949DBA">
            <w:pPr>
              <w:bidi w:val="0"/>
              <w:jc w:val="center"/>
            </w:pPr>
          </w:p>
        </w:tc>
        <w:tc>
          <w:tcPr>
            <w:tcW w:w="1204" w:type="dxa"/>
            <w:tcBorders>
              <w:top w:val="single" w:color="231F20" w:sz="4" w:space="0"/>
              <w:left w:val="single" w:color="231F20" w:sz="4" w:space="0"/>
              <w:bottom w:val="single" w:color="231F20" w:sz="4" w:space="0"/>
              <w:right w:val="single" w:color="231F20" w:sz="4" w:space="0"/>
            </w:tcBorders>
            <w:vAlign w:val="center"/>
          </w:tcPr>
          <w:p w14:paraId="6FB1D7EA">
            <w:pPr>
              <w:bidi w:val="0"/>
              <w:jc w:val="center"/>
            </w:pPr>
          </w:p>
        </w:tc>
        <w:tc>
          <w:tcPr>
            <w:tcW w:w="1204" w:type="dxa"/>
            <w:tcBorders>
              <w:top w:val="single" w:color="231F20" w:sz="4" w:space="0"/>
              <w:left w:val="single" w:color="231F20" w:sz="4" w:space="0"/>
              <w:bottom w:val="single" w:color="231F20" w:sz="4" w:space="0"/>
              <w:right w:val="single" w:color="231F20" w:sz="4" w:space="0"/>
            </w:tcBorders>
            <w:vAlign w:val="center"/>
          </w:tcPr>
          <w:p w14:paraId="78699247">
            <w:pPr>
              <w:bidi w:val="0"/>
              <w:jc w:val="center"/>
            </w:pPr>
          </w:p>
        </w:tc>
        <w:tc>
          <w:tcPr>
            <w:tcW w:w="1257" w:type="dxa"/>
            <w:tcBorders>
              <w:top w:val="single" w:color="231F20" w:sz="4" w:space="0"/>
              <w:left w:val="single" w:color="231F20" w:sz="4" w:space="0"/>
              <w:bottom w:val="single" w:color="231F20" w:sz="4" w:space="0"/>
              <w:right w:val="single" w:color="231F20" w:sz="4" w:space="0"/>
            </w:tcBorders>
            <w:vAlign w:val="center"/>
          </w:tcPr>
          <w:p w14:paraId="0C012842">
            <w:pPr>
              <w:bidi w:val="0"/>
              <w:jc w:val="center"/>
            </w:pPr>
          </w:p>
        </w:tc>
        <w:tc>
          <w:tcPr>
            <w:tcW w:w="1257" w:type="dxa"/>
            <w:tcBorders>
              <w:top w:val="single" w:color="231F20" w:sz="4" w:space="0"/>
              <w:left w:val="single" w:color="231F20" w:sz="4" w:space="0"/>
              <w:bottom w:val="single" w:color="231F20" w:sz="4" w:space="0"/>
              <w:right w:val="single" w:color="231F20" w:sz="4" w:space="0"/>
            </w:tcBorders>
            <w:vAlign w:val="center"/>
          </w:tcPr>
          <w:p w14:paraId="34D98B4A">
            <w:pPr>
              <w:bidi w:val="0"/>
              <w:jc w:val="center"/>
            </w:pPr>
          </w:p>
        </w:tc>
        <w:tc>
          <w:tcPr>
            <w:tcW w:w="1257" w:type="dxa"/>
            <w:tcBorders>
              <w:top w:val="single" w:color="231F20" w:sz="4" w:space="0"/>
              <w:left w:val="single" w:color="231F20" w:sz="4" w:space="0"/>
              <w:bottom w:val="single" w:color="231F20" w:sz="4" w:space="0"/>
            </w:tcBorders>
            <w:vAlign w:val="center"/>
          </w:tcPr>
          <w:p w14:paraId="2276C407">
            <w:pPr>
              <w:bidi w:val="0"/>
              <w:jc w:val="center"/>
            </w:pPr>
          </w:p>
        </w:tc>
      </w:tr>
      <w:tr w14:paraId="0148D5F8">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55" w:hRule="atLeast"/>
        </w:trPr>
        <w:tc>
          <w:tcPr>
            <w:tcW w:w="1959" w:type="dxa"/>
            <w:tcBorders>
              <w:top w:val="single" w:color="231F20" w:sz="4" w:space="0"/>
              <w:bottom w:val="double" w:color="231F20" w:sz="0" w:space="0"/>
              <w:right w:val="single" w:color="231F20" w:sz="4" w:space="0"/>
            </w:tcBorders>
            <w:vAlign w:val="center"/>
          </w:tcPr>
          <w:p w14:paraId="23B59866">
            <w:pPr>
              <w:bidi w:val="0"/>
              <w:jc w:val="center"/>
            </w:pPr>
            <w:r>
              <w:t>……</w:t>
            </w:r>
          </w:p>
        </w:tc>
        <w:tc>
          <w:tcPr>
            <w:tcW w:w="1204" w:type="dxa"/>
            <w:tcBorders>
              <w:top w:val="single" w:color="231F20" w:sz="4" w:space="0"/>
              <w:left w:val="single" w:color="231F20" w:sz="4" w:space="0"/>
              <w:bottom w:val="double" w:color="231F20" w:sz="0" w:space="0"/>
              <w:right w:val="single" w:color="231F20" w:sz="4" w:space="0"/>
            </w:tcBorders>
            <w:vAlign w:val="center"/>
          </w:tcPr>
          <w:p w14:paraId="057FF7DC">
            <w:pPr>
              <w:bidi w:val="0"/>
              <w:jc w:val="center"/>
            </w:pPr>
          </w:p>
        </w:tc>
        <w:tc>
          <w:tcPr>
            <w:tcW w:w="1204" w:type="dxa"/>
            <w:tcBorders>
              <w:top w:val="single" w:color="231F20" w:sz="4" w:space="0"/>
              <w:left w:val="single" w:color="231F20" w:sz="4" w:space="0"/>
              <w:bottom w:val="double" w:color="231F20" w:sz="0" w:space="0"/>
              <w:right w:val="single" w:color="231F20" w:sz="4" w:space="0"/>
            </w:tcBorders>
            <w:vAlign w:val="center"/>
          </w:tcPr>
          <w:p w14:paraId="196AD2D5">
            <w:pPr>
              <w:bidi w:val="0"/>
              <w:jc w:val="center"/>
            </w:pPr>
          </w:p>
        </w:tc>
        <w:tc>
          <w:tcPr>
            <w:tcW w:w="1204" w:type="dxa"/>
            <w:tcBorders>
              <w:top w:val="single" w:color="231F20" w:sz="4" w:space="0"/>
              <w:left w:val="single" w:color="231F20" w:sz="4" w:space="0"/>
              <w:bottom w:val="double" w:color="231F20" w:sz="0" w:space="0"/>
              <w:right w:val="single" w:color="231F20" w:sz="4" w:space="0"/>
            </w:tcBorders>
            <w:vAlign w:val="center"/>
          </w:tcPr>
          <w:p w14:paraId="4127E5AB">
            <w:pPr>
              <w:bidi w:val="0"/>
              <w:jc w:val="center"/>
            </w:pPr>
          </w:p>
        </w:tc>
        <w:tc>
          <w:tcPr>
            <w:tcW w:w="1257" w:type="dxa"/>
            <w:tcBorders>
              <w:top w:val="single" w:color="231F20" w:sz="4" w:space="0"/>
              <w:left w:val="single" w:color="231F20" w:sz="4" w:space="0"/>
              <w:bottom w:val="double" w:color="231F20" w:sz="0" w:space="0"/>
              <w:right w:val="single" w:color="231F20" w:sz="4" w:space="0"/>
            </w:tcBorders>
            <w:vAlign w:val="center"/>
          </w:tcPr>
          <w:p w14:paraId="65EED40F">
            <w:pPr>
              <w:bidi w:val="0"/>
              <w:jc w:val="center"/>
            </w:pPr>
          </w:p>
        </w:tc>
        <w:tc>
          <w:tcPr>
            <w:tcW w:w="1257" w:type="dxa"/>
            <w:tcBorders>
              <w:top w:val="single" w:color="231F20" w:sz="4" w:space="0"/>
              <w:left w:val="single" w:color="231F20" w:sz="4" w:space="0"/>
              <w:bottom w:val="double" w:color="231F20" w:sz="0" w:space="0"/>
              <w:right w:val="single" w:color="231F20" w:sz="4" w:space="0"/>
            </w:tcBorders>
            <w:vAlign w:val="center"/>
          </w:tcPr>
          <w:p w14:paraId="3EE2D642">
            <w:pPr>
              <w:bidi w:val="0"/>
              <w:jc w:val="center"/>
            </w:pPr>
          </w:p>
        </w:tc>
        <w:tc>
          <w:tcPr>
            <w:tcW w:w="1257" w:type="dxa"/>
            <w:tcBorders>
              <w:top w:val="single" w:color="231F20" w:sz="4" w:space="0"/>
              <w:left w:val="single" w:color="231F20" w:sz="4" w:space="0"/>
              <w:bottom w:val="double" w:color="231F20" w:sz="0" w:space="0"/>
            </w:tcBorders>
            <w:vAlign w:val="center"/>
          </w:tcPr>
          <w:p w14:paraId="2C7F14C5">
            <w:pPr>
              <w:bidi w:val="0"/>
              <w:jc w:val="center"/>
            </w:pPr>
          </w:p>
        </w:tc>
      </w:tr>
      <w:tr w14:paraId="7AF7F1A8">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53" w:hRule="atLeast"/>
        </w:trPr>
        <w:tc>
          <w:tcPr>
            <w:tcW w:w="1959" w:type="dxa"/>
            <w:tcBorders>
              <w:top w:val="double" w:color="231F20" w:sz="0" w:space="0"/>
              <w:right w:val="single" w:color="231F20" w:sz="4" w:space="0"/>
            </w:tcBorders>
            <w:vAlign w:val="center"/>
          </w:tcPr>
          <w:p w14:paraId="338A2FDD">
            <w:pPr>
              <w:bidi w:val="0"/>
              <w:jc w:val="center"/>
            </w:pPr>
            <w:r>
              <w:t>时间</w:t>
            </w:r>
          </w:p>
        </w:tc>
        <w:tc>
          <w:tcPr>
            <w:tcW w:w="1204" w:type="dxa"/>
            <w:tcBorders>
              <w:top w:val="double" w:color="231F20" w:sz="0" w:space="0"/>
              <w:left w:val="single" w:color="231F20" w:sz="4" w:space="0"/>
              <w:right w:val="single" w:color="231F20" w:sz="4" w:space="0"/>
            </w:tcBorders>
            <w:vAlign w:val="center"/>
          </w:tcPr>
          <w:p w14:paraId="517D929E">
            <w:pPr>
              <w:bidi w:val="0"/>
              <w:jc w:val="center"/>
            </w:pPr>
            <w:r>
              <w:rPr>
                <w:rFonts w:hint="eastAsia"/>
              </w:rPr>
              <w:t xml:space="preserve">7 </w:t>
            </w:r>
            <w:r>
              <w:t>月</w:t>
            </w:r>
          </w:p>
        </w:tc>
        <w:tc>
          <w:tcPr>
            <w:tcW w:w="1204" w:type="dxa"/>
            <w:tcBorders>
              <w:top w:val="double" w:color="231F20" w:sz="0" w:space="0"/>
              <w:left w:val="single" w:color="231F20" w:sz="4" w:space="0"/>
              <w:right w:val="single" w:color="231F20" w:sz="4" w:space="0"/>
            </w:tcBorders>
            <w:vAlign w:val="center"/>
          </w:tcPr>
          <w:p w14:paraId="6EC54D27">
            <w:pPr>
              <w:bidi w:val="0"/>
              <w:jc w:val="center"/>
            </w:pPr>
            <w:r>
              <w:rPr>
                <w:rFonts w:hint="eastAsia"/>
              </w:rPr>
              <w:t xml:space="preserve">8 </w:t>
            </w:r>
            <w:r>
              <w:t>月</w:t>
            </w:r>
          </w:p>
        </w:tc>
        <w:tc>
          <w:tcPr>
            <w:tcW w:w="1204" w:type="dxa"/>
            <w:tcBorders>
              <w:top w:val="double" w:color="231F20" w:sz="0" w:space="0"/>
              <w:left w:val="single" w:color="231F20" w:sz="4" w:space="0"/>
              <w:right w:val="single" w:color="231F20" w:sz="4" w:space="0"/>
            </w:tcBorders>
            <w:vAlign w:val="center"/>
          </w:tcPr>
          <w:p w14:paraId="228C68AD">
            <w:pPr>
              <w:bidi w:val="0"/>
              <w:jc w:val="center"/>
            </w:pPr>
            <w:r>
              <w:rPr>
                <w:rFonts w:hint="eastAsia"/>
              </w:rPr>
              <w:t xml:space="preserve">9 </w:t>
            </w:r>
            <w:r>
              <w:t>月</w:t>
            </w:r>
          </w:p>
        </w:tc>
        <w:tc>
          <w:tcPr>
            <w:tcW w:w="1257" w:type="dxa"/>
            <w:tcBorders>
              <w:top w:val="double" w:color="231F20" w:sz="0" w:space="0"/>
              <w:left w:val="single" w:color="231F20" w:sz="4" w:space="0"/>
              <w:right w:val="single" w:color="231F20" w:sz="4" w:space="0"/>
            </w:tcBorders>
            <w:vAlign w:val="center"/>
          </w:tcPr>
          <w:p w14:paraId="1F06CB30">
            <w:pPr>
              <w:bidi w:val="0"/>
              <w:jc w:val="center"/>
            </w:pPr>
            <w:r>
              <w:rPr>
                <w:rFonts w:hint="eastAsia"/>
              </w:rPr>
              <w:t xml:space="preserve">10 </w:t>
            </w:r>
            <w:r>
              <w:t>月</w:t>
            </w:r>
          </w:p>
        </w:tc>
        <w:tc>
          <w:tcPr>
            <w:tcW w:w="1257" w:type="dxa"/>
            <w:tcBorders>
              <w:top w:val="double" w:color="231F20" w:sz="0" w:space="0"/>
              <w:left w:val="single" w:color="231F20" w:sz="4" w:space="0"/>
              <w:right w:val="single" w:color="231F20" w:sz="4" w:space="0"/>
            </w:tcBorders>
            <w:vAlign w:val="center"/>
          </w:tcPr>
          <w:p w14:paraId="7AA182F3">
            <w:pPr>
              <w:bidi w:val="0"/>
              <w:jc w:val="center"/>
            </w:pPr>
            <w:r>
              <w:rPr>
                <w:rFonts w:hint="eastAsia"/>
              </w:rPr>
              <w:t xml:space="preserve">11 </w:t>
            </w:r>
            <w:r>
              <w:t>月</w:t>
            </w:r>
          </w:p>
        </w:tc>
        <w:tc>
          <w:tcPr>
            <w:tcW w:w="1257" w:type="dxa"/>
            <w:tcBorders>
              <w:top w:val="double" w:color="231F20" w:sz="0" w:space="0"/>
              <w:left w:val="single" w:color="231F20" w:sz="4" w:space="0"/>
            </w:tcBorders>
            <w:vAlign w:val="center"/>
          </w:tcPr>
          <w:p w14:paraId="4759F5D9">
            <w:pPr>
              <w:bidi w:val="0"/>
              <w:jc w:val="center"/>
            </w:pPr>
            <w:r>
              <w:rPr>
                <w:rFonts w:hint="eastAsia"/>
              </w:rPr>
              <w:t xml:space="preserve">12 </w:t>
            </w:r>
            <w:r>
              <w:t>月</w:t>
            </w:r>
          </w:p>
        </w:tc>
      </w:tr>
      <w:tr w14:paraId="63CD09FF">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55" w:hRule="atLeast"/>
        </w:trPr>
        <w:tc>
          <w:tcPr>
            <w:tcW w:w="1959" w:type="dxa"/>
            <w:tcBorders>
              <w:bottom w:val="single" w:color="231F20" w:sz="4" w:space="0"/>
              <w:right w:val="single" w:color="231F20" w:sz="4" w:space="0"/>
            </w:tcBorders>
            <w:vAlign w:val="center"/>
          </w:tcPr>
          <w:p w14:paraId="484E240F">
            <w:pPr>
              <w:bidi w:val="0"/>
              <w:jc w:val="center"/>
            </w:pPr>
            <w:r>
              <w:t>基准电量（</w:t>
            </w:r>
            <w:r>
              <w:rPr>
                <w:rFonts w:hint="eastAsia"/>
              </w:rPr>
              <w:t>kWh</w:t>
            </w:r>
            <w:r>
              <w:t>）</w:t>
            </w:r>
          </w:p>
        </w:tc>
        <w:tc>
          <w:tcPr>
            <w:tcW w:w="1204" w:type="dxa"/>
            <w:tcBorders>
              <w:left w:val="single" w:color="231F20" w:sz="4" w:space="0"/>
              <w:bottom w:val="single" w:color="231F20" w:sz="4" w:space="0"/>
              <w:right w:val="single" w:color="231F20" w:sz="4" w:space="0"/>
            </w:tcBorders>
            <w:vAlign w:val="center"/>
          </w:tcPr>
          <w:p w14:paraId="0B8D13DC">
            <w:pPr>
              <w:bidi w:val="0"/>
              <w:jc w:val="center"/>
            </w:pPr>
          </w:p>
        </w:tc>
        <w:tc>
          <w:tcPr>
            <w:tcW w:w="1204" w:type="dxa"/>
            <w:tcBorders>
              <w:left w:val="single" w:color="231F20" w:sz="4" w:space="0"/>
              <w:bottom w:val="single" w:color="231F20" w:sz="4" w:space="0"/>
              <w:right w:val="single" w:color="231F20" w:sz="4" w:space="0"/>
            </w:tcBorders>
            <w:vAlign w:val="center"/>
          </w:tcPr>
          <w:p w14:paraId="12212B1D">
            <w:pPr>
              <w:bidi w:val="0"/>
              <w:jc w:val="center"/>
            </w:pPr>
          </w:p>
        </w:tc>
        <w:tc>
          <w:tcPr>
            <w:tcW w:w="1204" w:type="dxa"/>
            <w:tcBorders>
              <w:left w:val="single" w:color="231F20" w:sz="4" w:space="0"/>
              <w:bottom w:val="single" w:color="231F20" w:sz="4" w:space="0"/>
              <w:right w:val="single" w:color="231F20" w:sz="4" w:space="0"/>
            </w:tcBorders>
            <w:vAlign w:val="center"/>
          </w:tcPr>
          <w:p w14:paraId="2CE8C306">
            <w:pPr>
              <w:bidi w:val="0"/>
              <w:jc w:val="center"/>
            </w:pPr>
          </w:p>
        </w:tc>
        <w:tc>
          <w:tcPr>
            <w:tcW w:w="1257" w:type="dxa"/>
            <w:tcBorders>
              <w:left w:val="single" w:color="231F20" w:sz="4" w:space="0"/>
              <w:bottom w:val="single" w:color="231F20" w:sz="4" w:space="0"/>
              <w:right w:val="single" w:color="231F20" w:sz="4" w:space="0"/>
            </w:tcBorders>
            <w:vAlign w:val="center"/>
          </w:tcPr>
          <w:p w14:paraId="73F49ED3">
            <w:pPr>
              <w:bidi w:val="0"/>
              <w:jc w:val="center"/>
            </w:pPr>
          </w:p>
        </w:tc>
        <w:tc>
          <w:tcPr>
            <w:tcW w:w="1257" w:type="dxa"/>
            <w:tcBorders>
              <w:left w:val="single" w:color="231F20" w:sz="4" w:space="0"/>
              <w:bottom w:val="single" w:color="231F20" w:sz="4" w:space="0"/>
              <w:right w:val="single" w:color="231F20" w:sz="4" w:space="0"/>
            </w:tcBorders>
            <w:vAlign w:val="center"/>
          </w:tcPr>
          <w:p w14:paraId="4AA00BAF">
            <w:pPr>
              <w:bidi w:val="0"/>
              <w:jc w:val="center"/>
            </w:pPr>
          </w:p>
        </w:tc>
        <w:tc>
          <w:tcPr>
            <w:tcW w:w="1257" w:type="dxa"/>
            <w:tcBorders>
              <w:left w:val="single" w:color="231F20" w:sz="4" w:space="0"/>
              <w:bottom w:val="single" w:color="231F20" w:sz="4" w:space="0"/>
            </w:tcBorders>
            <w:vAlign w:val="center"/>
          </w:tcPr>
          <w:p w14:paraId="517E0F25">
            <w:pPr>
              <w:bidi w:val="0"/>
              <w:jc w:val="center"/>
            </w:pPr>
          </w:p>
        </w:tc>
      </w:tr>
      <w:tr w14:paraId="63833F83">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8" w:hRule="atLeast"/>
        </w:trPr>
        <w:tc>
          <w:tcPr>
            <w:tcW w:w="1959" w:type="dxa"/>
            <w:tcBorders>
              <w:top w:val="single" w:color="231F20" w:sz="4" w:space="0"/>
              <w:bottom w:val="single" w:color="231F20" w:sz="4" w:space="0"/>
              <w:right w:val="single" w:color="231F20" w:sz="4" w:space="0"/>
            </w:tcBorders>
            <w:vAlign w:val="center"/>
          </w:tcPr>
          <w:p w14:paraId="7E045C7B">
            <w:pPr>
              <w:bidi w:val="0"/>
              <w:jc w:val="center"/>
            </w:pPr>
            <w:r>
              <w:t>基准气量（</w:t>
            </w:r>
            <w:r>
              <w:rPr>
                <w:rFonts w:hint="eastAsia"/>
              </w:rPr>
              <w:t>m³</w:t>
            </w:r>
            <w:r>
              <w:t>）</w:t>
            </w:r>
          </w:p>
        </w:tc>
        <w:tc>
          <w:tcPr>
            <w:tcW w:w="1204" w:type="dxa"/>
            <w:tcBorders>
              <w:top w:val="single" w:color="231F20" w:sz="4" w:space="0"/>
              <w:left w:val="single" w:color="231F20" w:sz="4" w:space="0"/>
              <w:bottom w:val="single" w:color="231F20" w:sz="4" w:space="0"/>
              <w:right w:val="single" w:color="231F20" w:sz="4" w:space="0"/>
            </w:tcBorders>
            <w:vAlign w:val="center"/>
          </w:tcPr>
          <w:p w14:paraId="2AC0D515">
            <w:pPr>
              <w:bidi w:val="0"/>
              <w:jc w:val="center"/>
            </w:pPr>
          </w:p>
        </w:tc>
        <w:tc>
          <w:tcPr>
            <w:tcW w:w="1204" w:type="dxa"/>
            <w:tcBorders>
              <w:top w:val="single" w:color="231F20" w:sz="4" w:space="0"/>
              <w:left w:val="single" w:color="231F20" w:sz="4" w:space="0"/>
              <w:bottom w:val="single" w:color="231F20" w:sz="4" w:space="0"/>
              <w:right w:val="single" w:color="231F20" w:sz="4" w:space="0"/>
            </w:tcBorders>
            <w:vAlign w:val="center"/>
          </w:tcPr>
          <w:p w14:paraId="5020464A">
            <w:pPr>
              <w:bidi w:val="0"/>
              <w:jc w:val="center"/>
            </w:pPr>
          </w:p>
        </w:tc>
        <w:tc>
          <w:tcPr>
            <w:tcW w:w="1204" w:type="dxa"/>
            <w:tcBorders>
              <w:top w:val="single" w:color="231F20" w:sz="4" w:space="0"/>
              <w:left w:val="single" w:color="231F20" w:sz="4" w:space="0"/>
              <w:bottom w:val="single" w:color="231F20" w:sz="4" w:space="0"/>
              <w:right w:val="single" w:color="231F20" w:sz="4" w:space="0"/>
            </w:tcBorders>
            <w:vAlign w:val="center"/>
          </w:tcPr>
          <w:p w14:paraId="61316EA1">
            <w:pPr>
              <w:bidi w:val="0"/>
              <w:jc w:val="center"/>
            </w:pPr>
          </w:p>
        </w:tc>
        <w:tc>
          <w:tcPr>
            <w:tcW w:w="1257" w:type="dxa"/>
            <w:tcBorders>
              <w:top w:val="single" w:color="231F20" w:sz="4" w:space="0"/>
              <w:left w:val="single" w:color="231F20" w:sz="4" w:space="0"/>
              <w:bottom w:val="single" w:color="231F20" w:sz="4" w:space="0"/>
              <w:right w:val="single" w:color="231F20" w:sz="4" w:space="0"/>
            </w:tcBorders>
            <w:vAlign w:val="center"/>
          </w:tcPr>
          <w:p w14:paraId="57F547ED">
            <w:pPr>
              <w:bidi w:val="0"/>
              <w:jc w:val="center"/>
            </w:pPr>
          </w:p>
        </w:tc>
        <w:tc>
          <w:tcPr>
            <w:tcW w:w="1257" w:type="dxa"/>
            <w:tcBorders>
              <w:top w:val="single" w:color="231F20" w:sz="4" w:space="0"/>
              <w:left w:val="single" w:color="231F20" w:sz="4" w:space="0"/>
              <w:bottom w:val="single" w:color="231F20" w:sz="4" w:space="0"/>
              <w:right w:val="single" w:color="231F20" w:sz="4" w:space="0"/>
            </w:tcBorders>
            <w:vAlign w:val="center"/>
          </w:tcPr>
          <w:p w14:paraId="1E6859F2">
            <w:pPr>
              <w:bidi w:val="0"/>
              <w:jc w:val="center"/>
            </w:pPr>
          </w:p>
        </w:tc>
        <w:tc>
          <w:tcPr>
            <w:tcW w:w="1257" w:type="dxa"/>
            <w:tcBorders>
              <w:top w:val="single" w:color="231F20" w:sz="4" w:space="0"/>
              <w:left w:val="single" w:color="231F20" w:sz="4" w:space="0"/>
              <w:bottom w:val="single" w:color="231F20" w:sz="4" w:space="0"/>
            </w:tcBorders>
            <w:vAlign w:val="center"/>
          </w:tcPr>
          <w:p w14:paraId="293B0A46">
            <w:pPr>
              <w:bidi w:val="0"/>
              <w:jc w:val="center"/>
            </w:pPr>
          </w:p>
        </w:tc>
      </w:tr>
      <w:tr w14:paraId="36C4084B">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55" w:hRule="atLeast"/>
        </w:trPr>
        <w:tc>
          <w:tcPr>
            <w:tcW w:w="1959" w:type="dxa"/>
            <w:tcBorders>
              <w:top w:val="single" w:color="231F20" w:sz="4" w:space="0"/>
              <w:right w:val="single" w:color="231F20" w:sz="4" w:space="0"/>
            </w:tcBorders>
            <w:vAlign w:val="center"/>
          </w:tcPr>
          <w:p w14:paraId="59D03DF4">
            <w:pPr>
              <w:bidi w:val="0"/>
              <w:jc w:val="center"/>
            </w:pPr>
            <w:r>
              <w:t>……</w:t>
            </w:r>
          </w:p>
        </w:tc>
        <w:tc>
          <w:tcPr>
            <w:tcW w:w="1204" w:type="dxa"/>
            <w:tcBorders>
              <w:top w:val="single" w:color="231F20" w:sz="4" w:space="0"/>
              <w:left w:val="single" w:color="231F20" w:sz="4" w:space="0"/>
              <w:right w:val="single" w:color="231F20" w:sz="4" w:space="0"/>
            </w:tcBorders>
            <w:vAlign w:val="center"/>
          </w:tcPr>
          <w:p w14:paraId="41772F4C">
            <w:pPr>
              <w:bidi w:val="0"/>
              <w:jc w:val="center"/>
            </w:pPr>
          </w:p>
        </w:tc>
        <w:tc>
          <w:tcPr>
            <w:tcW w:w="1204" w:type="dxa"/>
            <w:tcBorders>
              <w:top w:val="single" w:color="231F20" w:sz="4" w:space="0"/>
              <w:left w:val="single" w:color="231F20" w:sz="4" w:space="0"/>
              <w:right w:val="single" w:color="231F20" w:sz="4" w:space="0"/>
            </w:tcBorders>
            <w:vAlign w:val="center"/>
          </w:tcPr>
          <w:p w14:paraId="174C6516">
            <w:pPr>
              <w:bidi w:val="0"/>
              <w:jc w:val="center"/>
            </w:pPr>
          </w:p>
        </w:tc>
        <w:tc>
          <w:tcPr>
            <w:tcW w:w="1204" w:type="dxa"/>
            <w:tcBorders>
              <w:top w:val="single" w:color="231F20" w:sz="4" w:space="0"/>
              <w:left w:val="single" w:color="231F20" w:sz="4" w:space="0"/>
              <w:right w:val="single" w:color="231F20" w:sz="4" w:space="0"/>
            </w:tcBorders>
            <w:vAlign w:val="center"/>
          </w:tcPr>
          <w:p w14:paraId="5DAEEC37">
            <w:pPr>
              <w:bidi w:val="0"/>
              <w:jc w:val="center"/>
            </w:pPr>
          </w:p>
        </w:tc>
        <w:tc>
          <w:tcPr>
            <w:tcW w:w="1257" w:type="dxa"/>
            <w:tcBorders>
              <w:top w:val="single" w:color="231F20" w:sz="4" w:space="0"/>
              <w:left w:val="single" w:color="231F20" w:sz="4" w:space="0"/>
              <w:right w:val="single" w:color="231F20" w:sz="4" w:space="0"/>
            </w:tcBorders>
            <w:vAlign w:val="center"/>
          </w:tcPr>
          <w:p w14:paraId="079A717E">
            <w:pPr>
              <w:bidi w:val="0"/>
              <w:jc w:val="center"/>
            </w:pPr>
          </w:p>
        </w:tc>
        <w:tc>
          <w:tcPr>
            <w:tcW w:w="1257" w:type="dxa"/>
            <w:tcBorders>
              <w:top w:val="single" w:color="231F20" w:sz="4" w:space="0"/>
              <w:left w:val="single" w:color="231F20" w:sz="4" w:space="0"/>
              <w:right w:val="single" w:color="231F20" w:sz="4" w:space="0"/>
            </w:tcBorders>
            <w:vAlign w:val="center"/>
          </w:tcPr>
          <w:p w14:paraId="32CA57DB">
            <w:pPr>
              <w:bidi w:val="0"/>
              <w:jc w:val="center"/>
            </w:pPr>
          </w:p>
        </w:tc>
        <w:tc>
          <w:tcPr>
            <w:tcW w:w="1257" w:type="dxa"/>
            <w:tcBorders>
              <w:top w:val="single" w:color="231F20" w:sz="4" w:space="0"/>
              <w:left w:val="single" w:color="231F20" w:sz="4" w:space="0"/>
            </w:tcBorders>
            <w:vAlign w:val="center"/>
          </w:tcPr>
          <w:p w14:paraId="7725F574">
            <w:pPr>
              <w:bidi w:val="0"/>
              <w:jc w:val="center"/>
            </w:pPr>
          </w:p>
        </w:tc>
      </w:tr>
    </w:tbl>
    <w:p w14:paraId="0DF661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 xml:space="preserve">其中，每年 </w:t>
      </w:r>
      <w:r>
        <w:tab/>
      </w:r>
      <w:r>
        <w:t>月份是该托管年度的开始结算月。</w:t>
      </w:r>
    </w:p>
    <w:p w14:paraId="7931A7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4.4.2</w:t>
      </w:r>
      <w:r>
        <w:t>能源托管量调整办法：详见附件。</w:t>
      </w:r>
    </w:p>
    <w:p w14:paraId="291F65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4.4.3</w:t>
      </w:r>
      <w:r>
        <w:t xml:space="preserve">托管调整时间：每季度调整一次或双方协商的时间、周期，对发生在调整日之前的调整量按照第 </w:t>
      </w:r>
      <w:r>
        <w:rPr>
          <w:rFonts w:hint="eastAsia"/>
        </w:rPr>
        <w:t xml:space="preserve">4.4.2 </w:t>
      </w:r>
      <w:r>
        <w:t>条调整办法采取多退少补一次性调整，发生在调整日之后的量按照调整后的基准量进行结算。</w:t>
      </w:r>
    </w:p>
    <w:p w14:paraId="7FFA54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4.4.4</w:t>
      </w:r>
      <w:r>
        <w:t>托管调整费用的支付：应在托管量调整确认后的</w:t>
      </w:r>
      <w:r>
        <w:rPr>
          <w:u w:val="single"/>
        </w:rPr>
        <w:t xml:space="preserve"> </w:t>
      </w:r>
      <w:r>
        <w:rPr>
          <w:rFonts w:hint="eastAsia"/>
          <w:u w:val="single"/>
          <w:lang w:val="en-US" w:eastAsia="zh-CN"/>
        </w:rPr>
        <w:t xml:space="preserve">  </w:t>
      </w:r>
      <w:r>
        <w:rPr>
          <w:rFonts w:hint="eastAsia"/>
          <w:u w:val="single"/>
        </w:rPr>
        <w:t xml:space="preserve"> </w:t>
      </w:r>
      <w:r>
        <w:t>日内完成托管调整费用的支付。在托管量调整双方确认期间，不得因托管调整量未确认而迟延支付原托管费。</w:t>
      </w:r>
    </w:p>
    <w:p w14:paraId="52F167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4.5</w:t>
      </w:r>
      <w:r>
        <w:t>托管费用计算办法：托管费用</w:t>
      </w:r>
      <w:r>
        <w:rPr>
          <w:rFonts w:hint="eastAsia"/>
        </w:rPr>
        <w:t xml:space="preserve">= </w:t>
      </w:r>
      <w:r>
        <w:t>托管量</w:t>
      </w:r>
      <w:r>
        <w:rPr>
          <w:rFonts w:hint="eastAsia"/>
        </w:rPr>
        <w:t xml:space="preserve">× </w:t>
      </w:r>
      <w:r>
        <w:t>能源结算价格</w:t>
      </w:r>
      <w:r>
        <w:rPr>
          <w:rFonts w:hint="eastAsia"/>
        </w:rPr>
        <w:t xml:space="preserve">+ </w:t>
      </w:r>
      <w:r>
        <w:t>调整费用，其中，</w:t>
      </w:r>
      <w:r>
        <w:rPr>
          <w:rFonts w:hint="eastAsia"/>
        </w:rPr>
        <w:t xml:space="preserve">□ </w:t>
      </w:r>
      <w:r>
        <w:t>结算电价以当期供电部门结算电价为准；</w:t>
      </w:r>
      <w:r>
        <w:rPr>
          <w:rFonts w:hint="eastAsia"/>
        </w:rPr>
        <w:t>□</w:t>
      </w:r>
      <w:r>
        <w:t>气价以当期燃气公司结算气价为准；</w:t>
      </w:r>
      <w:r>
        <w:rPr>
          <w:rFonts w:hint="eastAsia"/>
        </w:rPr>
        <w:t>□</w:t>
      </w:r>
      <w:r>
        <w:t>汽价以蒸汽销售公司结算汽价为准；</w:t>
      </w:r>
      <w:r>
        <w:rPr>
          <w:rFonts w:hint="eastAsia"/>
        </w:rPr>
        <w:t>□</w:t>
      </w:r>
      <w:r>
        <w:t>水价以供水公司结算水价为准；</w:t>
      </w:r>
      <w:r>
        <w:rPr>
          <w:rFonts w:hint="eastAsia"/>
        </w:rPr>
        <w:t>□</w:t>
      </w:r>
      <w:r>
        <w:t>如能源结算价格甲乙双方有另行约定的，以双方约定价格为准。</w:t>
      </w:r>
    </w:p>
    <w:p w14:paraId="2816A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年托管费用如下表：</w:t>
      </w:r>
    </w:p>
    <w:tbl>
      <w:tblPr>
        <w:tblStyle w:val="9"/>
        <w:tblW w:w="0" w:type="auto"/>
        <w:tblInd w:w="19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806"/>
        <w:gridCol w:w="2057"/>
        <w:gridCol w:w="2057"/>
        <w:gridCol w:w="1542"/>
        <w:gridCol w:w="1882"/>
      </w:tblGrid>
      <w:tr w14:paraId="46485243">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53" w:hRule="atLeast"/>
        </w:trPr>
        <w:tc>
          <w:tcPr>
            <w:tcW w:w="1806" w:type="dxa"/>
            <w:tcBorders>
              <w:right w:val="single" w:color="231F20" w:sz="4" w:space="0"/>
            </w:tcBorders>
          </w:tcPr>
          <w:p w14:paraId="277E9E87">
            <w:pPr>
              <w:bidi w:val="0"/>
            </w:pPr>
            <w:r>
              <w:t>用能月份</w:t>
            </w:r>
          </w:p>
        </w:tc>
        <w:tc>
          <w:tcPr>
            <w:tcW w:w="2057" w:type="dxa"/>
            <w:tcBorders>
              <w:left w:val="single" w:color="231F20" w:sz="4" w:space="0"/>
              <w:right w:val="single" w:color="231F20" w:sz="4" w:space="0"/>
            </w:tcBorders>
          </w:tcPr>
          <w:p w14:paraId="42C25503">
            <w:pPr>
              <w:bidi w:val="0"/>
            </w:pPr>
            <w:r>
              <w:t>结算月份</w:t>
            </w:r>
          </w:p>
        </w:tc>
        <w:tc>
          <w:tcPr>
            <w:tcW w:w="3599" w:type="dxa"/>
            <w:gridSpan w:val="2"/>
            <w:tcBorders>
              <w:left w:val="single" w:color="231F20" w:sz="4" w:space="0"/>
              <w:right w:val="single" w:color="231F20" w:sz="4" w:space="0"/>
            </w:tcBorders>
          </w:tcPr>
          <w:p w14:paraId="113C8DFA">
            <w:pPr>
              <w:bidi w:val="0"/>
            </w:pPr>
            <w:r>
              <w:t>托管量</w:t>
            </w:r>
          </w:p>
        </w:tc>
        <w:tc>
          <w:tcPr>
            <w:tcW w:w="1882" w:type="dxa"/>
            <w:tcBorders>
              <w:left w:val="single" w:color="231F20" w:sz="4" w:space="0"/>
            </w:tcBorders>
          </w:tcPr>
          <w:p w14:paraId="7DA42642">
            <w:pPr>
              <w:bidi w:val="0"/>
            </w:pPr>
            <w:r>
              <w:t>托管费用</w:t>
            </w:r>
          </w:p>
        </w:tc>
      </w:tr>
      <w:tr w14:paraId="4F5FE9FE">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5" w:hRule="atLeast"/>
        </w:trPr>
        <w:tc>
          <w:tcPr>
            <w:tcW w:w="1806" w:type="dxa"/>
            <w:vMerge w:val="restart"/>
            <w:tcBorders>
              <w:bottom w:val="single" w:color="231F20" w:sz="4" w:space="0"/>
              <w:right w:val="single" w:color="231F20" w:sz="4" w:space="0"/>
            </w:tcBorders>
          </w:tcPr>
          <w:p w14:paraId="2E154EB2">
            <w:pPr>
              <w:bidi w:val="0"/>
            </w:pPr>
          </w:p>
          <w:p w14:paraId="57513037">
            <w:pPr>
              <w:bidi w:val="0"/>
            </w:pPr>
            <w:r>
              <w:t>1—12</w:t>
            </w:r>
          </w:p>
        </w:tc>
        <w:tc>
          <w:tcPr>
            <w:tcW w:w="2057" w:type="dxa"/>
            <w:vMerge w:val="restart"/>
            <w:tcBorders>
              <w:left w:val="single" w:color="231F20" w:sz="4" w:space="0"/>
              <w:bottom w:val="single" w:color="231F20" w:sz="4" w:space="0"/>
              <w:right w:val="single" w:color="231F20" w:sz="4" w:space="0"/>
            </w:tcBorders>
          </w:tcPr>
          <w:p w14:paraId="711579EE">
            <w:pPr>
              <w:bidi w:val="0"/>
            </w:pPr>
          </w:p>
          <w:p w14:paraId="5EBF2C1C">
            <w:pPr>
              <w:bidi w:val="0"/>
              <w:rPr>
                <w:rFonts w:hint="eastAsia"/>
              </w:rPr>
            </w:pPr>
            <w:r>
              <w:rPr>
                <w:rFonts w:hint="eastAsia"/>
              </w:rPr>
              <w:t>11</w:t>
            </w:r>
            <w:r>
              <w:t xml:space="preserve">—次年 </w:t>
            </w:r>
            <w:r>
              <w:rPr>
                <w:rFonts w:hint="eastAsia"/>
              </w:rPr>
              <w:t>1</w:t>
            </w:r>
          </w:p>
        </w:tc>
        <w:tc>
          <w:tcPr>
            <w:tcW w:w="2057" w:type="dxa"/>
            <w:tcBorders>
              <w:left w:val="single" w:color="231F20" w:sz="4" w:space="0"/>
              <w:bottom w:val="single" w:color="231F20" w:sz="4" w:space="0"/>
              <w:right w:val="single" w:color="231F20" w:sz="4" w:space="0"/>
            </w:tcBorders>
          </w:tcPr>
          <w:p w14:paraId="25171AD5">
            <w:pPr>
              <w:bidi w:val="0"/>
            </w:pPr>
            <w:r>
              <w:t>电量（</w:t>
            </w:r>
            <w:r>
              <w:rPr>
                <w:rFonts w:hint="eastAsia"/>
              </w:rPr>
              <w:t>kWh</w:t>
            </w:r>
            <w:r>
              <w:t>）</w:t>
            </w:r>
          </w:p>
        </w:tc>
        <w:tc>
          <w:tcPr>
            <w:tcW w:w="1542" w:type="dxa"/>
            <w:tcBorders>
              <w:left w:val="single" w:color="231F20" w:sz="4" w:space="0"/>
              <w:bottom w:val="single" w:color="231F20" w:sz="4" w:space="0"/>
              <w:right w:val="single" w:color="231F20" w:sz="4" w:space="0"/>
            </w:tcBorders>
          </w:tcPr>
          <w:p w14:paraId="15C8CA94">
            <w:pPr>
              <w:bidi w:val="0"/>
            </w:pPr>
          </w:p>
        </w:tc>
        <w:tc>
          <w:tcPr>
            <w:tcW w:w="1882" w:type="dxa"/>
            <w:tcBorders>
              <w:left w:val="single" w:color="231F20" w:sz="4" w:space="0"/>
              <w:bottom w:val="single" w:color="231F20" w:sz="4" w:space="0"/>
            </w:tcBorders>
          </w:tcPr>
          <w:p w14:paraId="1660C6DB">
            <w:pPr>
              <w:bidi w:val="0"/>
            </w:pPr>
            <w:r>
              <w:t>元（大写：元）</w:t>
            </w:r>
          </w:p>
        </w:tc>
      </w:tr>
      <w:tr w14:paraId="4D5B0D35">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8" w:hRule="atLeast"/>
        </w:trPr>
        <w:tc>
          <w:tcPr>
            <w:tcW w:w="1806" w:type="dxa"/>
            <w:vMerge w:val="continue"/>
            <w:tcBorders>
              <w:top w:val="nil"/>
              <w:bottom w:val="single" w:color="231F20" w:sz="4" w:space="0"/>
              <w:right w:val="single" w:color="231F20" w:sz="4" w:space="0"/>
            </w:tcBorders>
          </w:tcPr>
          <w:p w14:paraId="099A54DE">
            <w:pPr>
              <w:bidi w:val="0"/>
            </w:pPr>
          </w:p>
        </w:tc>
        <w:tc>
          <w:tcPr>
            <w:tcW w:w="2057" w:type="dxa"/>
            <w:vMerge w:val="continue"/>
            <w:tcBorders>
              <w:top w:val="nil"/>
              <w:left w:val="single" w:color="231F20" w:sz="4" w:space="0"/>
              <w:bottom w:val="single" w:color="231F20" w:sz="4" w:space="0"/>
              <w:right w:val="single" w:color="231F20" w:sz="4" w:space="0"/>
            </w:tcBorders>
          </w:tcPr>
          <w:p w14:paraId="58162097">
            <w:pPr>
              <w:bidi w:val="0"/>
            </w:pPr>
          </w:p>
        </w:tc>
        <w:tc>
          <w:tcPr>
            <w:tcW w:w="2057" w:type="dxa"/>
            <w:tcBorders>
              <w:top w:val="single" w:color="231F20" w:sz="4" w:space="0"/>
              <w:left w:val="single" w:color="231F20" w:sz="4" w:space="0"/>
              <w:bottom w:val="single" w:color="231F20" w:sz="4" w:space="0"/>
              <w:right w:val="single" w:color="231F20" w:sz="4" w:space="0"/>
            </w:tcBorders>
          </w:tcPr>
          <w:p w14:paraId="05A2C7EC">
            <w:pPr>
              <w:bidi w:val="0"/>
            </w:pPr>
            <w:r>
              <w:t>气量（</w:t>
            </w:r>
            <w:r>
              <w:rPr>
                <w:rFonts w:hint="eastAsia"/>
              </w:rPr>
              <w:t>m³</w:t>
            </w:r>
            <w:r>
              <w:t>）</w:t>
            </w:r>
          </w:p>
        </w:tc>
        <w:tc>
          <w:tcPr>
            <w:tcW w:w="1542" w:type="dxa"/>
            <w:tcBorders>
              <w:top w:val="single" w:color="231F20" w:sz="4" w:space="0"/>
              <w:left w:val="single" w:color="231F20" w:sz="4" w:space="0"/>
              <w:bottom w:val="single" w:color="231F20" w:sz="4" w:space="0"/>
              <w:right w:val="single" w:color="231F20" w:sz="4" w:space="0"/>
            </w:tcBorders>
          </w:tcPr>
          <w:p w14:paraId="40323555">
            <w:pPr>
              <w:bidi w:val="0"/>
            </w:pPr>
          </w:p>
        </w:tc>
        <w:tc>
          <w:tcPr>
            <w:tcW w:w="1882" w:type="dxa"/>
            <w:tcBorders>
              <w:top w:val="single" w:color="231F20" w:sz="4" w:space="0"/>
              <w:left w:val="single" w:color="231F20" w:sz="4" w:space="0"/>
              <w:bottom w:val="single" w:color="231F20" w:sz="4" w:space="0"/>
            </w:tcBorders>
          </w:tcPr>
          <w:p w14:paraId="63AEE5C4">
            <w:pPr>
              <w:bidi w:val="0"/>
            </w:pPr>
            <w:r>
              <w:t>元（大写：元）</w:t>
            </w:r>
          </w:p>
        </w:tc>
      </w:tr>
      <w:tr w14:paraId="04B2E0D5">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8" w:hRule="atLeast"/>
        </w:trPr>
        <w:tc>
          <w:tcPr>
            <w:tcW w:w="1806" w:type="dxa"/>
            <w:vMerge w:val="continue"/>
            <w:tcBorders>
              <w:top w:val="nil"/>
              <w:bottom w:val="single" w:color="231F20" w:sz="4" w:space="0"/>
              <w:right w:val="single" w:color="231F20" w:sz="4" w:space="0"/>
            </w:tcBorders>
          </w:tcPr>
          <w:p w14:paraId="1933FB25">
            <w:pPr>
              <w:bidi w:val="0"/>
            </w:pPr>
          </w:p>
        </w:tc>
        <w:tc>
          <w:tcPr>
            <w:tcW w:w="2057" w:type="dxa"/>
            <w:vMerge w:val="continue"/>
            <w:tcBorders>
              <w:top w:val="nil"/>
              <w:left w:val="single" w:color="231F20" w:sz="4" w:space="0"/>
              <w:bottom w:val="single" w:color="231F20" w:sz="4" w:space="0"/>
              <w:right w:val="single" w:color="231F20" w:sz="4" w:space="0"/>
            </w:tcBorders>
          </w:tcPr>
          <w:p w14:paraId="5CB9812F">
            <w:pPr>
              <w:bidi w:val="0"/>
            </w:pPr>
          </w:p>
        </w:tc>
        <w:tc>
          <w:tcPr>
            <w:tcW w:w="2057" w:type="dxa"/>
            <w:tcBorders>
              <w:top w:val="single" w:color="231F20" w:sz="4" w:space="0"/>
              <w:left w:val="single" w:color="231F20" w:sz="4" w:space="0"/>
              <w:bottom w:val="single" w:color="231F20" w:sz="4" w:space="0"/>
              <w:right w:val="single" w:color="231F20" w:sz="4" w:space="0"/>
            </w:tcBorders>
          </w:tcPr>
          <w:p w14:paraId="2F642C18">
            <w:pPr>
              <w:bidi w:val="0"/>
            </w:pPr>
            <w:r>
              <w:t>……</w:t>
            </w:r>
          </w:p>
        </w:tc>
        <w:tc>
          <w:tcPr>
            <w:tcW w:w="1542" w:type="dxa"/>
            <w:tcBorders>
              <w:top w:val="single" w:color="231F20" w:sz="4" w:space="0"/>
              <w:left w:val="single" w:color="231F20" w:sz="4" w:space="0"/>
              <w:bottom w:val="single" w:color="231F20" w:sz="4" w:space="0"/>
              <w:right w:val="single" w:color="231F20" w:sz="4" w:space="0"/>
            </w:tcBorders>
          </w:tcPr>
          <w:p w14:paraId="110CD138">
            <w:pPr>
              <w:bidi w:val="0"/>
            </w:pPr>
          </w:p>
        </w:tc>
        <w:tc>
          <w:tcPr>
            <w:tcW w:w="1882" w:type="dxa"/>
            <w:tcBorders>
              <w:top w:val="single" w:color="231F20" w:sz="4" w:space="0"/>
              <w:left w:val="single" w:color="231F20" w:sz="4" w:space="0"/>
              <w:bottom w:val="single" w:color="231F20" w:sz="4" w:space="0"/>
            </w:tcBorders>
          </w:tcPr>
          <w:p w14:paraId="2FF80795">
            <w:pPr>
              <w:bidi w:val="0"/>
            </w:pPr>
            <w:r>
              <w:t>元（大写：元）</w:t>
            </w:r>
          </w:p>
        </w:tc>
      </w:tr>
      <w:tr w14:paraId="7B80586E">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8" w:hRule="atLeast"/>
        </w:trPr>
        <w:tc>
          <w:tcPr>
            <w:tcW w:w="1806" w:type="dxa"/>
            <w:tcBorders>
              <w:top w:val="single" w:color="231F20" w:sz="4" w:space="0"/>
              <w:bottom w:val="single" w:color="231F20" w:sz="4" w:space="0"/>
              <w:right w:val="single" w:color="231F20" w:sz="4" w:space="0"/>
            </w:tcBorders>
          </w:tcPr>
          <w:p w14:paraId="3BA4BD73">
            <w:pPr>
              <w:bidi w:val="0"/>
            </w:pPr>
            <w:r>
              <w:t>……</w:t>
            </w:r>
          </w:p>
        </w:tc>
        <w:tc>
          <w:tcPr>
            <w:tcW w:w="2057" w:type="dxa"/>
            <w:tcBorders>
              <w:top w:val="single" w:color="231F20" w:sz="4" w:space="0"/>
              <w:left w:val="single" w:color="231F20" w:sz="4" w:space="0"/>
              <w:bottom w:val="single" w:color="231F20" w:sz="4" w:space="0"/>
              <w:right w:val="single" w:color="231F20" w:sz="4" w:space="0"/>
            </w:tcBorders>
          </w:tcPr>
          <w:p w14:paraId="14E1C328">
            <w:pPr>
              <w:bidi w:val="0"/>
            </w:pPr>
            <w:r>
              <w:t>……</w:t>
            </w:r>
          </w:p>
        </w:tc>
        <w:tc>
          <w:tcPr>
            <w:tcW w:w="2057" w:type="dxa"/>
            <w:tcBorders>
              <w:top w:val="single" w:color="231F20" w:sz="4" w:space="0"/>
              <w:left w:val="single" w:color="231F20" w:sz="4" w:space="0"/>
              <w:bottom w:val="single" w:color="231F20" w:sz="4" w:space="0"/>
              <w:right w:val="single" w:color="231F20" w:sz="4" w:space="0"/>
            </w:tcBorders>
          </w:tcPr>
          <w:p w14:paraId="54BC8E06">
            <w:pPr>
              <w:bidi w:val="0"/>
            </w:pPr>
          </w:p>
        </w:tc>
        <w:tc>
          <w:tcPr>
            <w:tcW w:w="1542" w:type="dxa"/>
            <w:tcBorders>
              <w:top w:val="single" w:color="231F20" w:sz="4" w:space="0"/>
              <w:left w:val="single" w:color="231F20" w:sz="4" w:space="0"/>
              <w:bottom w:val="single" w:color="231F20" w:sz="4" w:space="0"/>
              <w:right w:val="single" w:color="231F20" w:sz="4" w:space="0"/>
            </w:tcBorders>
          </w:tcPr>
          <w:p w14:paraId="4FAD456D">
            <w:pPr>
              <w:bidi w:val="0"/>
            </w:pPr>
          </w:p>
        </w:tc>
        <w:tc>
          <w:tcPr>
            <w:tcW w:w="1882" w:type="dxa"/>
            <w:tcBorders>
              <w:top w:val="single" w:color="231F20" w:sz="4" w:space="0"/>
              <w:left w:val="single" w:color="231F20" w:sz="4" w:space="0"/>
              <w:bottom w:val="single" w:color="231F20" w:sz="4" w:space="0"/>
            </w:tcBorders>
          </w:tcPr>
          <w:p w14:paraId="04F8E654">
            <w:pPr>
              <w:bidi w:val="0"/>
            </w:pPr>
          </w:p>
        </w:tc>
      </w:tr>
      <w:tr w14:paraId="39B2B9B6">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5" w:hRule="atLeast"/>
        </w:trPr>
        <w:tc>
          <w:tcPr>
            <w:tcW w:w="3863" w:type="dxa"/>
            <w:gridSpan w:val="2"/>
            <w:tcBorders>
              <w:top w:val="single" w:color="231F20" w:sz="4" w:space="0"/>
              <w:right w:val="single" w:color="231F20" w:sz="4" w:space="0"/>
            </w:tcBorders>
          </w:tcPr>
          <w:p w14:paraId="37DFB93D">
            <w:pPr>
              <w:bidi w:val="0"/>
            </w:pPr>
            <w:r>
              <w:t>合  计</w:t>
            </w:r>
          </w:p>
        </w:tc>
        <w:tc>
          <w:tcPr>
            <w:tcW w:w="3599" w:type="dxa"/>
            <w:gridSpan w:val="2"/>
            <w:tcBorders>
              <w:top w:val="single" w:color="231F20" w:sz="4" w:space="0"/>
              <w:left w:val="single" w:color="231F20" w:sz="4" w:space="0"/>
              <w:right w:val="single" w:color="231F20" w:sz="4" w:space="0"/>
            </w:tcBorders>
          </w:tcPr>
          <w:p w14:paraId="51D0E068">
            <w:pPr>
              <w:bidi w:val="0"/>
            </w:pPr>
          </w:p>
        </w:tc>
        <w:tc>
          <w:tcPr>
            <w:tcW w:w="1882" w:type="dxa"/>
            <w:tcBorders>
              <w:top w:val="single" w:color="231F20" w:sz="4" w:space="0"/>
              <w:left w:val="single" w:color="231F20" w:sz="4" w:space="0"/>
            </w:tcBorders>
          </w:tcPr>
          <w:p w14:paraId="2C9660CD">
            <w:pPr>
              <w:bidi w:val="0"/>
            </w:pPr>
            <w:r>
              <w:t>元（大写：元）</w:t>
            </w:r>
          </w:p>
        </w:tc>
      </w:tr>
    </w:tbl>
    <w:p w14:paraId="6F1261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注：现阶段结算</w:t>
      </w:r>
      <w:r>
        <w:rPr>
          <w:rFonts w:hint="eastAsia"/>
        </w:rPr>
        <w:t>□</w:t>
      </w:r>
      <w:r>
        <w:t>电价为</w:t>
      </w:r>
      <w:r>
        <w:rPr>
          <w:u w:val="single"/>
        </w:rPr>
        <w:t xml:space="preserve"> </w:t>
      </w:r>
      <w:r>
        <w:rPr>
          <w:u w:val="single"/>
        </w:rPr>
        <w:tab/>
      </w:r>
      <w:r>
        <w:t>元</w:t>
      </w:r>
      <w:r>
        <w:rPr>
          <w:rFonts w:hint="eastAsia"/>
        </w:rPr>
        <w:t>/kWh</w:t>
      </w:r>
      <w:r>
        <w:t>、</w:t>
      </w:r>
      <w:r>
        <w:rPr>
          <w:rFonts w:hint="eastAsia"/>
        </w:rPr>
        <w:t>□</w:t>
      </w:r>
      <w:r>
        <w:t xml:space="preserve">气价为 </w:t>
      </w:r>
      <w:r>
        <w:rPr>
          <w:u w:val="single"/>
        </w:rPr>
        <w:tab/>
      </w:r>
      <w:r>
        <w:t>元</w:t>
      </w:r>
      <w:r>
        <w:rPr>
          <w:rFonts w:hint="eastAsia"/>
        </w:rPr>
        <w:t>/m³</w:t>
      </w:r>
      <w:r>
        <w:t>、</w:t>
      </w:r>
      <w:r>
        <w:rPr>
          <w:rFonts w:hint="eastAsia"/>
        </w:rPr>
        <w:t>□</w:t>
      </w:r>
      <w:r>
        <w:t>汽价为</w:t>
      </w:r>
      <w:r>
        <w:rPr>
          <w:u w:val="single"/>
        </w:rPr>
        <w:t xml:space="preserve"> </w:t>
      </w:r>
      <w:r>
        <w:rPr>
          <w:u w:val="single"/>
        </w:rPr>
        <w:tab/>
      </w:r>
      <w:r>
        <w:t>元</w:t>
      </w:r>
      <w:r>
        <w:rPr>
          <w:rFonts w:hint="eastAsia"/>
        </w:rPr>
        <w:t>/m³</w:t>
      </w:r>
      <w:r>
        <w:t>、</w:t>
      </w:r>
    </w:p>
    <w:p w14:paraId="3AF8CD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w:t>
      </w:r>
      <w:r>
        <w:t>水价为</w:t>
      </w:r>
      <w:r>
        <w:rPr>
          <w:u w:val="single"/>
        </w:rPr>
        <w:t xml:space="preserve"> </w:t>
      </w:r>
      <w:r>
        <w:rPr>
          <w:u w:val="single"/>
        </w:rPr>
        <w:tab/>
      </w:r>
      <w:r>
        <w:t>元</w:t>
      </w:r>
      <w:r>
        <w:rPr>
          <w:rFonts w:hint="eastAsia"/>
        </w:rPr>
        <w:t>/m³</w:t>
      </w:r>
      <w:r>
        <w:t>。</w:t>
      </w:r>
    </w:p>
    <w:p w14:paraId="5A8FDD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4.6</w:t>
      </w:r>
      <w:r>
        <w:t>甲方按月支付托管费用给乙方，乙方根据实际发生费用缴付至当地相应用能管理部门。</w:t>
      </w:r>
    </w:p>
    <w:p w14:paraId="38C5EE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4.7</w:t>
      </w:r>
      <w:r>
        <w:t>甲乙双方按照如下标准和方式进行节能改造项目的验收。</w:t>
      </w:r>
    </w:p>
    <w:p w14:paraId="56D695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4.7.1</w:t>
      </w:r>
      <w:r>
        <w:t xml:space="preserve">本项目应满足下述第 </w:t>
      </w:r>
      <w:r>
        <w:tab/>
      </w:r>
      <w:r>
        <w:t>项验收标准：</w:t>
      </w:r>
    </w:p>
    <w:p w14:paraId="308C1A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w:t>
      </w:r>
      <w:r>
        <w:t>符合国家和行业相关设计和施工验收规范、标准和要求。</w:t>
      </w:r>
    </w:p>
    <w:p w14:paraId="734512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2</w:t>
      </w:r>
      <w:r>
        <w:rPr>
          <w:rFonts w:hint="eastAsia"/>
          <w:lang w:eastAsia="zh-CN"/>
        </w:rPr>
        <w:t>）</w:t>
      </w:r>
      <w:r>
        <w:t>其他标准（如甲方具体要求）：</w:t>
      </w:r>
      <w:r>
        <w:tab/>
      </w:r>
      <w:r>
        <w:t>。</w:t>
      </w:r>
    </w:p>
    <w:p w14:paraId="508D8A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4.7.2</w:t>
      </w:r>
      <w:r>
        <w:t>验收模式：由甲乙双方共同进行，可采取甲方测试，乙方见证模式；或可采取乙方测试，甲方见证并确认的模式。</w:t>
      </w:r>
    </w:p>
    <w:p w14:paraId="1E6C63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4.7.3</w:t>
      </w:r>
      <w:r>
        <w:t>验收期限：自本项目改造完毕乙方提请验收之日起，甲方在  日内完成验收并提供验收合格报告给乙方。如因甲方原因未能在上述时间内提供验收报告的，视同验收合格。</w:t>
      </w:r>
    </w:p>
    <w:p w14:paraId="429930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4.7.4</w:t>
      </w:r>
      <w:r>
        <w:t xml:space="preserve">如验收结果达不到第 </w:t>
      </w:r>
      <w:r>
        <w:rPr>
          <w:rFonts w:hint="eastAsia"/>
        </w:rPr>
        <w:t xml:space="preserve">4.7.1 </w:t>
      </w:r>
      <w:r>
        <w:t xml:space="preserve">条规定的验收标准的，由双方共同进行重测，以重测结果为准。重测后仍达不到验收标准的，乙方应负责整改并再次提请验收。甲方收到验收申请后，按照第 </w:t>
      </w:r>
      <w:r>
        <w:rPr>
          <w:rFonts w:hint="eastAsia"/>
        </w:rPr>
        <w:t xml:space="preserve">4.7.1 </w:t>
      </w:r>
      <w:r>
        <w:t>条</w:t>
      </w:r>
      <w:r>
        <w:rPr>
          <w:rFonts w:hint="eastAsia"/>
        </w:rPr>
        <w:t>~</w:t>
      </w:r>
      <w:r>
        <w:t>第</w:t>
      </w:r>
    </w:p>
    <w:p w14:paraId="2D1709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 xml:space="preserve">4.7.3 </w:t>
      </w:r>
      <w:r>
        <w:t>条规定的标准、模式、期限再次组织验收。</w:t>
      </w:r>
    </w:p>
    <w:p w14:paraId="0DB69A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4.8</w:t>
      </w:r>
      <w:r>
        <w:rPr>
          <w:rFonts w:hint="eastAsia"/>
        </w:rPr>
        <w:tab/>
      </w:r>
      <w:r>
        <w:t>其他：</w:t>
      </w:r>
      <w:r>
        <w:rPr>
          <w:u w:val="single"/>
        </w:rPr>
        <w:tab/>
      </w:r>
      <w:r>
        <w:rPr>
          <w:rFonts w:hint="eastAsia"/>
          <w:u w:val="single"/>
          <w:lang w:val="en-US" w:eastAsia="zh-CN"/>
        </w:rPr>
        <w:t xml:space="preserve">    </w:t>
      </w:r>
      <w:r>
        <w:rPr>
          <w:rFonts w:hint="eastAsia"/>
          <w:lang w:val="en-US" w:eastAsia="zh-CN"/>
        </w:rPr>
        <w:t xml:space="preserve"> </w:t>
      </w:r>
      <w:r>
        <w:t>。</w:t>
      </w:r>
    </w:p>
    <w:p w14:paraId="4171BC6B">
      <w:pPr>
        <w:bidi w:val="0"/>
        <w:jc w:val="center"/>
        <w:rPr>
          <w:b/>
          <w:bCs/>
        </w:rPr>
      </w:pPr>
      <w:r>
        <w:rPr>
          <w:b/>
          <w:bCs/>
        </w:rPr>
        <w:t>第 5 节</w:t>
      </w:r>
      <w:r>
        <w:rPr>
          <w:b/>
          <w:bCs/>
        </w:rPr>
        <w:tab/>
      </w:r>
      <w:r>
        <w:rPr>
          <w:b/>
          <w:bCs/>
        </w:rPr>
        <w:t>费用支付</w:t>
      </w:r>
    </w:p>
    <w:p w14:paraId="758B094E">
      <w:pPr>
        <w:bidi w:val="0"/>
      </w:pPr>
    </w:p>
    <w:p w14:paraId="52D02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5.1</w:t>
      </w:r>
      <w:r>
        <w:t>每</w:t>
      </w:r>
      <w:r>
        <w:rPr>
          <w:rFonts w:hint="eastAsia"/>
          <w:u w:val="single"/>
          <w:lang w:val="en-US" w:eastAsia="zh-CN"/>
        </w:rPr>
        <w:t xml:space="preserve">    </w:t>
      </w:r>
      <w:r>
        <w:t>年</w:t>
      </w:r>
      <w:r>
        <w:rPr>
          <w:u w:val="single"/>
        </w:rPr>
        <w:t xml:space="preserve"> </w:t>
      </w:r>
      <w:r>
        <w:rPr>
          <w:u w:val="single"/>
        </w:rPr>
        <w:tab/>
      </w:r>
      <w:r>
        <w:rPr>
          <w:rFonts w:hint="eastAsia"/>
          <w:u w:val="single"/>
          <w:lang w:val="en-US" w:eastAsia="zh-CN"/>
        </w:rPr>
        <w:t xml:space="preserve">  </w:t>
      </w:r>
      <w:r>
        <w:t>月</w:t>
      </w:r>
      <w:r>
        <w:rPr>
          <w:u w:val="single"/>
        </w:rPr>
        <w:t xml:space="preserve"> </w:t>
      </w:r>
      <w:r>
        <w:rPr>
          <w:u w:val="single"/>
        </w:rPr>
        <w:tab/>
      </w:r>
      <w:r>
        <w:t>日至次年</w:t>
      </w:r>
      <w:r>
        <w:rPr>
          <w:u w:val="single"/>
        </w:rPr>
        <w:t xml:space="preserve"> </w:t>
      </w:r>
      <w:r>
        <w:rPr>
          <w:u w:val="single"/>
        </w:rPr>
        <w:tab/>
      </w:r>
      <w:r>
        <w:t>月</w:t>
      </w:r>
      <w:r>
        <w:rPr>
          <w:u w:val="single"/>
        </w:rPr>
        <w:t xml:space="preserve"> </w:t>
      </w:r>
      <w:r>
        <w:rPr>
          <w:rFonts w:hint="eastAsia"/>
          <w:u w:val="single"/>
          <w:lang w:val="en-US" w:eastAsia="zh-CN"/>
        </w:rPr>
        <w:t xml:space="preserve">   </w:t>
      </w:r>
      <w:r>
        <w:t>日为一个能源托管费交费年度，甲方按月交费。</w:t>
      </w:r>
    </w:p>
    <w:p w14:paraId="09B9FE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5.2</w:t>
      </w:r>
      <w:r>
        <w:t>乙方应于每月</w:t>
      </w:r>
      <w:r>
        <w:rPr>
          <w:u w:val="single"/>
        </w:rPr>
        <w:t xml:space="preserve"> </w:t>
      </w:r>
      <w:r>
        <w:rPr>
          <w:rFonts w:hint="eastAsia"/>
          <w:u w:val="single"/>
          <w:lang w:val="en-US" w:eastAsia="zh-CN"/>
        </w:rPr>
        <w:t xml:space="preserve">  </w:t>
      </w:r>
      <w:r>
        <w:t>日前向甲方开具合法发票（如采用实际电价结算的，在实际结算电价出具后  日内向甲方开具</w:t>
      </w:r>
      <w:r>
        <w:rPr>
          <w:u w:val="single"/>
        </w:rPr>
        <w:t xml:space="preserve">   </w:t>
      </w:r>
      <w:r>
        <w:rPr>
          <w:rFonts w:hint="eastAsia"/>
        </w:rPr>
        <w:t>%</w:t>
      </w:r>
      <w:r>
        <w:t>的 类增值税专用发票）。自发票送达甲方后</w:t>
      </w:r>
      <w:r>
        <w:rPr>
          <w:rFonts w:hint="eastAsia"/>
          <w:u w:val="single"/>
          <w:lang w:val="en-US" w:eastAsia="zh-CN"/>
        </w:rPr>
        <w:t xml:space="preserve">    </w:t>
      </w:r>
      <w:r>
        <w:t>日内，甲方向乙方支付该月能源托管费。</w:t>
      </w:r>
    </w:p>
    <w:p w14:paraId="60B10A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5.3</w:t>
      </w:r>
      <w:r>
        <w:t>甲方采取以下第</w:t>
      </w:r>
      <w:r>
        <w:rPr>
          <w:u w:val="single"/>
        </w:rPr>
        <w:t xml:space="preserve"> </w:t>
      </w:r>
      <w:r>
        <w:rPr>
          <w:u w:val="single"/>
        </w:rPr>
        <w:tab/>
      </w:r>
      <w:r>
        <w:rPr>
          <w:rFonts w:hint="eastAsia"/>
          <w:u w:val="single"/>
          <w:lang w:val="en-US" w:eastAsia="zh-CN"/>
        </w:rPr>
        <w:t xml:space="preserve">   </w:t>
      </w:r>
      <w:r>
        <w:t>种方式支付能源托管费至乙方指定银行账户。</w:t>
      </w:r>
    </w:p>
    <w:p w14:paraId="4AC8BC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w:t>
      </w:r>
      <w:r>
        <w:t>银行自动划扣方式；</w:t>
      </w:r>
    </w:p>
    <w:p w14:paraId="06A30B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(2)</w:t>
      </w:r>
      <w:r>
        <w:t>电汇。</w:t>
      </w:r>
    </w:p>
    <w:p w14:paraId="367FEB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5.4</w:t>
      </w:r>
      <w:r>
        <w:t>乙方收到能源托管费后，应在相应用能管理部门规定的缴费时间缴付</w:t>
      </w:r>
      <w:r>
        <w:rPr>
          <w:rFonts w:hint="eastAsia"/>
        </w:rPr>
        <w:t>□</w:t>
      </w:r>
      <w:r>
        <w:t>电费、</w:t>
      </w:r>
      <w:r>
        <w:rPr>
          <w:rFonts w:hint="eastAsia"/>
        </w:rPr>
        <w:t>□</w:t>
      </w:r>
      <w:r>
        <w:t>气费、</w:t>
      </w:r>
      <w:r>
        <w:rPr>
          <w:rFonts w:hint="eastAsia"/>
        </w:rPr>
        <w:t>□</w:t>
      </w:r>
      <w:r>
        <w:t>汽费、</w:t>
      </w:r>
      <w:r>
        <w:rPr>
          <w:rFonts w:hint="eastAsia"/>
          <w:lang w:eastAsia="zh-CN"/>
        </w:rPr>
        <w:t>□</w:t>
      </w:r>
      <w:r>
        <w:t>水费，甲方缴费信息如下：</w:t>
      </w:r>
    </w:p>
    <w:tbl>
      <w:tblPr>
        <w:tblStyle w:val="9"/>
        <w:tblW w:w="0" w:type="auto"/>
        <w:tblInd w:w="473"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903"/>
        <w:gridCol w:w="3720"/>
        <w:gridCol w:w="3720"/>
      </w:tblGrid>
      <w:tr w14:paraId="5690B55F">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3" w:hRule="atLeast"/>
        </w:trPr>
        <w:tc>
          <w:tcPr>
            <w:tcW w:w="1903" w:type="dxa"/>
            <w:tcBorders>
              <w:right w:val="single" w:color="231F20" w:sz="4" w:space="0"/>
            </w:tcBorders>
          </w:tcPr>
          <w:p w14:paraId="7F005F92">
            <w:pPr>
              <w:bidi w:val="0"/>
              <w:jc w:val="center"/>
            </w:pPr>
            <w:r>
              <w:t>序号</w:t>
            </w:r>
          </w:p>
        </w:tc>
        <w:tc>
          <w:tcPr>
            <w:tcW w:w="3720" w:type="dxa"/>
            <w:tcBorders>
              <w:left w:val="single" w:color="231F20" w:sz="4" w:space="0"/>
              <w:right w:val="single" w:color="231F20" w:sz="4" w:space="0"/>
            </w:tcBorders>
          </w:tcPr>
          <w:p w14:paraId="00894FCD">
            <w:pPr>
              <w:bidi w:val="0"/>
              <w:jc w:val="center"/>
            </w:pPr>
            <w:r>
              <w:t>户名</w:t>
            </w:r>
          </w:p>
        </w:tc>
        <w:tc>
          <w:tcPr>
            <w:tcW w:w="3720" w:type="dxa"/>
            <w:tcBorders>
              <w:left w:val="single" w:color="231F20" w:sz="4" w:space="0"/>
            </w:tcBorders>
          </w:tcPr>
          <w:p w14:paraId="2C2B2DDF">
            <w:pPr>
              <w:bidi w:val="0"/>
              <w:jc w:val="center"/>
            </w:pPr>
            <w:r>
              <w:t>户号</w:t>
            </w:r>
          </w:p>
        </w:tc>
      </w:tr>
      <w:tr w14:paraId="46C58B11">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5" w:hRule="atLeast"/>
        </w:trPr>
        <w:tc>
          <w:tcPr>
            <w:tcW w:w="1903" w:type="dxa"/>
            <w:tcBorders>
              <w:bottom w:val="single" w:color="231F20" w:sz="4" w:space="0"/>
              <w:right w:val="single" w:color="231F20" w:sz="4" w:space="0"/>
            </w:tcBorders>
          </w:tcPr>
          <w:p w14:paraId="4673F3A2">
            <w:pPr>
              <w:bidi w:val="0"/>
              <w:jc w:val="center"/>
            </w:pPr>
            <w:r>
              <w:t>1</w:t>
            </w:r>
          </w:p>
        </w:tc>
        <w:tc>
          <w:tcPr>
            <w:tcW w:w="3720" w:type="dxa"/>
            <w:tcBorders>
              <w:left w:val="single" w:color="231F20" w:sz="4" w:space="0"/>
              <w:bottom w:val="single" w:color="231F20" w:sz="4" w:space="0"/>
              <w:right w:val="single" w:color="231F20" w:sz="4" w:space="0"/>
            </w:tcBorders>
          </w:tcPr>
          <w:p w14:paraId="7C34CA8F">
            <w:pPr>
              <w:bidi w:val="0"/>
              <w:jc w:val="center"/>
            </w:pPr>
          </w:p>
        </w:tc>
        <w:tc>
          <w:tcPr>
            <w:tcW w:w="3720" w:type="dxa"/>
            <w:tcBorders>
              <w:left w:val="single" w:color="231F20" w:sz="4" w:space="0"/>
              <w:bottom w:val="single" w:color="231F20" w:sz="4" w:space="0"/>
            </w:tcBorders>
          </w:tcPr>
          <w:p w14:paraId="1EACE29C">
            <w:pPr>
              <w:bidi w:val="0"/>
              <w:jc w:val="center"/>
            </w:pPr>
          </w:p>
        </w:tc>
      </w:tr>
      <w:tr w14:paraId="16343C17">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5" w:hRule="atLeast"/>
        </w:trPr>
        <w:tc>
          <w:tcPr>
            <w:tcW w:w="1903" w:type="dxa"/>
            <w:tcBorders>
              <w:top w:val="single" w:color="231F20" w:sz="4" w:space="0"/>
              <w:right w:val="single" w:color="231F20" w:sz="4" w:space="0"/>
            </w:tcBorders>
          </w:tcPr>
          <w:p w14:paraId="1D9215FD">
            <w:pPr>
              <w:bidi w:val="0"/>
              <w:jc w:val="center"/>
            </w:pPr>
            <w:r>
              <w:t>2</w:t>
            </w:r>
          </w:p>
        </w:tc>
        <w:tc>
          <w:tcPr>
            <w:tcW w:w="3720" w:type="dxa"/>
            <w:tcBorders>
              <w:top w:val="single" w:color="231F20" w:sz="4" w:space="0"/>
              <w:left w:val="single" w:color="231F20" w:sz="4" w:space="0"/>
              <w:right w:val="single" w:color="231F20" w:sz="4" w:space="0"/>
            </w:tcBorders>
          </w:tcPr>
          <w:p w14:paraId="4453B65E">
            <w:pPr>
              <w:bidi w:val="0"/>
              <w:jc w:val="center"/>
            </w:pPr>
          </w:p>
        </w:tc>
        <w:tc>
          <w:tcPr>
            <w:tcW w:w="3720" w:type="dxa"/>
            <w:tcBorders>
              <w:top w:val="single" w:color="231F20" w:sz="4" w:space="0"/>
              <w:left w:val="single" w:color="231F20" w:sz="4" w:space="0"/>
            </w:tcBorders>
          </w:tcPr>
          <w:p w14:paraId="12B95B52">
            <w:pPr>
              <w:bidi w:val="0"/>
              <w:jc w:val="center"/>
            </w:pPr>
          </w:p>
        </w:tc>
      </w:tr>
    </w:tbl>
    <w:p w14:paraId="125820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5.5</w:t>
      </w:r>
      <w:r>
        <w:t>自乙方提供运维服务或自</w:t>
      </w:r>
      <w:r>
        <w:rPr>
          <w:rFonts w:hint="eastAsia"/>
          <w:u w:val="single"/>
          <w:lang w:val="en-US" w:eastAsia="zh-CN"/>
        </w:rPr>
        <w:t xml:space="preserve">  </w:t>
      </w:r>
      <w:r>
        <w:rPr>
          <w:u w:val="single"/>
        </w:rPr>
        <w:t xml:space="preserve"> </w:t>
      </w:r>
      <w:r>
        <w:rPr>
          <w:rFonts w:hint="eastAsia"/>
          <w:u w:val="single"/>
          <w:lang w:val="en-US" w:eastAsia="zh-CN"/>
        </w:rPr>
        <w:t xml:space="preserve">  </w:t>
      </w:r>
      <w:r>
        <w:t>年</w:t>
      </w:r>
      <w:r>
        <w:rPr>
          <w:rFonts w:hint="eastAsia"/>
          <w:u w:val="single"/>
          <w:lang w:val="en-US" w:eastAsia="zh-CN"/>
        </w:rPr>
        <w:t xml:space="preserve">  </w:t>
      </w:r>
      <w:r>
        <w:rPr>
          <w:u w:val="single"/>
        </w:rPr>
        <w:t xml:space="preserve"> </w:t>
      </w:r>
      <w:r>
        <w:t>月</w:t>
      </w:r>
      <w:r>
        <w:rPr>
          <w:rFonts w:hint="eastAsia"/>
          <w:u w:val="single"/>
          <w:lang w:val="en-US" w:eastAsia="zh-CN"/>
        </w:rPr>
        <w:t xml:space="preserve">  </w:t>
      </w:r>
      <w:r>
        <w:rPr>
          <w:u w:val="single"/>
        </w:rPr>
        <w:t xml:space="preserve"> </w:t>
      </w:r>
      <w:r>
        <w:t>日（以先到者为准）的当月起，甲方应向乙方支付运维费，每月支付一次，支付期限</w:t>
      </w:r>
      <w:r>
        <w:rPr>
          <w:u w:val="single"/>
        </w:rPr>
        <w:t xml:space="preserve">         </w:t>
      </w:r>
      <w:r>
        <w:t xml:space="preserve">年，共 </w:t>
      </w:r>
      <w:r>
        <w:rPr>
          <w:u w:val="single"/>
        </w:rPr>
        <w:t xml:space="preserve">        </w:t>
      </w:r>
      <w:r>
        <w:t>期，每期</w:t>
      </w:r>
      <w:r>
        <w:rPr>
          <w:u w:val="single"/>
        </w:rPr>
        <w:t xml:space="preserve">         </w:t>
      </w:r>
      <w:r>
        <w:t>万元（含税）（大写：</w:t>
      </w:r>
      <w:r>
        <w:rPr>
          <w:u w:val="single"/>
        </w:rPr>
        <w:t xml:space="preserve">   </w:t>
      </w:r>
      <w:r>
        <w:t>元整）。乙方需向甲方开具</w:t>
      </w:r>
      <w:r>
        <w:rPr>
          <w:u w:val="single"/>
        </w:rPr>
        <w:t xml:space="preserve"> </w:t>
      </w:r>
      <w:r>
        <w:rPr>
          <w:rFonts w:hint="eastAsia"/>
          <w:u w:val="single"/>
          <w:lang w:val="en-US" w:eastAsia="zh-CN"/>
        </w:rPr>
        <w:t xml:space="preserve">   </w:t>
      </w:r>
      <w:r>
        <w:rPr>
          <w:rFonts w:hint="eastAsia"/>
        </w:rPr>
        <w:t>%</w:t>
      </w:r>
      <w:r>
        <w:t>的类增值税专用发票。</w:t>
      </w:r>
    </w:p>
    <w:p w14:paraId="778EE4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5.6</w:t>
      </w:r>
      <w:r>
        <w:t>其他：</w:t>
      </w:r>
      <w:r>
        <w:rPr>
          <w:u w:val="single"/>
        </w:rPr>
        <w:tab/>
      </w:r>
      <w:r>
        <w:rPr>
          <w:rFonts w:hint="eastAsia"/>
          <w:u w:val="single"/>
          <w:lang w:val="en-US" w:eastAsia="zh-CN"/>
        </w:rPr>
        <w:t xml:space="preserve">     </w:t>
      </w:r>
      <w:r>
        <w:rPr>
          <w:rFonts w:hint="eastAsia"/>
          <w:lang w:val="en-US" w:eastAsia="zh-CN"/>
        </w:rPr>
        <w:t xml:space="preserve"> </w:t>
      </w:r>
      <w:r>
        <w:t>。</w:t>
      </w:r>
    </w:p>
    <w:p w14:paraId="4A4AC254">
      <w:pPr>
        <w:bidi w:val="0"/>
      </w:pPr>
    </w:p>
    <w:p w14:paraId="48D9782C">
      <w:pPr>
        <w:bidi w:val="0"/>
        <w:jc w:val="center"/>
        <w:rPr>
          <w:b/>
          <w:bCs/>
        </w:rPr>
      </w:pPr>
      <w:r>
        <w:rPr>
          <w:b/>
          <w:bCs/>
        </w:rPr>
        <w:t>第 6 节</w:t>
      </w:r>
      <w:r>
        <w:rPr>
          <w:b/>
          <w:bCs/>
        </w:rPr>
        <w:tab/>
      </w:r>
      <w:r>
        <w:rPr>
          <w:b/>
          <w:bCs/>
        </w:rPr>
        <w:t>甲方的权利与义务</w:t>
      </w:r>
    </w:p>
    <w:p w14:paraId="54FAED13">
      <w:pPr>
        <w:bidi w:val="0"/>
      </w:pPr>
    </w:p>
    <w:p w14:paraId="77FF83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6.1</w:t>
      </w:r>
      <w:r>
        <w:t>根据相关法律法规，或基于任何有权的第三方要求，本项目的实施必须由甲方向相应的政府机  构或者其他第三方申请许可、同意或批准时，甲方应当根据乙方的请求，及时申请相关许可、同意或批准， 并在本合同期间保持其有效性。甲方也应当根据乙方的合理要求，协助其获得其他实施本项目所必需的许可、同意或批准。</w:t>
      </w:r>
    </w:p>
    <w:p w14:paraId="00D417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6.2</w:t>
      </w:r>
      <w:r>
        <w:t>甲方应在合同生效之日起</w:t>
      </w:r>
      <w:r>
        <w:rPr>
          <w:u w:val="single"/>
        </w:rPr>
        <w:t xml:space="preserve"> </w:t>
      </w:r>
      <w:r>
        <w:rPr>
          <w:u w:val="single"/>
        </w:rPr>
        <w:tab/>
      </w:r>
      <w:r>
        <w:t>日内，向乙方提供能源托管所必需的资料和数据，包括物业及物业设备管理档案、资料等（含工程建设竣工资料），并确保其真实、准确、完整。</w:t>
      </w:r>
    </w:p>
    <w:p w14:paraId="757E84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6.3</w:t>
      </w:r>
      <w:r>
        <w:t>甲方应向乙方无偿提供托管所需管理用房，用于乙方日常能源管理工作。</w:t>
      </w:r>
    </w:p>
    <w:p w14:paraId="5ABB30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6.4</w:t>
      </w:r>
      <w:r>
        <w:t>甲方应将与项目有关的其内部规章制度和特殊安全要求于项目开工前告知乙方、乙方的工作 人员或其聘请的第三方，并根据需要提供防护用品。</w:t>
      </w:r>
    </w:p>
    <w:p w14:paraId="2B6C89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6.5</w:t>
      </w:r>
      <w:r>
        <w:t>甲方应在合同规定时间内组织完成节能改造项目验收，并向乙方提供验收合格报告。</w:t>
      </w:r>
    </w:p>
    <w:p w14:paraId="5B152A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6.6</w:t>
      </w:r>
      <w:r>
        <w:t>甲方应协调物业管理单位配合乙方执行节能运行策略或节能管理办法，并按照节能管理体系 对物业管理单位进行节能评价。如物业管理单位未能执行，造成能源资源浪费的，甲方应要求其及时改正。</w:t>
      </w:r>
    </w:p>
    <w:p w14:paraId="68B65A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6.7</w:t>
      </w:r>
      <w:r>
        <w:t>甲方应按照本合同的规定，及时向乙方付款，由于甲方原因造成乙方延迟缴付各类费用而引起 的经济损失由甲方承担。</w:t>
      </w:r>
    </w:p>
    <w:p w14:paraId="449DF2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6.8</w:t>
      </w:r>
      <w:r>
        <w:t>甲方负责合同约定改造范围以外的机电设备、设施大中修及更新改造费用。</w:t>
      </w:r>
    </w:p>
    <w:p w14:paraId="6A368D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6.9</w:t>
      </w:r>
      <w:r>
        <w:t>甲方负责处理在照明系统改造中更换下来属甲方产权的原灯具。</w:t>
      </w:r>
    </w:p>
    <w:p w14:paraId="209512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6.10</w:t>
      </w:r>
      <w:r>
        <w:t>甲方对乙方的管理实施监督检查。</w:t>
      </w:r>
    </w:p>
    <w:p w14:paraId="7B19F9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6.11</w:t>
      </w:r>
      <w:r>
        <w:t>甲方对违反能源托管方案和规章制度的行为进行处理：包括责令停止违章行为、要求赔偿经 济损失及支付违约金、对拒不改正违章行为的责任人采取惩罚措施。</w:t>
      </w:r>
    </w:p>
    <w:p w14:paraId="335196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6.12</w:t>
      </w:r>
      <w:r>
        <w:t>甲方不得干涉乙方依法或依本合同规定内容所进行的管理活动。</w:t>
      </w:r>
    </w:p>
    <w:p w14:paraId="31F0A6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6.13</w:t>
      </w:r>
      <w:r>
        <w:t>甲方负责处理非乙方原因而产生的各种纠纷。</w:t>
      </w:r>
    </w:p>
    <w:p w14:paraId="761F6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6.14</w:t>
      </w:r>
      <w:r>
        <w:t>甲方应协助乙方向有关政府机构或者组织申请与项目相关的补助、奖励或其他可适用的优惠政策。</w:t>
      </w:r>
    </w:p>
    <w:p w14:paraId="1A2156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6.15</w:t>
      </w:r>
      <w:r>
        <w:t>甲方应在乙方提交改造方案和节能运维方案（含运行策略）后的</w:t>
      </w:r>
      <w:r>
        <w:rPr>
          <w:u w:val="single"/>
        </w:rPr>
        <w:t xml:space="preserve"> </w:t>
      </w:r>
      <w:r>
        <w:rPr>
          <w:u w:val="single"/>
        </w:rPr>
        <w:tab/>
      </w:r>
      <w:r>
        <w:t>个工作日内进行审核确认， 并在合同签订</w:t>
      </w:r>
      <w:r>
        <w:rPr>
          <w:u w:val="single"/>
        </w:rPr>
        <w:t xml:space="preserve">   </w:t>
      </w:r>
      <w:r>
        <w:t>个月内成立包括甲方、物业、维保、乙方等单位在内的节能工作联合小组。甲方有义务督促物业和维保等单位落实乙方制定的节能运维方案（含运行策略），并及时将节能运维方案（含运行策略） 列入甲方采购物业和维保单位的服务内容。</w:t>
      </w:r>
    </w:p>
    <w:p w14:paraId="15FE10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6.16</w:t>
      </w:r>
      <w:r>
        <w:t>甲方应协助乙方做好能源托管工作和节能宣传、教育活动。</w:t>
      </w:r>
    </w:p>
    <w:p w14:paraId="1697E7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6.17</w:t>
      </w:r>
      <w:r>
        <w:t>甲方应协助乙方做好新增设备的统计、确认及托管量的调整工作。</w:t>
      </w:r>
    </w:p>
    <w:p w14:paraId="74FC7E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6.18</w:t>
      </w:r>
      <w:r>
        <w:t>甲方应在本合同签署后</w:t>
      </w:r>
      <w:r>
        <w:rPr>
          <w:u w:val="single"/>
        </w:rPr>
        <w:t xml:space="preserve"> </w:t>
      </w:r>
      <w:r>
        <w:rPr>
          <w:u w:val="single"/>
        </w:rPr>
        <w:tab/>
      </w:r>
      <w:r>
        <w:t>日内配合乙方完成相关计量表的托管。</w:t>
      </w:r>
    </w:p>
    <w:p w14:paraId="685F2D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6.19</w:t>
      </w:r>
      <w:r>
        <w:t>甲方如欲转让或出租托管界面内建筑的，应提前三个月以书面形式通知乙方。同时，甲方保证使受让方</w:t>
      </w:r>
      <w:r>
        <w:rPr>
          <w:rFonts w:hint="eastAsia"/>
        </w:rPr>
        <w:t>/</w:t>
      </w:r>
      <w:r>
        <w:t>承租方充分了解甲乙双方在本合同下的权利和义务以及项目设备设施产权的归属，并以受 让方</w:t>
      </w:r>
      <w:r>
        <w:rPr>
          <w:rFonts w:hint="eastAsia"/>
        </w:rPr>
        <w:t>/</w:t>
      </w:r>
      <w:r>
        <w:t>承租方书面同意承担在本合同项下甲方的一切义务为转让</w:t>
      </w:r>
      <w:r>
        <w:rPr>
          <w:rFonts w:hint="eastAsia"/>
        </w:rPr>
        <w:t>/</w:t>
      </w:r>
      <w:r>
        <w:t>出租生效之前提。如果受让方</w:t>
      </w:r>
      <w:r>
        <w:rPr>
          <w:rFonts w:hint="eastAsia"/>
        </w:rPr>
        <w:t>/</w:t>
      </w:r>
      <w:r>
        <w:t xml:space="preserve">承租方 不出具书面同意承担在本合同项下甲方的一切义务的，乙方有权单方面决定提前终止本合同，甲方应根 据本合同第 </w:t>
      </w:r>
      <w:r>
        <w:rPr>
          <w:rFonts w:hint="eastAsia"/>
        </w:rPr>
        <w:t xml:space="preserve">11.5 </w:t>
      </w:r>
      <w:r>
        <w:t>条的约定赔偿乙方因此遭受的全部损失。</w:t>
      </w:r>
    </w:p>
    <w:p w14:paraId="75714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6.20</w:t>
      </w:r>
      <w:r>
        <w:t>其他：</w:t>
      </w:r>
      <w:r>
        <w:rPr>
          <w:u w:val="single"/>
        </w:rPr>
        <w:tab/>
      </w:r>
      <w:r>
        <w:rPr>
          <w:rFonts w:hint="eastAsia"/>
          <w:u w:val="single"/>
          <w:lang w:val="en-US" w:eastAsia="zh-CN"/>
        </w:rPr>
        <w:t xml:space="preserve">                  </w:t>
      </w:r>
      <w:r>
        <w:t>。</w:t>
      </w:r>
    </w:p>
    <w:p w14:paraId="512335C2">
      <w:pPr>
        <w:bidi w:val="0"/>
      </w:pPr>
    </w:p>
    <w:p w14:paraId="270DF13A">
      <w:pPr>
        <w:bidi w:val="0"/>
        <w:jc w:val="center"/>
        <w:rPr>
          <w:b/>
          <w:bCs/>
        </w:rPr>
      </w:pPr>
      <w:r>
        <w:rPr>
          <w:b/>
          <w:bCs/>
        </w:rPr>
        <w:t>第 7 节</w:t>
      </w:r>
      <w:r>
        <w:rPr>
          <w:b/>
          <w:bCs/>
        </w:rPr>
        <w:tab/>
      </w:r>
      <w:r>
        <w:rPr>
          <w:b/>
          <w:bCs/>
        </w:rPr>
        <w:t>乙方的权利与义务</w:t>
      </w:r>
    </w:p>
    <w:p w14:paraId="784336D2">
      <w:pPr>
        <w:bidi w:val="0"/>
      </w:pPr>
    </w:p>
    <w:p w14:paraId="4B261E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7.1</w:t>
      </w:r>
      <w:r>
        <w:t>乙方应制定能源托管方案和相应的规章制度。乙方根据能源托管方案和规章制度提供管理服 务时，甲方应给予充分而必要的配合。</w:t>
      </w:r>
    </w:p>
    <w:p w14:paraId="37606B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7.2</w:t>
      </w:r>
      <w:r>
        <w:t>乙方应按照本合同及能源托管方案规定的标准和要求，自行或者通过第三方按时完成本项目 的设计、建设及运营督导管理。</w:t>
      </w:r>
    </w:p>
    <w:p w14:paraId="6D2F39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7.3</w:t>
      </w:r>
      <w:r>
        <w:t>乙方应安排专业人员培训、督导物业管理人员执行机电系统节能运行策略及节能管理制度。</w:t>
      </w:r>
    </w:p>
    <w:p w14:paraId="02E75B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7.4</w:t>
      </w:r>
      <w:r>
        <w:t>乙方应根据相应的法律法规要求，申请除必须由甲方申请之外的有关项目的许可、批准和同 意，甲方应为乙方申请前述许可、批准、同意提供必要的协助和配合。</w:t>
      </w:r>
    </w:p>
    <w:p w14:paraId="0B8449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7.5</w:t>
      </w:r>
      <w:r>
        <w:t>乙方保证从事本能源费用托管项目的人员具备相应的职业资格和应有的素质。如需调整管理 人员及技术骨干应事先通报甲方，对甲方提出认为不适合的人员，乙方应作出相应调整。</w:t>
      </w:r>
    </w:p>
    <w:p w14:paraId="20961F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7.6</w:t>
      </w:r>
      <w:r>
        <w:t>乙方应建立项目相关的能源管理档案并负责及时记载有关变更情况。</w:t>
      </w:r>
    </w:p>
    <w:p w14:paraId="06341E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7.7</w:t>
      </w:r>
      <w:r>
        <w:t>乙方应及时向甲方通告有关能源管理的重大事项，及时处理使用人员的投诉，接受甲方的监督。</w:t>
      </w:r>
    </w:p>
    <w:p w14:paraId="25826F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7.8</w:t>
      </w:r>
      <w:r>
        <w:t>乙方可采取规劝等必要措施，制止用能单位（或个人）违反能源托管规章制度的行为。</w:t>
      </w:r>
    </w:p>
    <w:p w14:paraId="129D1C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7.9</w:t>
      </w:r>
      <w:r>
        <w:t>乙方对在托管期内乙方改造的</w:t>
      </w:r>
      <w:r>
        <w:rPr>
          <w:rFonts w:hint="eastAsia"/>
        </w:rPr>
        <w:t xml:space="preserve">LED </w:t>
      </w:r>
      <w:r>
        <w:t>灯实行全面质量保证，托管期内灯具的维护更换由甲方负责，乙方以旧换新方式提供灯具。</w:t>
      </w:r>
    </w:p>
    <w:p w14:paraId="264805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7.10</w:t>
      </w:r>
      <w:r>
        <w:t>乙方安装和调试节能设备应符合国家、行业有关施工管理法律法规和与项目相对应的技术标准规范要求。</w:t>
      </w:r>
    </w:p>
    <w:p w14:paraId="5C87F4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7.11</w:t>
      </w:r>
      <w:r>
        <w:t>乙方应确保其工作人员或者其聘请的第三方在项目实施、运行的整个过程中遵守相关法律法规，以及甲方的相关规章制度。</w:t>
      </w:r>
    </w:p>
    <w:p w14:paraId="71CA37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7.12</w:t>
      </w:r>
      <w:r>
        <w:t>乙方应配合甲方开展节能量评估和节能改造项目验收。</w:t>
      </w:r>
    </w:p>
    <w:p w14:paraId="3CF759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7.13</w:t>
      </w:r>
      <w:r>
        <w:t>乙方对能源托管服务涉及的部分专业性工作内容，可另行委托第三方承担，但应及时报甲方 备案。委托的工作内容仅限于分项内容，整体能源费用托管服务项目未经甲方同意不得转让给第三方。</w:t>
      </w:r>
    </w:p>
    <w:p w14:paraId="6FFEF2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7.14</w:t>
      </w:r>
      <w:r>
        <w:t>合同终止时，乙方必须向甲方移交原委托管理的各类管理档案、管理用房、物料、工具、图纸资 料等。所有移交的内容都应有清单并由双方签收，全部手续完成后签署托管移交确认书。</w:t>
      </w:r>
    </w:p>
    <w:p w14:paraId="47FC3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7.15</w:t>
      </w:r>
      <w:r>
        <w:t>其他：</w:t>
      </w:r>
      <w:r>
        <w:rPr>
          <w:rFonts w:hint="eastAsia"/>
          <w:b w:val="0"/>
          <w:bCs w:val="0"/>
          <w:u w:val="single"/>
          <w:lang w:val="en-US" w:eastAsia="zh-CN"/>
        </w:rPr>
        <w:t xml:space="preserve">            </w:t>
      </w:r>
      <w:r>
        <w:rPr>
          <w:b w:val="0"/>
          <w:bCs w:val="0"/>
          <w:u w:val="single"/>
        </w:rPr>
        <w:tab/>
      </w:r>
      <w:r>
        <w:t>。</w:t>
      </w:r>
    </w:p>
    <w:p w14:paraId="761A10FB">
      <w:pPr>
        <w:bidi w:val="0"/>
      </w:pPr>
    </w:p>
    <w:p w14:paraId="3CC8C327">
      <w:pPr>
        <w:bidi w:val="0"/>
        <w:jc w:val="center"/>
        <w:rPr>
          <w:b/>
          <w:bCs/>
        </w:rPr>
      </w:pPr>
      <w:r>
        <w:rPr>
          <w:b/>
          <w:bCs/>
        </w:rPr>
        <w:t>第 8 节</w:t>
      </w:r>
      <w:r>
        <w:rPr>
          <w:b/>
          <w:bCs/>
        </w:rPr>
        <w:tab/>
      </w:r>
      <w:r>
        <w:rPr>
          <w:b/>
          <w:bCs/>
        </w:rPr>
        <w:t>所有权和风险分担</w:t>
      </w:r>
    </w:p>
    <w:p w14:paraId="3F58C59F">
      <w:pPr>
        <w:bidi w:val="0"/>
      </w:pPr>
    </w:p>
    <w:p w14:paraId="3E153D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8.1</w:t>
      </w:r>
      <w:r>
        <w:t>在本合同到期且甲方付清本合同项下全部款项之前，本项目由乙方投资的节能设备所有权属于乙方。本合同顺利履行完毕且甲方付清本合同约定的各项费用后，该节能设备所有权属于甲方，在设 备所有权移交时乙方应保证该节能设备正常运行。</w:t>
      </w:r>
    </w:p>
    <w:p w14:paraId="6C9925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8.2</w:t>
      </w:r>
      <w:r>
        <w:t>乙方向甲方提交资产移交书面通知之日起，即视为乙方已向甲方移交所有权。节能设备的所 有权由乙方移交给甲方时，应同时移交本项目继续运行所必需的资料。如该节能设备的继续使用需要乙 方的相关技术和</w:t>
      </w:r>
      <w:r>
        <w:rPr>
          <w:rFonts w:hint="eastAsia"/>
        </w:rPr>
        <w:t>/</w:t>
      </w:r>
      <w:r>
        <w:t>或相关知识产权的授权，乙方应当无偿向甲方提供该授权。如该节能设备的继续使用 涉及第三方的服务和</w:t>
      </w:r>
      <w:r>
        <w:rPr>
          <w:rFonts w:hint="eastAsia"/>
        </w:rPr>
        <w:t>/</w:t>
      </w:r>
      <w:r>
        <w:t>或相关知识产权的授权，该服务和授权的费用由甲方承担。</w:t>
      </w:r>
    </w:p>
    <w:p w14:paraId="351D73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8.3</w:t>
      </w:r>
      <w:r>
        <w:t>节能设备的所有权不因甲方违约或者本合同的提前解除而转移。</w:t>
      </w:r>
    </w:p>
    <w:p w14:paraId="719890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8.4</w:t>
      </w:r>
      <w:r>
        <w:t>其他：</w:t>
      </w:r>
      <w:r>
        <w:rPr>
          <w:rFonts w:hint="eastAsia"/>
          <w:u w:val="single"/>
          <w:lang w:val="en-US" w:eastAsia="zh-CN"/>
        </w:rPr>
        <w:t xml:space="preserve">        </w:t>
      </w:r>
      <w:r>
        <w:rPr>
          <w:u w:val="single"/>
        </w:rPr>
        <w:tab/>
      </w:r>
      <w:r>
        <w:t>。</w:t>
      </w:r>
    </w:p>
    <w:p w14:paraId="1609DC1A">
      <w:pPr>
        <w:bidi w:val="0"/>
      </w:pPr>
    </w:p>
    <w:p w14:paraId="4C5B0B39">
      <w:pPr>
        <w:bidi w:val="0"/>
        <w:jc w:val="center"/>
        <w:rPr>
          <w:b/>
          <w:bCs/>
        </w:rPr>
      </w:pPr>
      <w:r>
        <w:rPr>
          <w:b/>
          <w:bCs/>
        </w:rPr>
        <w:t>第 9 节</w:t>
      </w:r>
      <w:r>
        <w:rPr>
          <w:b/>
          <w:bCs/>
        </w:rPr>
        <w:tab/>
      </w:r>
      <w:r>
        <w:rPr>
          <w:b/>
          <w:bCs/>
        </w:rPr>
        <w:t>违约责任</w:t>
      </w:r>
    </w:p>
    <w:p w14:paraId="2ACE5179">
      <w:pPr>
        <w:bidi w:val="0"/>
      </w:pPr>
    </w:p>
    <w:p w14:paraId="0111BF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9.1</w:t>
      </w:r>
      <w:r>
        <w:t>甲方逾期支付能源托管费用的，按以下方式处理：</w:t>
      </w:r>
    </w:p>
    <w:p w14:paraId="79D876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1</w:t>
      </w:r>
      <w:r>
        <w:rPr>
          <w:rFonts w:hint="eastAsia"/>
          <w:lang w:eastAsia="zh-CN"/>
        </w:rPr>
        <w:t>）</w:t>
      </w:r>
      <w:r>
        <w:t>每逾期一天按迟延付款款项的万分之五向乙方支付违约金，直至甲方履行完成所有付款义务；</w:t>
      </w:r>
    </w:p>
    <w:p w14:paraId="4BF28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2</w:t>
      </w:r>
      <w:r>
        <w:rPr>
          <w:rFonts w:hint="eastAsia"/>
          <w:lang w:eastAsia="zh-CN"/>
        </w:rPr>
        <w:t>）</w:t>
      </w:r>
      <w:r>
        <w:t>逾期超过</w:t>
      </w:r>
      <w:r>
        <w:rPr>
          <w:u w:val="single"/>
        </w:rPr>
        <w:t xml:space="preserve"> </w:t>
      </w:r>
      <w:r>
        <w:rPr>
          <w:rFonts w:hint="eastAsia"/>
          <w:u w:val="single"/>
          <w:lang w:val="en-US" w:eastAsia="zh-CN"/>
        </w:rPr>
        <w:t xml:space="preserve">   </w:t>
      </w:r>
      <w:r>
        <w:rPr>
          <w:rFonts w:hint="eastAsia"/>
          <w:u w:val="single"/>
        </w:rPr>
        <w:t xml:space="preserve"> </w:t>
      </w:r>
      <w:r>
        <w:t>个月的，乙方有权停止缴纳由乙方承担的能源费用直至甲方履行完成所有付款义务，由此引起的一切损失由甲方负责；</w:t>
      </w:r>
    </w:p>
    <w:p w14:paraId="3F1C6F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3</w:t>
      </w:r>
      <w:r>
        <w:rPr>
          <w:rFonts w:hint="eastAsia"/>
          <w:lang w:eastAsia="zh-CN"/>
        </w:rPr>
        <w:t>）</w:t>
      </w:r>
      <w:r>
        <w:t>逾期超过</w:t>
      </w:r>
      <w:r>
        <w:rPr>
          <w:rFonts w:hint="eastAsia"/>
          <w:u w:val="single"/>
          <w:lang w:val="en-US" w:eastAsia="zh-CN"/>
        </w:rPr>
        <w:t xml:space="preserve">    </w:t>
      </w:r>
      <w:r>
        <w:t>个月的，乙方有权停止提供合同约定的所有服务内容直至甲方履行完成所有付款义务，由此引起的一切损失由甲方负责；</w:t>
      </w:r>
    </w:p>
    <w:p w14:paraId="6EFAC3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4</w:t>
      </w:r>
      <w:r>
        <w:rPr>
          <w:rFonts w:hint="eastAsia"/>
          <w:lang w:eastAsia="zh-CN"/>
        </w:rPr>
        <w:t>）</w:t>
      </w:r>
      <w:r>
        <w:t>逾期超过</w:t>
      </w:r>
      <w:r>
        <w:rPr>
          <w:rFonts w:hint="eastAsia"/>
          <w:u w:val="single"/>
          <w:lang w:val="en-US" w:eastAsia="zh-CN"/>
        </w:rPr>
        <w:t xml:space="preserve">    </w:t>
      </w:r>
      <w:r>
        <w:rPr>
          <w:rFonts w:hint="eastAsia"/>
          <w:u w:val="single"/>
        </w:rPr>
        <w:t xml:space="preserve"> </w:t>
      </w:r>
      <w:r>
        <w:t xml:space="preserve">个月的，乙方有权书面通知甲方后解除本合同，甲方应按本合同第 </w:t>
      </w:r>
      <w:r>
        <w:rPr>
          <w:rFonts w:hint="eastAsia"/>
        </w:rPr>
        <w:t xml:space="preserve">11.5 </w:t>
      </w:r>
      <w:r>
        <w:t>条约定承担违约责任。</w:t>
      </w:r>
    </w:p>
    <w:p w14:paraId="48B34D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9.2</w:t>
      </w:r>
      <w:r>
        <w:t>甲方未按合同约定履行职责，给乙方造成损失的，乙方可要求甲方据实赔偿。</w:t>
      </w:r>
    </w:p>
    <w:p w14:paraId="5B1F0C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9.3</w:t>
      </w:r>
      <w:r>
        <w:t>乙方未按合同约定的质量标准履行能源托管服务职责，但未给甲方造成损失的，甲方可要求乙方整改。</w:t>
      </w:r>
    </w:p>
    <w:p w14:paraId="1AEB16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9.4</w:t>
      </w:r>
      <w:r>
        <w:t>乙方未按合同约定的质量标准履行能源托管服务职责，给甲方造成损失的，甲方可要求乙方据实赔偿。</w:t>
      </w:r>
    </w:p>
    <w:p w14:paraId="3C5B70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9.5</w:t>
      </w:r>
      <w:r>
        <w:t>一方违约后，另一方应采取适当措施，防止损失的扩大，否则不得就扩大部分的损失要求赔偿。</w:t>
      </w:r>
    </w:p>
    <w:p w14:paraId="09F3E1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9.6</w:t>
      </w:r>
      <w:r>
        <w:t>其他：</w:t>
      </w:r>
      <w:r>
        <w:rPr>
          <w:rFonts w:hint="eastAsia"/>
          <w:u w:val="single"/>
          <w:lang w:val="en-US" w:eastAsia="zh-CN"/>
        </w:rPr>
        <w:t xml:space="preserve">             </w:t>
      </w:r>
      <w:r>
        <w:tab/>
      </w:r>
      <w:r>
        <w:t>。</w:t>
      </w:r>
    </w:p>
    <w:p w14:paraId="497F81D1">
      <w:pPr>
        <w:bidi w:val="0"/>
      </w:pPr>
    </w:p>
    <w:p w14:paraId="6F9EE3EE">
      <w:pPr>
        <w:bidi w:val="0"/>
        <w:jc w:val="center"/>
        <w:rPr>
          <w:b/>
          <w:bCs/>
        </w:rPr>
      </w:pPr>
      <w:bookmarkStart w:id="2" w:name="第10节　不可抗力"/>
      <w:bookmarkEnd w:id="2"/>
      <w:r>
        <w:rPr>
          <w:b/>
          <w:bCs/>
        </w:rPr>
        <w:t>第 10 节</w:t>
      </w:r>
      <w:r>
        <w:rPr>
          <w:b/>
          <w:bCs/>
        </w:rPr>
        <w:tab/>
      </w:r>
      <w:r>
        <w:rPr>
          <w:b/>
          <w:bCs/>
        </w:rPr>
        <w:t>不可抗力</w:t>
      </w:r>
    </w:p>
    <w:p w14:paraId="5F085386">
      <w:pPr>
        <w:bidi w:val="0"/>
      </w:pPr>
    </w:p>
    <w:p w14:paraId="2CE0A5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10.1</w:t>
      </w:r>
      <w:r>
        <w:t>本合同项下的不可抗力是指超出了相关方合理控制范围的任何行为、事件或原因，包括但不限于：</w:t>
      </w:r>
    </w:p>
    <w:p w14:paraId="7714E9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1</w:t>
      </w:r>
      <w:r>
        <w:rPr>
          <w:rFonts w:hint="eastAsia"/>
          <w:lang w:eastAsia="zh-CN"/>
        </w:rPr>
        <w:t>）</w:t>
      </w:r>
      <w:r>
        <w:t>雷电、洪水、风暴、地震、滑坡、暴雨等自然灾害、海上危险、航行事故、战争、骚乱、暴动、全国紧急 状态（无论是实际情况或法律规定的情况）、戒严令、火灾或劳工纠纷（无论是否涉及相关方的雇 员）、流行病、隔离、辐射或放射性污染；</w:t>
      </w:r>
    </w:p>
    <w:p w14:paraId="11FD3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2</w:t>
      </w:r>
      <w:r>
        <w:rPr>
          <w:rFonts w:hint="eastAsia"/>
          <w:lang w:eastAsia="zh-CN"/>
        </w:rPr>
        <w:t>）</w:t>
      </w:r>
      <w:r>
        <w:t>任何政府单位（包括任何有管辖权的法院或仲裁庭以及国际机构）的行动，包括但不限于法律、 法规、规章或其他有法律强制约束力的法案所规定的没收、约束、禁止、干预、征用、要求、指示或  禁运。</w:t>
      </w:r>
    </w:p>
    <w:p w14:paraId="188828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但不得包括一方资金短缺的事实。</w:t>
      </w:r>
    </w:p>
    <w:p w14:paraId="328B1C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10.2</w:t>
      </w:r>
      <w:r>
        <w:t xml:space="preserve">如果一方（“ 受影响方”）由于不可抗力事件的发生，无法或预计无法履行本合同项下的义务，受影响方就必须在知晓不可抗力的有关事件的 </w:t>
      </w:r>
      <w:r>
        <w:rPr>
          <w:rFonts w:hint="eastAsia"/>
        </w:rPr>
        <w:t xml:space="preserve">5 </w:t>
      </w:r>
      <w:r>
        <w:t>日内向另一方（“ 非影响方”）提交书面通知，提供不可抗力事件的细节。</w:t>
      </w:r>
    </w:p>
    <w:p w14:paraId="1942BB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10.3</w:t>
      </w:r>
      <w:r>
        <w:t>受影响方必须采取一切合理的措施，以消除或减轻不可抗力事件有关的影响。</w:t>
      </w:r>
    </w:p>
    <w:p w14:paraId="042055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10.4</w:t>
      </w:r>
      <w:r>
        <w:t>在不可抗力事件持续期间，受影响方的履行义务暂时中止，相应的义务履行期限相应顺延，并 将不会对由此造成的损失或损坏承担责任。在不可抗力事件结束后，受影响方应该尽快恢复履行本合同项下的义务。</w:t>
      </w:r>
    </w:p>
    <w:p w14:paraId="73E6D4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10.5</w:t>
      </w:r>
      <w:r>
        <w:t xml:space="preserve">如果因为不可抗力事件的影响，受影响方不能履行本合同项下的任何义务，而且非影响方在收到不可抗力通知后，受影响方不能履行义务持续时间达 </w:t>
      </w:r>
      <w:r>
        <w:rPr>
          <w:rFonts w:hint="eastAsia"/>
        </w:rPr>
        <w:t xml:space="preserve">90 </w:t>
      </w:r>
      <w:r>
        <w:t>个连续日，且在此期间，双方没有能够谈判达成一项彼此可以接受的替代方式来执行本合同项下的项目，任何一方可向另一方提供书面通知，解除本合同，而不需承担任何责任。</w:t>
      </w:r>
    </w:p>
    <w:p w14:paraId="0B716A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10.6</w:t>
      </w:r>
      <w:r>
        <w:t>其他：</w:t>
      </w:r>
      <w:r>
        <w:rPr>
          <w:rFonts w:hint="eastAsia"/>
          <w:u w:val="single"/>
          <w:lang w:val="en-US" w:eastAsia="zh-CN"/>
        </w:rPr>
        <w:t xml:space="preserve">       </w:t>
      </w:r>
      <w:r>
        <w:rPr>
          <w:u w:val="single"/>
        </w:rPr>
        <w:tab/>
      </w:r>
      <w:r>
        <w:t>。</w:t>
      </w:r>
    </w:p>
    <w:p w14:paraId="4B73A69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bCs/>
        </w:rPr>
      </w:pPr>
      <w:bookmarkStart w:id="3" w:name="第11节　合同解除"/>
      <w:bookmarkEnd w:id="3"/>
      <w:r>
        <w:rPr>
          <w:b/>
          <w:bCs/>
        </w:rPr>
        <w:t>第 11 节</w:t>
      </w:r>
      <w:r>
        <w:rPr>
          <w:b/>
          <w:bCs/>
        </w:rPr>
        <w:tab/>
      </w:r>
      <w:r>
        <w:rPr>
          <w:b/>
          <w:bCs/>
        </w:rPr>
        <w:t>合同解除</w:t>
      </w:r>
    </w:p>
    <w:p w14:paraId="18DB7E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11.1</w:t>
      </w:r>
      <w:r>
        <w:t>政府采购合同继续履行将损害国家利益和社会公共利益的，双方当事人应当变更、中止或者终止合同。有过错的一方应当承担赔偿责任，双方都有过错的，各自承担相应的责任。</w:t>
      </w:r>
    </w:p>
    <w:p w14:paraId="3E6F8F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11.2</w:t>
      </w:r>
      <w:r>
        <w:t xml:space="preserve">本合同可依照第 </w:t>
      </w:r>
      <w:r>
        <w:rPr>
          <w:rFonts w:hint="eastAsia"/>
        </w:rPr>
        <w:t xml:space="preserve">10 </w:t>
      </w:r>
      <w:r>
        <w:t>节（不可抗力）的约定解除。</w:t>
      </w:r>
    </w:p>
    <w:p w14:paraId="48A817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11.3</w:t>
      </w:r>
      <w:r>
        <w:t>乙方在甲方提供必要的改造条件后</w:t>
      </w:r>
      <w:r>
        <w:rPr>
          <w:u w:val="single"/>
        </w:rPr>
        <w:t xml:space="preserve"> </w:t>
      </w:r>
      <w:r>
        <w:rPr>
          <w:u w:val="single"/>
        </w:rPr>
        <w:tab/>
      </w:r>
      <w:r>
        <w:t>日未开工建设的或乙方在改造过程中发生重大质量、安全事故导致合同无法履行的，甲方有权书面通知乙方后解除本合同。</w:t>
      </w:r>
    </w:p>
    <w:p w14:paraId="4E2F7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11.4</w:t>
      </w:r>
      <w:r>
        <w:t>发生下列情形之一时，乙方有权书面通知甲方后解除本合同：</w:t>
      </w:r>
    </w:p>
    <w:p w14:paraId="61CF68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1</w:t>
      </w:r>
      <w:r>
        <w:rPr>
          <w:rFonts w:hint="eastAsia"/>
          <w:lang w:eastAsia="zh-CN"/>
        </w:rPr>
        <w:t>）</w:t>
      </w:r>
      <w:r>
        <w:t>经乙方书面通知而甲方未按合同约定提供改造所必要的条件达</w:t>
      </w:r>
      <w:r>
        <w:rPr>
          <w:u w:val="single"/>
        </w:rPr>
        <w:t xml:space="preserve"> </w:t>
      </w:r>
      <w:r>
        <w:rPr>
          <w:u w:val="single"/>
        </w:rPr>
        <w:tab/>
      </w:r>
      <w:r>
        <w:t>日；</w:t>
      </w:r>
    </w:p>
    <w:p w14:paraId="277BE4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2</w:t>
      </w:r>
      <w:r>
        <w:rPr>
          <w:rFonts w:hint="eastAsia"/>
          <w:lang w:eastAsia="zh-CN"/>
        </w:rPr>
        <w:t>）</w:t>
      </w:r>
      <w:r>
        <w:t>甲方迟延履行任何一期付款义务达</w:t>
      </w:r>
      <w:r>
        <w:rPr>
          <w:u w:val="single"/>
        </w:rPr>
        <w:t xml:space="preserve"> </w:t>
      </w:r>
      <w:r>
        <w:rPr>
          <w:rFonts w:hint="eastAsia"/>
          <w:u w:val="single"/>
        </w:rPr>
        <w:t xml:space="preserve">6 </w:t>
      </w:r>
      <w:r>
        <w:t>个月；</w:t>
      </w:r>
    </w:p>
    <w:p w14:paraId="75AE0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3</w:t>
      </w:r>
      <w:r>
        <w:rPr>
          <w:rFonts w:hint="eastAsia"/>
          <w:lang w:eastAsia="zh-CN"/>
        </w:rPr>
        <w:t>）</w:t>
      </w:r>
      <w:r>
        <w:t>在托管合同期内，由于能源资源单价或甲方用能边界发生变化（包括但不限于用能设备、用能面 积、用能人数、用能时间、用能行为、原有设施损坏、气候异常等）导致能源费用上涨，且甲方因故 无法支付调整费用，致使双方无法正常履行合同。</w:t>
      </w:r>
    </w:p>
    <w:p w14:paraId="1C2FDB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11.5</w:t>
      </w:r>
      <w:r>
        <w:t xml:space="preserve">合同解除后，本项目应终止实施。如乙方完工前因甲方违约导致本合同解除的，甲方应支付 乙方已投入的费用及已投入费用总金额 </w:t>
      </w:r>
      <w:r>
        <w:rPr>
          <w:rFonts w:hint="eastAsia"/>
        </w:rPr>
        <w:t xml:space="preserve">20% </w:t>
      </w:r>
      <w:r>
        <w:t>的违约金。甲方付清上述款项后，乙方已完成的项目建设</w:t>
      </w:r>
    </w:p>
    <w:p w14:paraId="2E752F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部分（如有）归属甲方所有。</w:t>
      </w:r>
    </w:p>
    <w:p w14:paraId="147A34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 xml:space="preserve">如乙方完工后因甲方违约导致本合同解除的，甲方应赔偿给乙方相应经济损失（相应经济损失包括 但不限于项目设备按托管期年限折旧计算的资产净值等）以及按照项目设备按托管期年限折旧计算的资 产净值的 </w:t>
      </w:r>
      <w:r>
        <w:rPr>
          <w:rFonts w:hint="eastAsia"/>
        </w:rPr>
        <w:t xml:space="preserve">1.2 </w:t>
      </w:r>
      <w:r>
        <w:t>倍标准向乙方支付赔偿金。甲方付清上述款项后，本项目设备归属甲方所有。</w:t>
      </w:r>
    </w:p>
    <w:p w14:paraId="457805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11.6</w:t>
      </w:r>
      <w:r>
        <w:t>如因乙方违约导致本合同解除的，乙方应赔偿甲方的直接经济损失及按直接经济损失金额</w:t>
      </w:r>
      <w:r>
        <w:rPr>
          <w:rFonts w:hint="eastAsia"/>
        </w:rPr>
        <w:t xml:space="preserve">20% </w:t>
      </w:r>
      <w:r>
        <w:t>计算的违约金，乙方已投资完成的本项目设备（如有）经第三方评估机构评估后的价值可相应折抵上述赔偿款项，如评估价值超过赔偿款项的，由甲方向乙方返还差额。</w:t>
      </w:r>
    </w:p>
    <w:p w14:paraId="74D8F7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11.7</w:t>
      </w:r>
      <w:r>
        <w:t>本合同的解除不影响任意一方根据本合同或者相关的法律法规向对方寻求赔偿的权利，也不 影响一方在合同解除前到期的付款、支付违约金等义务的履行。</w:t>
      </w:r>
    </w:p>
    <w:p w14:paraId="42BF98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11.8</w:t>
      </w:r>
      <w:r>
        <w:t>其他：</w:t>
      </w:r>
      <w:r>
        <w:rPr>
          <w:u w:val="single"/>
        </w:rPr>
        <w:tab/>
      </w:r>
      <w:r>
        <w:rPr>
          <w:rFonts w:hint="eastAsia"/>
          <w:u w:val="single"/>
          <w:lang w:val="en-US" w:eastAsia="zh-CN"/>
        </w:rPr>
        <w:t xml:space="preserve">     </w:t>
      </w:r>
      <w:r>
        <w:t>。</w:t>
      </w:r>
    </w:p>
    <w:p w14:paraId="22B4F2D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bCs/>
        </w:rPr>
      </w:pPr>
      <w:bookmarkStart w:id="4" w:name="第12节　合同项下权利、义务的转让"/>
      <w:bookmarkEnd w:id="4"/>
      <w:r>
        <w:rPr>
          <w:b/>
          <w:bCs/>
        </w:rPr>
        <w:t>第 12 节</w:t>
      </w:r>
      <w:r>
        <w:rPr>
          <w:b/>
          <w:bCs/>
        </w:rPr>
        <w:tab/>
      </w:r>
      <w:r>
        <w:rPr>
          <w:b/>
          <w:bCs/>
        </w:rPr>
        <w:t>合同项下权利、义务的转让</w:t>
      </w:r>
    </w:p>
    <w:p w14:paraId="7AB31C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双方约定，合同项下权利、义务的转让按照以下方式进行。</w:t>
      </w:r>
    </w:p>
    <w:p w14:paraId="79D400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1</w:t>
      </w:r>
      <w:r>
        <w:rPr>
          <w:rFonts w:hint="eastAsia"/>
          <w:lang w:eastAsia="zh-CN"/>
        </w:rPr>
        <w:t>）</w:t>
      </w:r>
      <w:r>
        <w:t>甲方在转让本合同项下的权利之前，应书面通知乙方。</w:t>
      </w:r>
    </w:p>
    <w:p w14:paraId="76DDE7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2</w:t>
      </w:r>
      <w:r>
        <w:rPr>
          <w:rFonts w:hint="eastAsia"/>
          <w:lang w:eastAsia="zh-CN"/>
        </w:rPr>
        <w:t>）</w:t>
      </w:r>
      <w:r>
        <w:t>甲方在转让本合同项下的义务之前，应书面征得乙方同意；在未征得乙方同意之前，甲方以任何 形式转让或转移本合同项下的义务均为无效。</w:t>
      </w:r>
    </w:p>
    <w:p w14:paraId="3D316C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3</w:t>
      </w:r>
      <w:r>
        <w:rPr>
          <w:rFonts w:hint="eastAsia"/>
          <w:lang w:eastAsia="zh-CN"/>
        </w:rPr>
        <w:t>）</w:t>
      </w:r>
      <w:r>
        <w:t>乙方在转让本合同项下的权利之前，应书面通知甲方。</w:t>
      </w:r>
    </w:p>
    <w:p w14:paraId="7A36D0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4</w:t>
      </w:r>
      <w:r>
        <w:rPr>
          <w:rFonts w:hint="eastAsia"/>
          <w:lang w:eastAsia="zh-CN"/>
        </w:rPr>
        <w:t>）</w:t>
      </w:r>
      <w:r>
        <w:t>乙方在转让本合同项下的义务之前，应书面征得甲方同意；在未征得甲方同意之前，乙方以任何 形式转让或转移本合同项下的义务均为无效。</w:t>
      </w:r>
    </w:p>
    <w:p w14:paraId="160BB6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eastAsia="zh-CN"/>
        </w:rPr>
        <w:t>（</w:t>
      </w:r>
      <w:r>
        <w:rPr>
          <w:rFonts w:hint="eastAsia"/>
          <w:lang w:val="en-US" w:eastAsia="zh-CN"/>
        </w:rPr>
        <w:t>5</w:t>
      </w:r>
      <w:r>
        <w:rPr>
          <w:rFonts w:hint="eastAsia"/>
          <w:lang w:eastAsia="zh-CN"/>
        </w:rPr>
        <w:t>）</w:t>
      </w:r>
      <w:r>
        <w:t>其他：</w:t>
      </w:r>
      <w:r>
        <w:rPr>
          <w:u w:val="single"/>
        </w:rPr>
        <w:tab/>
      </w:r>
      <w:r>
        <w:rPr>
          <w:rFonts w:hint="eastAsia"/>
          <w:u w:val="single"/>
          <w:lang w:val="en-US" w:eastAsia="zh-CN"/>
        </w:rPr>
        <w:t xml:space="preserve">    </w:t>
      </w:r>
      <w:r>
        <w:rPr>
          <w:rFonts w:hint="eastAsia"/>
          <w:lang w:val="en-US" w:eastAsia="zh-CN"/>
        </w:rPr>
        <w:t xml:space="preserve"> </w:t>
      </w:r>
      <w:r>
        <w:t>。</w:t>
      </w:r>
    </w:p>
    <w:p w14:paraId="5726B136">
      <w:pPr>
        <w:rPr>
          <w:b/>
          <w:bCs/>
        </w:rPr>
      </w:pPr>
      <w:bookmarkStart w:id="5" w:name="第13节　人身、财产损害和赔偿"/>
      <w:bookmarkEnd w:id="5"/>
      <w:r>
        <w:rPr>
          <w:b/>
          <w:bCs/>
        </w:rPr>
        <w:br w:type="page"/>
      </w:r>
    </w:p>
    <w:p w14:paraId="67A8B8D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pPr>
      <w:r>
        <w:rPr>
          <w:b/>
          <w:bCs/>
        </w:rPr>
        <w:t>第 13 节</w:t>
      </w:r>
      <w:r>
        <w:rPr>
          <w:b/>
          <w:bCs/>
        </w:rPr>
        <w:tab/>
      </w:r>
      <w:r>
        <w:rPr>
          <w:b/>
          <w:bCs/>
        </w:rPr>
        <w:t>人身、财产损害和赔偿</w:t>
      </w:r>
    </w:p>
    <w:p w14:paraId="449BD6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13.1</w:t>
      </w:r>
      <w:r>
        <w:t>如在履行本合同的过程中，因一方的工作人员或受其指派的第三方人员（“侵权方”）的故意或者是过失而导致另一方的工作人员，或者任何第三方的人身或者是财产损害，侵权方应当为此负责。如 果另一方因此受到其工作人员或者该第三方的赔偿请求，则侵权方应负责为另一方抗辩，并赔偿另一方 由此而产生的所有费用和损失。</w:t>
      </w:r>
    </w:p>
    <w:p w14:paraId="2515E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13.2</w:t>
      </w:r>
      <w:r>
        <w:t>受损害或伤害的一方对损害或伤害的发生也有过错时，应当根据其过错程度承担相应的责 任，并适当减轻造成损害或伤害一方的责任。</w:t>
      </w:r>
    </w:p>
    <w:p w14:paraId="68E6B2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13.3</w:t>
      </w:r>
      <w:r>
        <w:t>其他：</w:t>
      </w:r>
      <w:r>
        <w:rPr>
          <w:u w:val="single"/>
        </w:rPr>
        <w:tab/>
      </w:r>
      <w:r>
        <w:rPr>
          <w:rFonts w:hint="eastAsia"/>
          <w:u w:val="single"/>
          <w:lang w:val="en-US" w:eastAsia="zh-CN"/>
        </w:rPr>
        <w:t xml:space="preserve">               </w:t>
      </w:r>
      <w:r>
        <w:t>。</w:t>
      </w:r>
    </w:p>
    <w:p w14:paraId="792222CE">
      <w:pPr>
        <w:jc w:val="center"/>
        <w:rPr>
          <w:b/>
          <w:bCs/>
        </w:rPr>
      </w:pPr>
      <w:bookmarkStart w:id="6" w:name="第14节　保密条款"/>
      <w:bookmarkEnd w:id="6"/>
      <w:r>
        <w:rPr>
          <w:b/>
          <w:bCs/>
        </w:rPr>
        <w:t>第 14 节</w:t>
      </w:r>
      <w:r>
        <w:rPr>
          <w:b/>
          <w:bCs/>
        </w:rPr>
        <w:tab/>
      </w:r>
      <w:r>
        <w:rPr>
          <w:b/>
          <w:bCs/>
        </w:rPr>
        <w:t>保密条款</w:t>
      </w:r>
    </w:p>
    <w:p w14:paraId="417D97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14.1</w:t>
      </w:r>
      <w:r>
        <w:t>甲乙双方在订立、履行本合同过程中所知悉的对方财务信息、技术信息、经营信息、运营活动、 公司计划等信息均为商业秘密，无论本合同是否有效、履行或解除，未经资料和文件提供方的书面同意， 另一方不得向任何第三方泄露该商业秘密的全部或部分内容，也不得自行或许可任何第三方使用。</w:t>
      </w:r>
    </w:p>
    <w:p w14:paraId="58259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14.2</w:t>
      </w:r>
      <w:r>
        <w:t>一方违反上述保密义务擅自泄露、使用其秘密资料及信息的，须承担由此产生的一切法律责任。</w:t>
      </w:r>
    </w:p>
    <w:p w14:paraId="04442AC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bCs/>
        </w:rPr>
      </w:pPr>
      <w:bookmarkStart w:id="7" w:name="第15节　争议的解决"/>
      <w:bookmarkEnd w:id="7"/>
      <w:r>
        <w:rPr>
          <w:b/>
          <w:bCs/>
        </w:rPr>
        <w:t>第 15 节</w:t>
      </w:r>
      <w:r>
        <w:rPr>
          <w:b/>
          <w:bCs/>
        </w:rPr>
        <w:tab/>
      </w:r>
      <w:r>
        <w:rPr>
          <w:b/>
          <w:bCs/>
        </w:rPr>
        <w:t>争议的解决</w:t>
      </w:r>
    </w:p>
    <w:p w14:paraId="510C41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1DC0B6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15.1</w:t>
      </w:r>
      <w:r>
        <w:t>因本合同的履行、解释、违约、终止、中止、效力等引起的任何争议、纠纷，各方应友好协商解决。协商不成的，向</w:t>
      </w:r>
      <w:r>
        <w:rPr>
          <w:u w:val="single"/>
        </w:rPr>
        <w:t xml:space="preserve"> </w:t>
      </w:r>
      <w:r>
        <w:rPr>
          <w:u w:val="single"/>
        </w:rPr>
        <w:tab/>
      </w:r>
      <w:r>
        <w:rPr>
          <w:rFonts w:hint="eastAsia"/>
          <w:u w:val="single"/>
          <w:lang w:val="en-US" w:eastAsia="zh-CN"/>
        </w:rPr>
        <w:t xml:space="preserve">   </w:t>
      </w:r>
      <w:r>
        <w:t>人民法院提起诉讼。</w:t>
      </w:r>
    </w:p>
    <w:p w14:paraId="4CCE53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15.2</w:t>
      </w:r>
      <w:r>
        <w:t>在违约引发的诉讼程序中，违约方应赔偿守约方因诉讼产生的一切费用，包括但不限于律师费、诉讼费、保全费、鉴定费、差旅费等为维权支出的一切费用。</w:t>
      </w:r>
    </w:p>
    <w:p w14:paraId="43483B4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bCs/>
        </w:rPr>
      </w:pPr>
      <w:bookmarkStart w:id="8" w:name="第16节　保险"/>
      <w:bookmarkEnd w:id="8"/>
      <w:r>
        <w:rPr>
          <w:b/>
          <w:bCs/>
        </w:rPr>
        <w:t>第 16 节</w:t>
      </w:r>
      <w:r>
        <w:rPr>
          <w:b/>
          <w:bCs/>
        </w:rPr>
        <w:tab/>
      </w:r>
      <w:r>
        <w:rPr>
          <w:b/>
          <w:bCs/>
        </w:rPr>
        <w:t>保险</w:t>
      </w:r>
    </w:p>
    <w:p w14:paraId="1E0DA4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16.1</w:t>
      </w:r>
      <w:r>
        <w:t>双方约定按以下方式购买保险：</w:t>
      </w:r>
      <w:r>
        <w:rPr>
          <w:rFonts w:hint="eastAsia"/>
          <w:u w:val="single"/>
          <w:lang w:val="en-US" w:eastAsia="zh-CN"/>
        </w:rPr>
        <w:t xml:space="preserve">     </w:t>
      </w:r>
      <w:r>
        <w:tab/>
      </w:r>
      <w:r>
        <w:t>。</w:t>
      </w:r>
    </w:p>
    <w:p w14:paraId="0D3484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16.2</w:t>
      </w:r>
      <w:r>
        <w:t>双方应协商避免重复投保，并及时告知对方已有的或准备进行的相关项目、财产和人员的投保情况。</w:t>
      </w:r>
    </w:p>
    <w:p w14:paraId="1BD75AA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bCs/>
        </w:rPr>
      </w:pPr>
      <w:bookmarkStart w:id="9" w:name="第17节　知识产权"/>
      <w:bookmarkEnd w:id="9"/>
      <w:r>
        <w:rPr>
          <w:b/>
          <w:bCs/>
        </w:rPr>
        <w:t>第 17 节</w:t>
      </w:r>
      <w:r>
        <w:rPr>
          <w:b/>
          <w:bCs/>
        </w:rPr>
        <w:tab/>
      </w:r>
      <w:r>
        <w:rPr>
          <w:b/>
          <w:bCs/>
        </w:rPr>
        <w:t>知识产权</w:t>
      </w:r>
    </w:p>
    <w:p w14:paraId="635060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17.1</w:t>
      </w:r>
      <w:r>
        <w:rPr>
          <w:rFonts w:hint="eastAsia"/>
        </w:rPr>
        <w:tab/>
      </w:r>
      <w:r>
        <w:t>因履行本合同所产生的研究开发成果及其相关知识产权的权益归属由双方约定如下：</w:t>
      </w:r>
      <w:r>
        <w:rPr>
          <w:u w:val="single"/>
        </w:rPr>
        <w:tab/>
      </w:r>
      <w:r>
        <w:rPr>
          <w:rFonts w:hint="eastAsia"/>
          <w:u w:val="single"/>
          <w:lang w:val="en-US" w:eastAsia="zh-CN"/>
        </w:rPr>
        <w:t xml:space="preserve">            </w:t>
      </w:r>
      <w:r>
        <w:t>。</w:t>
      </w:r>
    </w:p>
    <w:p w14:paraId="50422C01">
      <w:pPr>
        <w:rPr>
          <w:b/>
          <w:bCs/>
          <w:u w:val="none"/>
        </w:rPr>
      </w:pPr>
      <w:bookmarkStart w:id="10" w:name="第18节　合同的生效及其他"/>
      <w:bookmarkEnd w:id="10"/>
      <w:r>
        <w:rPr>
          <w:b/>
          <w:bCs/>
          <w:u w:val="none"/>
        </w:rPr>
        <w:br w:type="page"/>
      </w:r>
    </w:p>
    <w:p w14:paraId="1927AD5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bCs/>
          <w:u w:val="none"/>
        </w:rPr>
      </w:pPr>
      <w:r>
        <w:rPr>
          <w:b/>
          <w:bCs/>
          <w:u w:val="none"/>
        </w:rPr>
        <w:t>第 18 节</w:t>
      </w:r>
      <w:r>
        <w:rPr>
          <w:b/>
          <w:bCs/>
          <w:u w:val="none"/>
        </w:rPr>
        <w:tab/>
      </w:r>
      <w:r>
        <w:rPr>
          <w:b/>
          <w:bCs/>
          <w:u w:val="none"/>
        </w:rPr>
        <w:t>合同的生效及其他</w:t>
      </w:r>
    </w:p>
    <w:p w14:paraId="0C405D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549F67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18.1</w:t>
      </w:r>
      <w:r>
        <w:t>项目联系人负责双方商务往来文件的发送和接收，双方定期会晤的召集和决议跟踪。</w:t>
      </w:r>
    </w:p>
    <w:p w14:paraId="276D8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18.2</w:t>
      </w:r>
      <w:r>
        <w:t xml:space="preserve">一方变更项目联系人的，应在 </w:t>
      </w:r>
      <w:r>
        <w:tab/>
      </w:r>
      <w:r>
        <w:t>日内以书面形式通知另一方。未及时通知并影响本合同履行或造成损失的，应承担相应的责任。</w:t>
      </w:r>
    </w:p>
    <w:p w14:paraId="4ED905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18.3</w:t>
      </w:r>
      <w:r>
        <w:t>本合同项下的通知应由专人递交，挂号信、快递或者电子邮件的方式发送至本合同开头所列 的地址。如该通知以口头形式发出，则应尽快在合理时间内以书面方式向对方确认。如一方联系地址改 变，则应当尽快以书面形式告知对方。本合同中所列的地址即为甲乙双方的收件地址。</w:t>
      </w:r>
    </w:p>
    <w:p w14:paraId="660F5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18.4</w:t>
      </w:r>
      <w:r>
        <w:t>本合同终止时，乙方应将管理用房、能源管理相关资料等及属于甲方所有的财物及时完整地 移交给甲方。</w:t>
      </w:r>
    </w:p>
    <w:p w14:paraId="5D4BD7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18.6</w:t>
      </w:r>
      <w:r>
        <w:t>合同附件是本合同的有效组成部分，如附件内容与合同正文不一致，应优先适用合同正文的 规定。</w:t>
      </w:r>
    </w:p>
    <w:p w14:paraId="3ABD81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18.6</w:t>
      </w:r>
      <w:r>
        <w:t>本合同未尽事宜，甲乙双方可另行以书面形式签订补充协议，补充协议与本合同存在冲突的，以补充协议为准。</w:t>
      </w:r>
    </w:p>
    <w:p w14:paraId="6C8D95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18.7</w:t>
      </w:r>
      <w:r>
        <w:t>本合同自双方法定代表人或授权代表签字并加盖公章或合同专用章之日起生效。本合同正本一式</w:t>
      </w:r>
      <w:r>
        <w:rPr>
          <w:u w:val="single"/>
        </w:rPr>
        <w:t xml:space="preserve">  </w:t>
      </w:r>
      <w:r>
        <w:rPr>
          <w:rFonts w:hint="eastAsia"/>
          <w:u w:val="single"/>
          <w:lang w:val="en-US" w:eastAsia="zh-CN"/>
        </w:rPr>
        <w:t xml:space="preserve">    </w:t>
      </w:r>
      <w:r>
        <w:t>份，双方各执</w:t>
      </w:r>
      <w:r>
        <w:rPr>
          <w:rFonts w:hint="eastAsia"/>
          <w:u w:val="single"/>
          <w:lang w:val="en-US" w:eastAsia="zh-CN"/>
        </w:rPr>
        <w:t xml:space="preserve">   </w:t>
      </w:r>
      <w:r>
        <w:rPr>
          <w:u w:val="single"/>
        </w:rPr>
        <w:t xml:space="preserve">  </w:t>
      </w:r>
      <w:r>
        <w:t>份，副本一式</w:t>
      </w:r>
      <w:r>
        <w:rPr>
          <w:u w:val="single"/>
        </w:rPr>
        <w:t xml:space="preserve"> </w:t>
      </w:r>
      <w:r>
        <w:rPr>
          <w:rFonts w:hint="eastAsia"/>
          <w:u w:val="single"/>
          <w:lang w:val="en-US" w:eastAsia="zh-CN"/>
        </w:rPr>
        <w:t xml:space="preserve">  </w:t>
      </w:r>
      <w:r>
        <w:t xml:space="preserve"> 份，双方各执</w:t>
      </w:r>
      <w:r>
        <w:rPr>
          <w:u w:val="single"/>
        </w:rPr>
        <w:t xml:space="preserve"> </w:t>
      </w:r>
      <w:r>
        <w:rPr>
          <w:u w:val="single"/>
        </w:rPr>
        <w:tab/>
      </w:r>
      <w:r>
        <w:t>份，具有同等法律效力。</w:t>
      </w:r>
    </w:p>
    <w:p w14:paraId="7FF70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18.8</w:t>
      </w:r>
      <w:r>
        <w:t>附件：能源费用托管合同调整规则指引。</w:t>
      </w:r>
    </w:p>
    <w:p w14:paraId="1BDD09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18.9</w:t>
      </w:r>
      <w:r>
        <w:t>甲乙双方约定的其他事项：</w:t>
      </w:r>
      <w:r>
        <w:rPr>
          <w:rFonts w:hint="eastAsia"/>
          <w:u w:val="single"/>
          <w:lang w:val="en-US" w:eastAsia="zh-CN"/>
        </w:rPr>
        <w:t xml:space="preserve">      </w:t>
      </w:r>
      <w:r>
        <w:tab/>
      </w:r>
      <w:r>
        <w:t>。</w:t>
      </w:r>
    </w:p>
    <w:p w14:paraId="2023B5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（以下无正文）</w:t>
      </w:r>
    </w:p>
    <w:p w14:paraId="2856D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7BA31B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3B3211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bookmarkStart w:id="12" w:name="_GoBack"/>
      <w:bookmarkEnd w:id="12"/>
    </w:p>
    <w:p w14:paraId="49382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甲 方（盖章）：</w:t>
      </w:r>
    </w:p>
    <w:p w14:paraId="1727F1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法定代表人</w:t>
      </w:r>
      <w:r>
        <w:rPr>
          <w:rFonts w:hint="eastAsia"/>
        </w:rPr>
        <w:t>/</w:t>
      </w:r>
      <w:r>
        <w:t>授权代表（签字）：</w:t>
      </w:r>
    </w:p>
    <w:p w14:paraId="6729A3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 xml:space="preserve"> 日期：</w:t>
      </w:r>
    </w:p>
    <w:p w14:paraId="1607B1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4E1869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乙 方（盖章）：</w:t>
      </w:r>
    </w:p>
    <w:p w14:paraId="7DBB62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法定代表人</w:t>
      </w:r>
      <w:r>
        <w:rPr>
          <w:rFonts w:hint="eastAsia"/>
        </w:rPr>
        <w:t>/</w:t>
      </w:r>
      <w:r>
        <w:t xml:space="preserve">授权代表（签字）： </w:t>
      </w:r>
    </w:p>
    <w:p w14:paraId="7838F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日期：</w:t>
      </w:r>
    </w:p>
    <w:p w14:paraId="1AFD9D40">
      <w:r>
        <w:br w:type="page"/>
      </w:r>
    </w:p>
    <w:p w14:paraId="58A4235F">
      <w:pPr>
        <w:bidi w:val="0"/>
      </w:pPr>
      <w:r>
        <w:t>附件</w:t>
      </w:r>
    </w:p>
    <w:p w14:paraId="62134A32">
      <w:pPr>
        <w:bidi w:val="0"/>
      </w:pPr>
    </w:p>
    <w:p w14:paraId="22DAF835">
      <w:pPr>
        <w:bidi w:val="0"/>
        <w:spacing w:line="360" w:lineRule="auto"/>
        <w:jc w:val="center"/>
      </w:pPr>
      <w:bookmarkStart w:id="11" w:name="能源费用托管合同调整规则指引"/>
      <w:bookmarkEnd w:id="11"/>
      <w:r>
        <w:t>能源费用托管合同调整规则指引</w:t>
      </w:r>
    </w:p>
    <w:p w14:paraId="2C9C16F6">
      <w:pPr>
        <w:bidi w:val="0"/>
        <w:spacing w:line="360" w:lineRule="auto"/>
      </w:pPr>
      <w:r>
        <w:t>所有托管项目需针对易发生变化的边界条件编制对应托管费用调整规则，调整规则包括通用类、其 他类、特殊行业专用类和能源站等四种。</w:t>
      </w:r>
    </w:p>
    <w:p w14:paraId="2A42D022">
      <w:pPr>
        <w:bidi w:val="0"/>
        <w:spacing w:line="360" w:lineRule="auto"/>
      </w:pPr>
      <w:r>
        <w:t>一、通用类</w:t>
      </w:r>
    </w:p>
    <w:p w14:paraId="6FD901BD">
      <w:pPr>
        <w:bidi w:val="0"/>
        <w:spacing w:line="360" w:lineRule="auto"/>
      </w:pPr>
      <w:r>
        <w:t>所有托管项目均应明确以下调整规则：</w:t>
      </w:r>
    </w:p>
    <w:p w14:paraId="41190F77">
      <w:pPr>
        <w:bidi w:val="0"/>
        <w:spacing w:line="360" w:lineRule="auto"/>
      </w:pPr>
      <w:r>
        <w:t>空调用电调整规则；</w:t>
      </w:r>
    </w:p>
    <w:p w14:paraId="6EA3EAD9">
      <w:pPr>
        <w:bidi w:val="0"/>
        <w:spacing w:line="360" w:lineRule="auto"/>
      </w:pPr>
      <w:r>
        <w:t>室外温度变化调整规则；</w:t>
      </w:r>
    </w:p>
    <w:p w14:paraId="7F846B54">
      <w:pPr>
        <w:bidi w:val="0"/>
        <w:spacing w:line="360" w:lineRule="auto"/>
      </w:pPr>
      <w:r>
        <w:t>室外天气修正参数 K</w:t>
      </w:r>
      <w:r>
        <w:rPr>
          <w:rFonts w:hint="eastAsia"/>
        </w:rPr>
        <w:t>cool</w:t>
      </w:r>
      <w:r>
        <w:t>。</w:t>
      </w:r>
    </w:p>
    <w:p w14:paraId="029FA3A8">
      <w:pPr>
        <w:bidi w:val="0"/>
        <w:spacing w:line="360" w:lineRule="auto"/>
      </w:pPr>
      <w:r>
        <w:t>提供本项目所在地区室外气象参数的原始数据作为基准。</w:t>
      </w:r>
    </w:p>
    <w:p w14:paraId="5211E85F">
      <w:pPr>
        <w:bidi w:val="0"/>
        <w:spacing w:line="360" w:lineRule="auto"/>
      </w:pPr>
      <w:r>
        <w:t xml:space="preserve">根据合同签订前一年的日平均气温，获得空调度日数 </w:t>
      </w:r>
      <w:r>
        <w:rPr>
          <w:rFonts w:hint="eastAsia"/>
        </w:rPr>
        <w:t xml:space="preserve">CDD26 </w:t>
      </w:r>
      <w:r>
        <w:t>如下。若改造后全年室外温度有较大上升并影响项目整体节能表现，应考虑空调度日数对能源基准及相应节能量的影响。按照计量与验证方法 所述天气情况对节能量的影响，分别确认调整后的能源基准和节能量。</w:t>
      </w:r>
    </w:p>
    <w:p w14:paraId="47B90CC8">
      <w:pPr>
        <w:bidi w:val="0"/>
        <w:spacing w:line="360" w:lineRule="auto"/>
      </w:pPr>
      <w:r>
        <w:t>合同签订前一年全年空调度日数：</w:t>
      </w:r>
    </w:p>
    <w:p w14:paraId="6D32B13D">
      <w:pPr>
        <w:bidi w:val="0"/>
        <w:spacing w:line="360" w:lineRule="auto"/>
        <w:sectPr>
          <w:pgSz w:w="12250" w:h="17180"/>
          <w:pgMar w:top="1800" w:right="1020" w:bottom="1360" w:left="1120" w:header="1532" w:footer="1174" w:gutter="0"/>
          <w:cols w:space="720" w:num="1"/>
        </w:sectPr>
      </w:pPr>
    </w:p>
    <w:p w14:paraId="708634C0">
      <w:pPr>
        <w:bidi w:val="0"/>
        <w:spacing w:line="360" w:lineRule="auto"/>
        <w:rPr>
          <w:rFonts w:hint="eastAsia"/>
        </w:rPr>
      </w:pPr>
      <w:r>
        <w:rPr>
          <w:rFonts w:hint="eastAsia"/>
        </w:rPr>
        <w:t>CDDBaselin</w:t>
      </w:r>
      <w:r>
        <w:t>（</w:t>
      </w:r>
      <w:r>
        <w:rPr>
          <w:rFonts w:hint="eastAsia"/>
        </w:rPr>
        <w:t>e</w:t>
      </w:r>
    </w:p>
    <w:p w14:paraId="793A8ACE">
      <w:pPr>
        <w:bidi w:val="0"/>
        <w:spacing w:line="360" w:lineRule="auto"/>
      </w:pPr>
      <w:r>
        <w:br w:type="column"/>
      </w:r>
      <w:r>
        <w:t xml:space="preserve">CDD26)= </w:t>
      </w:r>
      <w:r>
        <w:tab/>
      </w:r>
      <w:r>
        <w:t>°C•d</w:t>
      </w:r>
    </w:p>
    <w:p w14:paraId="1D897046">
      <w:pPr>
        <w:bidi w:val="0"/>
        <w:spacing w:line="360" w:lineRule="auto"/>
        <w:sectPr>
          <w:type w:val="continuous"/>
          <w:pgSz w:w="12250" w:h="17180"/>
          <w:pgMar w:top="600" w:right="1020" w:bottom="280" w:left="1120" w:header="720" w:footer="720" w:gutter="0"/>
          <w:cols w:equalWidth="0" w:num="2">
            <w:col w:w="4690" w:space="40"/>
            <w:col w:w="5380"/>
          </w:cols>
        </w:sectPr>
      </w:pPr>
    </w:p>
    <w:p w14:paraId="2E7DDE38">
      <w:pPr>
        <w:bidi w:val="0"/>
        <w:spacing w:line="360" w:lineRule="auto"/>
      </w:pPr>
      <w:r>
        <w:rPr>
          <w:rFonts w:hint="eastAsia"/>
        </w:rPr>
        <w:t>CDD26</w:t>
      </w:r>
      <w:r>
        <w:t xml:space="preserve">—— 空调度日数：根据 </w:t>
      </w:r>
      <w:r>
        <w:rPr>
          <w:rFonts w:hint="eastAsia"/>
        </w:rPr>
        <w:t>GB 50189</w:t>
      </w:r>
      <w:r>
        <w:t>，建筑节能综合指标限值中的耗冷量指标（q</w:t>
      </w:r>
      <w:r>
        <w:rPr>
          <w:rFonts w:hint="eastAsia"/>
        </w:rPr>
        <w:t>c</w:t>
      </w:r>
      <w:r>
        <w:t>）和空调年耗电量（E</w:t>
      </w:r>
      <w:r>
        <w:rPr>
          <w:rFonts w:hint="eastAsia"/>
        </w:rPr>
        <w:t>c</w:t>
      </w:r>
      <w:r>
        <w:t>）是根据建筑所在地的空调度日数（</w:t>
      </w:r>
      <w:r>
        <w:rPr>
          <w:rFonts w:hint="eastAsia"/>
        </w:rPr>
        <w:t>CDD26</w:t>
      </w:r>
      <w:r>
        <w:t xml:space="preserve">）确定的。空调度日数的计算为：一年中当某天室外日平均温度高于 </w:t>
      </w:r>
      <w:r>
        <w:rPr>
          <w:rFonts w:hint="eastAsia"/>
        </w:rPr>
        <w:t>26 ℃</w:t>
      </w:r>
      <w:r>
        <w:t xml:space="preserve">时，将高于 </w:t>
      </w:r>
      <w:r>
        <w:rPr>
          <w:rFonts w:hint="eastAsia"/>
        </w:rPr>
        <w:t>26 ℃</w:t>
      </w:r>
      <w:r>
        <w:t>的度数乘以一天，再将此乘积累加。</w:t>
      </w:r>
    </w:p>
    <w:p w14:paraId="11CF8228">
      <w:pPr>
        <w:bidi w:val="0"/>
        <w:spacing w:line="360" w:lineRule="auto"/>
      </w:pPr>
      <w:r>
        <w:t>利用全年的空调度日数对制冷站总能源基准中受室外天气变化影响的那部分能源基准进行修正。制冷调整系数 K</w:t>
      </w:r>
      <w:r>
        <w:rPr>
          <w:rFonts w:hint="eastAsia"/>
        </w:rPr>
        <w:t>cool=</w:t>
      </w:r>
      <w:r>
        <w:t>（</w:t>
      </w:r>
      <w:r>
        <w:rPr>
          <w:rFonts w:hint="eastAsia"/>
        </w:rPr>
        <w:t>CDD202×/CDDbaseline</w:t>
      </w:r>
      <w:r>
        <w:t>）</w:t>
      </w:r>
    </w:p>
    <w:p w14:paraId="058FB5AB">
      <w:pPr>
        <w:bidi w:val="0"/>
        <w:spacing w:line="360" w:lineRule="auto"/>
      </w:pPr>
      <w:r>
        <w:t xml:space="preserve">例：若 </w:t>
      </w:r>
      <w:r>
        <w:rPr>
          <w:rFonts w:hint="eastAsia"/>
        </w:rPr>
        <w:t xml:space="preserve">2024 </w:t>
      </w:r>
      <w:r>
        <w:t>年空调度日数如下。</w:t>
      </w:r>
    </w:p>
    <w:p w14:paraId="0616D18C">
      <w:pPr>
        <w:bidi w:val="0"/>
      </w:pPr>
    </w:p>
    <w:tbl>
      <w:tblPr>
        <w:tblStyle w:val="9"/>
        <w:tblW w:w="0" w:type="auto"/>
        <w:tblInd w:w="473"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3795"/>
        <w:gridCol w:w="5548"/>
      </w:tblGrid>
      <w:tr w14:paraId="7A8A8F88">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3" w:hRule="atLeast"/>
        </w:trPr>
        <w:tc>
          <w:tcPr>
            <w:tcW w:w="3795" w:type="dxa"/>
            <w:tcBorders>
              <w:right w:val="single" w:color="231F20" w:sz="4" w:space="0"/>
            </w:tcBorders>
          </w:tcPr>
          <w:p w14:paraId="1A92C64A">
            <w:pPr>
              <w:bidi w:val="0"/>
            </w:pPr>
            <w:r>
              <w:rPr>
                <w:rFonts w:hint="eastAsia"/>
              </w:rPr>
              <w:t xml:space="preserve">2023 </w:t>
            </w:r>
            <w:r>
              <w:t>年基准空调度日数</w:t>
            </w:r>
          </w:p>
        </w:tc>
        <w:tc>
          <w:tcPr>
            <w:tcW w:w="5548" w:type="dxa"/>
            <w:tcBorders>
              <w:left w:val="single" w:color="231F20" w:sz="4" w:space="0"/>
            </w:tcBorders>
          </w:tcPr>
          <w:p w14:paraId="24D78FAB">
            <w:pPr>
              <w:bidi w:val="0"/>
            </w:pPr>
            <w:r>
              <w:rPr>
                <w:rFonts w:hint="eastAsia"/>
              </w:rPr>
              <w:t xml:space="preserve">2024 </w:t>
            </w:r>
            <w:r>
              <w:t>年空调度日数</w:t>
            </w:r>
          </w:p>
        </w:tc>
      </w:tr>
      <w:tr w14:paraId="380C355D">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5" w:hRule="atLeast"/>
        </w:trPr>
        <w:tc>
          <w:tcPr>
            <w:tcW w:w="3795" w:type="dxa"/>
            <w:tcBorders>
              <w:bottom w:val="single" w:color="231F20" w:sz="4" w:space="0"/>
              <w:right w:val="single" w:color="231F20" w:sz="4" w:space="0"/>
            </w:tcBorders>
          </w:tcPr>
          <w:p w14:paraId="68953DCF">
            <w:pPr>
              <w:bidi w:val="0"/>
            </w:pPr>
            <w:r>
              <w:rPr>
                <w:rFonts w:hint="eastAsia"/>
              </w:rPr>
              <w:t>CDDbaselin</w:t>
            </w:r>
            <w:r>
              <w:t>（</w:t>
            </w:r>
            <w:r>
              <w:rPr>
                <w:rFonts w:hint="eastAsia"/>
              </w:rPr>
              <w:t>e  CDD26</w:t>
            </w:r>
            <w:r>
              <w:t>）</w:t>
            </w:r>
          </w:p>
        </w:tc>
        <w:tc>
          <w:tcPr>
            <w:tcW w:w="5548" w:type="dxa"/>
            <w:tcBorders>
              <w:left w:val="single" w:color="231F20" w:sz="4" w:space="0"/>
              <w:bottom w:val="single" w:color="231F20" w:sz="4" w:space="0"/>
            </w:tcBorders>
          </w:tcPr>
          <w:p w14:paraId="32ED1241">
            <w:pPr>
              <w:bidi w:val="0"/>
            </w:pPr>
            <w:r>
              <w:rPr>
                <w:rFonts w:hint="eastAsia"/>
              </w:rPr>
              <w:t>CDD202</w:t>
            </w:r>
            <w:r>
              <w:t>（</w:t>
            </w:r>
            <w:r>
              <w:rPr>
                <w:rFonts w:hint="eastAsia"/>
              </w:rPr>
              <w:t>4  CDD26</w:t>
            </w:r>
            <w:r>
              <w:t>）</w:t>
            </w:r>
          </w:p>
        </w:tc>
      </w:tr>
      <w:tr w14:paraId="1401232C">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5" w:hRule="atLeast"/>
        </w:trPr>
        <w:tc>
          <w:tcPr>
            <w:tcW w:w="3795" w:type="dxa"/>
            <w:tcBorders>
              <w:top w:val="single" w:color="231F20" w:sz="4" w:space="0"/>
              <w:right w:val="single" w:color="231F20" w:sz="4" w:space="0"/>
            </w:tcBorders>
          </w:tcPr>
          <w:p w14:paraId="230579C5">
            <w:pPr>
              <w:bidi w:val="0"/>
            </w:pPr>
            <w:r>
              <w:t>156</w:t>
            </w:r>
          </w:p>
        </w:tc>
        <w:tc>
          <w:tcPr>
            <w:tcW w:w="5548" w:type="dxa"/>
            <w:tcBorders>
              <w:top w:val="single" w:color="231F20" w:sz="4" w:space="0"/>
              <w:left w:val="single" w:color="231F20" w:sz="4" w:space="0"/>
            </w:tcBorders>
          </w:tcPr>
          <w:p w14:paraId="07795D3D">
            <w:pPr>
              <w:bidi w:val="0"/>
            </w:pPr>
            <w:r>
              <w:t>163</w:t>
            </w:r>
          </w:p>
        </w:tc>
      </w:tr>
    </w:tbl>
    <w:p w14:paraId="60F7CC37">
      <w:pPr>
        <w:bidi w:val="0"/>
      </w:pPr>
      <w:r>
        <w:t>则：制冷调整系数 K</w:t>
      </w:r>
      <w:r>
        <w:rPr>
          <w:rFonts w:hint="eastAsia"/>
        </w:rPr>
        <w:t>cool=</w:t>
      </w:r>
      <w:r>
        <w:t>（</w:t>
      </w:r>
      <w:r>
        <w:rPr>
          <w:rFonts w:hint="eastAsia"/>
        </w:rPr>
        <w:t>CDD2024/CDDbaseline</w:t>
      </w:r>
      <w:r>
        <w:t>）</w:t>
      </w:r>
      <w:r>
        <w:rPr>
          <w:rFonts w:hint="eastAsia"/>
        </w:rPr>
        <w:t>=</w:t>
      </w:r>
      <w:r>
        <w:t>（</w:t>
      </w:r>
      <w:r>
        <w:rPr>
          <w:rFonts w:hint="eastAsia"/>
        </w:rPr>
        <w:t>163/156)=1.047</w:t>
      </w:r>
      <w:r>
        <w:t>。</w:t>
      </w:r>
    </w:p>
    <w:p w14:paraId="2B07DE19">
      <w:pPr>
        <w:bidi w:val="0"/>
      </w:pPr>
      <w:r>
        <w:t>（一）空调设备电耗调整规则</w:t>
      </w:r>
    </w:p>
    <w:p w14:paraId="364154B0">
      <w:pPr>
        <w:bidi w:val="0"/>
      </w:pPr>
      <w:r>
        <w:t>空调面积变化调整规则</w:t>
      </w:r>
    </w:p>
    <w:p w14:paraId="2F634643">
      <w:pPr>
        <w:bidi w:val="0"/>
      </w:pPr>
      <w:r>
        <w:t>以合同签订时的空调面积为基准。若当年制冷站负担的空调面积有所增加或减少，应根据制冷站负 担的空调面积进行修正，计算当年新增或减少面积占改造前建筑面积的比例，并按此比例调整相应能源 基准及相应节能量。</w:t>
      </w:r>
    </w:p>
    <w:p w14:paraId="6723AAED">
      <w:pPr>
        <w:bidi w:val="0"/>
        <w:sectPr>
          <w:type w:val="continuous"/>
          <w:pgSz w:w="12250" w:h="17180"/>
          <w:pgMar w:top="600" w:right="1020" w:bottom="280" w:left="1120" w:header="720" w:footer="720" w:gutter="0"/>
          <w:cols w:space="720" w:num="1"/>
        </w:sectPr>
      </w:pPr>
    </w:p>
    <w:p w14:paraId="20A3F07F">
      <w:pPr>
        <w:bidi w:val="0"/>
      </w:pPr>
    </w:p>
    <w:p w14:paraId="57DBE881">
      <w:pPr>
        <w:bidi w:val="0"/>
      </w:pPr>
      <w:r>
        <w:t>式中：</w:t>
      </w:r>
    </w:p>
    <w:p w14:paraId="65A7A636">
      <w:pPr>
        <w:bidi w:val="0"/>
        <w:rPr>
          <w:rFonts w:hint="eastAsia"/>
        </w:rPr>
      </w:pPr>
      <w:r>
        <w:br w:type="column"/>
      </w:r>
      <w:r>
        <w:t>空调面积调整系数 K</w:t>
      </w:r>
      <w:r>
        <w:rPr>
          <w:rFonts w:hint="eastAsia"/>
        </w:rPr>
        <w:t>A</w:t>
      </w:r>
      <w:r>
        <w:t>＝A</w:t>
      </w:r>
      <w:r>
        <w:rPr>
          <w:rFonts w:hint="eastAsia"/>
        </w:rPr>
        <w:t>after/</w:t>
      </w:r>
      <w:r>
        <w:t>A</w:t>
      </w:r>
      <w:r>
        <w:rPr>
          <w:rFonts w:hint="eastAsia"/>
        </w:rPr>
        <w:t>before</w:t>
      </w:r>
    </w:p>
    <w:p w14:paraId="2E5A9D33">
      <w:pPr>
        <w:bidi w:val="0"/>
        <w:rPr>
          <w:rFonts w:hint="eastAsia"/>
        </w:rPr>
        <w:sectPr>
          <w:type w:val="continuous"/>
          <w:pgSz w:w="12250" w:h="17180"/>
          <w:pgMar w:top="600" w:right="1020" w:bottom="280" w:left="1120" w:header="720" w:footer="720" w:gutter="0"/>
          <w:cols w:equalWidth="0" w:num="2">
            <w:col w:w="1550" w:space="1171"/>
            <w:col w:w="7389"/>
          </w:cols>
        </w:sectPr>
      </w:pPr>
    </w:p>
    <w:p w14:paraId="43435E7F">
      <w:pPr>
        <w:bidi w:val="0"/>
      </w:pPr>
      <w:r>
        <w:t>式中：</w:t>
      </w:r>
    </w:p>
    <w:p w14:paraId="6E009F6C">
      <w:pPr>
        <w:bidi w:val="0"/>
      </w:pPr>
      <w:r>
        <w:t>P</w:t>
      </w:r>
      <w:r>
        <w:rPr>
          <w:rFonts w:hint="eastAsia"/>
        </w:rPr>
        <w:t xml:space="preserve">after </w:t>
      </w:r>
      <w:r>
        <w:t>——改造后常驻人员数；</w:t>
      </w:r>
    </w:p>
    <w:p w14:paraId="09AC5E47">
      <w:pPr>
        <w:bidi w:val="0"/>
      </w:pPr>
      <w:r>
        <w:t>P</w:t>
      </w:r>
      <w:r>
        <w:rPr>
          <w:rFonts w:hint="eastAsia"/>
        </w:rPr>
        <w:t>before</w:t>
      </w:r>
      <w:r>
        <w:t>——改造前常驻人员数，为</w:t>
      </w:r>
      <w:r>
        <w:rPr>
          <w:rFonts w:hint="eastAsia"/>
        </w:rPr>
        <w:t>××</w:t>
      </w:r>
      <w:r>
        <w:t>人。</w:t>
      </w:r>
    </w:p>
    <w:p w14:paraId="552B2898">
      <w:pPr>
        <w:bidi w:val="0"/>
      </w:pPr>
      <w:r>
        <w:t>空调正常工作时间变化调整规则</w:t>
      </w:r>
    </w:p>
    <w:p w14:paraId="4A124A1A">
      <w:pPr>
        <w:bidi w:val="0"/>
      </w:pPr>
      <w:r>
        <w:t>本大楼正常工作时间为周一至周五，每天</w:t>
      </w:r>
      <w:r>
        <w:rPr>
          <w:rFonts w:hint="eastAsia"/>
        </w:rPr>
        <w:t>××</w:t>
      </w:r>
      <w:r>
        <w:t>点到</w:t>
      </w:r>
      <w:r>
        <w:rPr>
          <w:rFonts w:hint="eastAsia"/>
        </w:rPr>
        <w:t>××</w:t>
      </w:r>
      <w:r>
        <w:t>点。若大楼办公区域功能发生改变导致正常 工作时间延长，应按照工作时间延长相应调整能源基准及节能量。</w:t>
      </w:r>
    </w:p>
    <w:p w14:paraId="04029DFE">
      <w:pPr>
        <w:bidi w:val="0"/>
      </w:pPr>
      <w:r>
        <w:t>空调设备容量变化调整规则</w:t>
      </w:r>
    </w:p>
    <w:p w14:paraId="319C846B">
      <w:pPr>
        <w:bidi w:val="0"/>
      </w:pPr>
      <w:r>
        <w:t>新风及空调机组设备按照托管前确定的清单为准。如果未来发生设备的扩容或者变更等情况，应由 双方协商重新根据实际情况调整电耗基准和节能量。</w:t>
      </w:r>
    </w:p>
    <w:p w14:paraId="5EEE6FE5">
      <w:pPr>
        <w:bidi w:val="0"/>
      </w:pPr>
      <w:r>
        <w:t>新风及空调机组如由于使用需求的变化（例如加班等或者其他不可控因素）导致的明显延长，双方协 商重新确定电耗基准。</w:t>
      </w:r>
    </w:p>
    <w:p w14:paraId="4355FD38">
      <w:pPr>
        <w:bidi w:val="0"/>
      </w:pPr>
      <w:r>
        <w:t>空调柜机及新风机的数量及设备清单见可研报告，其他设备见前文，未列设备参见竣工图和设备 清单。</w:t>
      </w:r>
    </w:p>
    <w:p w14:paraId="5564C262">
      <w:pPr>
        <w:bidi w:val="0"/>
      </w:pPr>
      <w:r>
        <w:t>若当前主要设备和系统（以合同正文和附件中所述为准）发生改变，或部分系统实施升级改造、扩建</w:t>
      </w:r>
    </w:p>
    <w:p w14:paraId="00DE2EBF">
      <w:pPr>
        <w:bidi w:val="0"/>
      </w:pPr>
      <w:r>
        <w:t>（例如照明系统和数据中心的空调系统等），双方应重新评估计算电耗基准，重新约定担保的节能量。</w:t>
      </w:r>
    </w:p>
    <w:p w14:paraId="652519EA">
      <w:pPr>
        <w:bidi w:val="0"/>
      </w:pPr>
      <w:r>
        <w:t>恒温恒湿空调设备以托管前设备为基准。在托管期内，涉及数据机房的改动均需提前通知节能服务 公司。由于数据机房功能变化、设备增加等导致的恒温恒湿设备的扩容或者改造等一切变化，影响电耗 基准和节能量时，双方需重新协商电耗基准。</w:t>
      </w:r>
    </w:p>
    <w:p w14:paraId="6716386E">
      <w:pPr>
        <w:bidi w:val="0"/>
      </w:pPr>
      <w:r>
        <w:t>建筑用能变化导致空调负荷变化调整规则</w:t>
      </w:r>
    </w:p>
    <w:p w14:paraId="17047578">
      <w:pPr>
        <w:bidi w:val="0"/>
      </w:pPr>
      <w:r>
        <w:t xml:space="preserve">由于以上第 </w:t>
      </w:r>
      <w:r>
        <w:rPr>
          <w:rFonts w:hint="eastAsia"/>
        </w:rPr>
        <w:t xml:space="preserve">1 </w:t>
      </w:r>
      <w:r>
        <w:t>条</w:t>
      </w:r>
      <w:r>
        <w:rPr>
          <w:rFonts w:hint="eastAsia"/>
        </w:rPr>
        <w:t>~</w:t>
      </w:r>
      <w:r>
        <w:t xml:space="preserve">第 </w:t>
      </w:r>
      <w:r>
        <w:rPr>
          <w:rFonts w:hint="eastAsia"/>
        </w:rPr>
        <w:t xml:space="preserve">4 </w:t>
      </w:r>
      <w:r>
        <w:t>条发生调整，应对制冷站能源基准进行调整。改造前一年制冷站能源基准数据 E</w:t>
      </w:r>
      <w:r>
        <w:rPr>
          <w:rFonts w:hint="eastAsia"/>
        </w:rPr>
        <w:t>chiller⁃base0</w:t>
      </w:r>
      <w:r>
        <w:t>：</w:t>
      </w:r>
    </w:p>
    <w:tbl>
      <w:tblPr>
        <w:tblStyle w:val="9"/>
        <w:tblW w:w="0" w:type="auto"/>
        <w:tblInd w:w="19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4608"/>
        <w:gridCol w:w="4735"/>
      </w:tblGrid>
      <w:tr w14:paraId="52D6DCAB">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3" w:hRule="atLeast"/>
        </w:trPr>
        <w:tc>
          <w:tcPr>
            <w:tcW w:w="4608" w:type="dxa"/>
            <w:tcBorders>
              <w:right w:val="single" w:color="231F20" w:sz="4" w:space="0"/>
            </w:tcBorders>
          </w:tcPr>
          <w:p w14:paraId="7CB76455">
            <w:pPr>
              <w:bidi w:val="0"/>
            </w:pPr>
            <w:r>
              <w:rPr>
                <w:rFonts w:hint="eastAsia"/>
              </w:rPr>
              <w:t>××××</w:t>
            </w:r>
            <w:r>
              <w:t>年</w:t>
            </w:r>
          </w:p>
        </w:tc>
        <w:tc>
          <w:tcPr>
            <w:tcW w:w="4735" w:type="dxa"/>
            <w:tcBorders>
              <w:left w:val="single" w:color="231F20" w:sz="4" w:space="0"/>
            </w:tcBorders>
          </w:tcPr>
          <w:p w14:paraId="0966B8A8">
            <w:pPr>
              <w:bidi w:val="0"/>
            </w:pPr>
            <w:r>
              <w:rPr>
                <w:rFonts w:hint="eastAsia"/>
              </w:rPr>
              <w:t xml:space="preserve">2023 </w:t>
            </w:r>
            <w:r>
              <w:t>年</w:t>
            </w:r>
          </w:p>
        </w:tc>
      </w:tr>
      <w:tr w14:paraId="6F5C50C1">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53" w:hRule="atLeast"/>
        </w:trPr>
        <w:tc>
          <w:tcPr>
            <w:tcW w:w="4608" w:type="dxa"/>
            <w:tcBorders>
              <w:right w:val="single" w:color="231F20" w:sz="4" w:space="0"/>
            </w:tcBorders>
          </w:tcPr>
          <w:p w14:paraId="76752E3A">
            <w:pPr>
              <w:bidi w:val="0"/>
            </w:pPr>
            <w:r>
              <w:t xml:space="preserve">制冷站用电量（万 </w:t>
            </w:r>
            <w:r>
              <w:rPr>
                <w:rFonts w:hint="eastAsia"/>
              </w:rPr>
              <w:t>kWh</w:t>
            </w:r>
            <w:r>
              <w:t>）</w:t>
            </w:r>
          </w:p>
        </w:tc>
        <w:tc>
          <w:tcPr>
            <w:tcW w:w="4735" w:type="dxa"/>
            <w:tcBorders>
              <w:left w:val="single" w:color="231F20" w:sz="4" w:space="0"/>
            </w:tcBorders>
          </w:tcPr>
          <w:p w14:paraId="73CE68FF">
            <w:pPr>
              <w:bidi w:val="0"/>
            </w:pPr>
            <w:r>
              <w:t>××</w:t>
            </w:r>
          </w:p>
        </w:tc>
      </w:tr>
    </w:tbl>
    <w:p w14:paraId="49FAAC65">
      <w:pPr>
        <w:bidi w:val="0"/>
      </w:pPr>
      <w:r>
        <w:t>托管后将增加多功能电表计量制冷站电量。实时记录，并逐月统计，由于上面多种因素所引起的制 冷站基准能耗及总电耗基准变化按如下公式进行调整：</w:t>
      </w:r>
    </w:p>
    <w:p w14:paraId="0ADD8E19">
      <w:pPr>
        <w:bidi w:val="0"/>
      </w:pPr>
      <w:r>
        <w:t>Echiller⁃base=KA×Kcool×KP×KI×Echiller⁃base0</w:t>
      </w:r>
    </w:p>
    <w:p w14:paraId="3387076D">
      <w:pPr>
        <w:bidi w:val="0"/>
      </w:pPr>
      <w:r>
        <w:t>式中：</w:t>
      </w:r>
    </w:p>
    <w:p w14:paraId="50C8A3CF">
      <w:pPr>
        <w:bidi w:val="0"/>
      </w:pPr>
      <w:r>
        <w:t>E</w:t>
      </w:r>
      <w:r>
        <w:rPr>
          <w:rFonts w:hint="eastAsia"/>
        </w:rPr>
        <w:t xml:space="preserve">chiller⁃base0 </w:t>
      </w:r>
      <w:r>
        <w:t>——制冷站用电量基准（基于合同签订前一年全年统计数据），为</w:t>
      </w:r>
      <w:r>
        <w:rPr>
          <w:rFonts w:hint="eastAsia"/>
        </w:rPr>
        <w:t>××</w:t>
      </w:r>
      <w:r>
        <w:t xml:space="preserve">万 </w:t>
      </w:r>
      <w:r>
        <w:rPr>
          <w:rFonts w:hint="eastAsia"/>
        </w:rPr>
        <w:t>kWh</w:t>
      </w:r>
      <w:r>
        <w:t>；</w:t>
      </w:r>
    </w:p>
    <w:p w14:paraId="27702A97">
      <w:pPr>
        <w:bidi w:val="0"/>
      </w:pPr>
      <w:r>
        <w:t>E</w:t>
      </w:r>
      <w:r>
        <w:rPr>
          <w:rFonts w:hint="eastAsia"/>
        </w:rPr>
        <w:t xml:space="preserve">chiller⁃base </w:t>
      </w:r>
      <w:r>
        <w:t>——修正后制冷站用电量基准；</w:t>
      </w:r>
    </w:p>
    <w:p w14:paraId="6EAAB86C">
      <w:pPr>
        <w:bidi w:val="0"/>
      </w:pPr>
      <w:r>
        <w:t>K</w:t>
      </w:r>
      <w:r>
        <w:rPr>
          <w:rFonts w:hint="eastAsia"/>
        </w:rPr>
        <w:t xml:space="preserve">A      </w:t>
      </w:r>
      <w:r>
        <w:t>——空调面积修正系数； K</w:t>
      </w:r>
      <w:r>
        <w:rPr>
          <w:rFonts w:hint="eastAsia"/>
        </w:rPr>
        <w:t xml:space="preserve">cool      </w:t>
      </w:r>
      <w:r>
        <w:t>——室外天气修正系数； K</w:t>
      </w:r>
      <w:r>
        <w:rPr>
          <w:rFonts w:hint="eastAsia"/>
        </w:rPr>
        <w:t xml:space="preserve">P </w:t>
      </w:r>
      <w:r>
        <w:t>——常驻人员修正系数； K</w:t>
      </w:r>
      <w:r>
        <w:rPr>
          <w:rFonts w:hint="eastAsia"/>
        </w:rPr>
        <w:t xml:space="preserve">I </w:t>
      </w:r>
      <w:r>
        <w:t>——其他修正系数。</w:t>
      </w:r>
    </w:p>
    <w:p w14:paraId="62D85D88">
      <w:pPr>
        <w:bidi w:val="0"/>
      </w:pPr>
      <w:r>
        <w:t>如果托管期内实际发生的电量与基准值的偏差</w:t>
      </w:r>
      <w:r>
        <w:rPr>
          <w:rFonts w:hint="eastAsia"/>
        </w:rPr>
        <w:t xml:space="preserve">≥±1% </w:t>
      </w:r>
      <w:r>
        <w:t>时，根据以上公式当月提出对能源基准进行修正；如果偏差</w:t>
      </w:r>
      <w:r>
        <w:rPr>
          <w:rFonts w:hint="eastAsia"/>
        </w:rPr>
        <w:t xml:space="preserve">&lt;±1% </w:t>
      </w:r>
      <w:r>
        <w:t>时，暂不修正，当累计偏差</w:t>
      </w:r>
      <w:r>
        <w:rPr>
          <w:rFonts w:hint="eastAsia"/>
        </w:rPr>
        <w:t xml:space="preserve">≥±1% </w:t>
      </w:r>
      <w:r>
        <w:t>时统一修正。相关的修正参数计算方法详见前文。</w:t>
      </w:r>
    </w:p>
    <w:p w14:paraId="196C6BB9">
      <w:pPr>
        <w:bidi w:val="0"/>
      </w:pPr>
      <w:r>
        <w:t>当实际运行时上述条件发生变化时，按照规定的修正方法予以修正。</w:t>
      </w:r>
    </w:p>
    <w:p w14:paraId="32C62FD2">
      <w:pPr>
        <w:bidi w:val="0"/>
      </w:pPr>
      <w:r>
        <w:t>（二）一般用电设备电耗调整规则</w:t>
      </w:r>
    </w:p>
    <w:p w14:paraId="318D75F3">
      <w:pPr>
        <w:bidi w:val="0"/>
      </w:pPr>
      <w:r>
        <w:t>一般用电设备能耗调整规则</w:t>
      </w:r>
    </w:p>
    <w:p w14:paraId="601C37F6">
      <w:pPr>
        <w:bidi w:val="0"/>
      </w:pPr>
      <w:r>
        <w:t xml:space="preserve">双方以“ 可研报告”及登记造册的设备清单（合同签订 </w:t>
      </w:r>
      <w:r>
        <w:rPr>
          <w:rFonts w:hint="eastAsia"/>
        </w:rPr>
        <w:t xml:space="preserve">12 </w:t>
      </w:r>
      <w:r>
        <w:t xml:space="preserve">个月以前）为基准，托管电量根据实际增加设备的使用耗电情况及时进行调整。用能单位添加或减少用电设备前，应事先书面告知乙方；因用电设 备增减而引起的预测年耗电量的累积总和在年托管基准电量 </w:t>
      </w:r>
      <w:r>
        <w:rPr>
          <w:rFonts w:hint="eastAsia"/>
        </w:rPr>
        <w:t xml:space="preserve">1% </w:t>
      </w:r>
      <w:r>
        <w:t>以内，乙方进行必要的记录核实，托管</w:t>
      </w:r>
    </w:p>
    <w:p w14:paraId="32B1DB76">
      <w:pPr>
        <w:bidi w:val="0"/>
      </w:pPr>
      <w:r>
        <w:t xml:space="preserve">电量基准不予调整；因用电设备增减而引起的预测年耗电量累积超过年托管基准电量 </w:t>
      </w:r>
      <w:r>
        <w:rPr>
          <w:rFonts w:hint="eastAsia"/>
        </w:rPr>
        <w:t xml:space="preserve">1% </w:t>
      </w:r>
      <w:r>
        <w:t>以上的，在添加设备的次月，年托管电量和月托管电量按预测用电量进行相应的增加或减少。</w:t>
      </w:r>
    </w:p>
    <w:p w14:paraId="7DC3EED2">
      <w:pPr>
        <w:bidi w:val="0"/>
      </w:pPr>
      <w:r>
        <w:t>新增设备统计起始时间</w:t>
      </w:r>
    </w:p>
    <w:p w14:paraId="20CB555E">
      <w:pPr>
        <w:bidi w:val="0"/>
      </w:pPr>
      <w:r>
        <w:t xml:space="preserve">新增设备统计从合同签订前 </w:t>
      </w:r>
      <w:r>
        <w:rPr>
          <w:rFonts w:hint="eastAsia"/>
        </w:rPr>
        <w:t xml:space="preserve">12 </w:t>
      </w:r>
      <w:r>
        <w:t>个月开始计算，按照设备新增的具体时间计算设备电耗增加情况。</w:t>
      </w:r>
    </w:p>
    <w:p w14:paraId="00F2BD16">
      <w:pPr>
        <w:bidi w:val="0"/>
      </w:pPr>
      <w:r>
        <w:t>新增电耗计算方法</w:t>
      </w:r>
    </w:p>
    <w:p w14:paraId="051EE045">
      <w:pPr>
        <w:bidi w:val="0"/>
      </w:pPr>
      <w:r>
        <w:t>增减用电设备的预测年用电量按下式计算：</w:t>
      </w:r>
    </w:p>
    <w:p w14:paraId="527D722F">
      <w:pPr>
        <w:bidi w:val="0"/>
        <w:rPr>
          <w:rFonts w:hint="eastAsia"/>
        </w:rPr>
      </w:pPr>
      <w:r>
        <mc:AlternateContent>
          <mc:Choice Requires="wps">
            <w:drawing>
              <wp:anchor distT="0" distB="0" distL="114300" distR="114300" simplePos="0" relativeHeight="251659264" behindDoc="1" locked="0" layoutInCell="1" allowOverlap="1">
                <wp:simplePos x="0" y="0"/>
                <wp:positionH relativeFrom="page">
                  <wp:posOffset>4170680</wp:posOffset>
                </wp:positionH>
                <wp:positionV relativeFrom="paragraph">
                  <wp:posOffset>159385</wp:posOffset>
                </wp:positionV>
                <wp:extent cx="146685" cy="1028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6685" cy="102870"/>
                        </a:xfrm>
                        <a:prstGeom prst="rect">
                          <a:avLst/>
                        </a:prstGeom>
                        <a:noFill/>
                        <a:ln>
                          <a:noFill/>
                        </a:ln>
                      </wps:spPr>
                      <wps:txbx>
                        <w:txbxContent>
                          <w:p w14:paraId="0501D7AA">
                            <w:pPr>
                              <w:spacing w:before="4"/>
                              <w:ind w:left="0" w:right="0" w:firstLine="0"/>
                              <w:jc w:val="left"/>
                              <w:rPr>
                                <w:rFonts w:ascii="MS PMincho"/>
                                <w:sz w:val="10"/>
                              </w:rPr>
                            </w:pPr>
                            <w:r>
                              <w:rPr>
                                <w:rFonts w:ascii="Palatino Linotype"/>
                                <w:i/>
                                <w:color w:val="231F20"/>
                                <w:w w:val="120"/>
                                <w:sz w:val="10"/>
                              </w:rPr>
                              <w:t xml:space="preserve">i </w:t>
                            </w:r>
                            <w:r>
                              <w:rPr>
                                <w:rFonts w:ascii="MS PMincho"/>
                                <w:color w:val="231F20"/>
                                <w:w w:val="185"/>
                                <w:sz w:val="10"/>
                              </w:rPr>
                              <w:t>=</w:t>
                            </w:r>
                            <w:r>
                              <w:rPr>
                                <w:rFonts w:ascii="MS PMincho"/>
                                <w:color w:val="231F20"/>
                                <w:spacing w:val="-43"/>
                                <w:w w:val="185"/>
                                <w:sz w:val="10"/>
                              </w:rPr>
                              <w:t xml:space="preserve"> </w:t>
                            </w:r>
                            <w:r>
                              <w:rPr>
                                <w:rFonts w:ascii="MS PMincho"/>
                                <w:color w:val="231F20"/>
                                <w:w w:val="120"/>
                                <w:sz w:val="10"/>
                              </w:rPr>
                              <w:t>0</w:t>
                            </w:r>
                          </w:p>
                        </w:txbxContent>
                      </wps:txbx>
                      <wps:bodyPr lIns="0" tIns="0" rIns="0" bIns="0" upright="1"/>
                    </wps:wsp>
                  </a:graphicData>
                </a:graphic>
              </wp:anchor>
            </w:drawing>
          </mc:Choice>
          <mc:Fallback>
            <w:pict>
              <v:shape id="_x0000_s1026" o:spid="_x0000_s1026" o:spt="202" type="#_x0000_t202" style="position:absolute;left:0pt;margin-left:328.4pt;margin-top:12.55pt;height:8.1pt;width:11.55pt;mso-position-horizontal-relative:page;z-index:-251657216;mso-width-relative:page;mso-height-relative:page;" filled="f" stroked="f" coordsize="21600,21600" o:gfxdata="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YCmPm2QAAAAkBAAAPAAAAAAAAAAEAIAAAACIAAABkcnMvZG93bnJldi54bWxQSwEC&#10;FAAUAAAACACHTuJAOG4VQboBAABxAwAADgAAAAAAAAABACAAAAAoAQAAZHJzL2Uyb0RvYy54bWxQ&#10;SwUGAAAAAAYABgBZAQAAVAUAAAAA&#10;">
                <v:fill on="f" focussize="0,0"/>
                <v:stroke on="f"/>
                <v:imagedata o:title=""/>
                <o:lock v:ext="edit" aspectratio="f"/>
                <v:textbox inset="0mm,0mm,0mm,0mm">
                  <w:txbxContent>
                    <w:p w14:paraId="0501D7AA">
                      <w:pPr>
                        <w:spacing w:before="4"/>
                        <w:ind w:left="0" w:right="0" w:firstLine="0"/>
                        <w:jc w:val="left"/>
                        <w:rPr>
                          <w:rFonts w:ascii="MS PMincho"/>
                          <w:sz w:val="10"/>
                        </w:rPr>
                      </w:pPr>
                      <w:r>
                        <w:rPr>
                          <w:rFonts w:ascii="Palatino Linotype"/>
                          <w:i/>
                          <w:color w:val="231F20"/>
                          <w:w w:val="120"/>
                          <w:sz w:val="10"/>
                        </w:rPr>
                        <w:t xml:space="preserve">i </w:t>
                      </w:r>
                      <w:r>
                        <w:rPr>
                          <w:rFonts w:ascii="MS PMincho"/>
                          <w:color w:val="231F20"/>
                          <w:w w:val="185"/>
                          <w:sz w:val="10"/>
                        </w:rPr>
                        <w:t>=</w:t>
                      </w:r>
                      <w:r>
                        <w:rPr>
                          <w:rFonts w:ascii="MS PMincho"/>
                          <w:color w:val="231F20"/>
                          <w:spacing w:val="-43"/>
                          <w:w w:val="185"/>
                          <w:sz w:val="10"/>
                        </w:rPr>
                        <w:t xml:space="preserve"> </w:t>
                      </w:r>
                      <w:r>
                        <w:rPr>
                          <w:rFonts w:ascii="MS PMincho"/>
                          <w:color w:val="231F20"/>
                          <w:w w:val="120"/>
                          <w:sz w:val="10"/>
                        </w:rPr>
                        <w:t>0</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4505325</wp:posOffset>
                </wp:positionH>
                <wp:positionV relativeFrom="paragraph">
                  <wp:posOffset>140335</wp:posOffset>
                </wp:positionV>
                <wp:extent cx="19685" cy="8699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9685" cy="86995"/>
                        </a:xfrm>
                        <a:prstGeom prst="rect">
                          <a:avLst/>
                        </a:prstGeom>
                        <a:noFill/>
                        <a:ln>
                          <a:noFill/>
                        </a:ln>
                      </wps:spPr>
                      <wps:txbx>
                        <w:txbxContent>
                          <w:p w14:paraId="1D937B51">
                            <w:pPr>
                              <w:spacing w:before="4" w:line="132" w:lineRule="exact"/>
                              <w:ind w:left="0" w:right="0" w:firstLine="0"/>
                              <w:jc w:val="left"/>
                              <w:rPr>
                                <w:rFonts w:ascii="Palatino Linotype"/>
                                <w:i/>
                                <w:sz w:val="10"/>
                              </w:rPr>
                            </w:pPr>
                            <w:r>
                              <w:rPr>
                                <w:rFonts w:ascii="Palatino Linotype"/>
                                <w:i/>
                                <w:color w:val="231F20"/>
                                <w:w w:val="110"/>
                                <w:sz w:val="10"/>
                              </w:rPr>
                              <w:t>i</w:t>
                            </w:r>
                          </w:p>
                        </w:txbxContent>
                      </wps:txbx>
                      <wps:bodyPr lIns="0" tIns="0" rIns="0" bIns="0" upright="1"/>
                    </wps:wsp>
                  </a:graphicData>
                </a:graphic>
              </wp:anchor>
            </w:drawing>
          </mc:Choice>
          <mc:Fallback>
            <w:pict>
              <v:shape id="_x0000_s1026" o:spid="_x0000_s1026" o:spt="202" type="#_x0000_t202" style="position:absolute;left:0pt;margin-left:354.75pt;margin-top:11.05pt;height:6.85pt;width:1.55pt;mso-position-horizontal-relative:page;z-index:-251657216;mso-width-relative:page;mso-height-relative:page;" filled="f" stroked="f" coordsize="21600,21600" o:gfxdata="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bkyF9kAAAAJAQAADwAAAAAAAAABACAAAAAiAAAAZHJzL2Rvd25yZXYueG1sUEsBAhQA&#10;FAAAAAgAh07iQB8tRxq4AQAAcQMAAA4AAAAAAAAAAQAgAAAAKAEAAGRycy9lMm9Eb2MueG1sUEsF&#10;BgAAAAAGAAYAWQEAAFIFAAAAAA==&#10;">
                <v:fill on="f" focussize="0,0"/>
                <v:stroke on="f"/>
                <v:imagedata o:title=""/>
                <o:lock v:ext="edit" aspectratio="f"/>
                <v:textbox inset="0mm,0mm,0mm,0mm">
                  <w:txbxContent>
                    <w:p w14:paraId="1D937B51">
                      <w:pPr>
                        <w:spacing w:before="4" w:line="132" w:lineRule="exact"/>
                        <w:ind w:left="0" w:right="0" w:firstLine="0"/>
                        <w:jc w:val="left"/>
                        <w:rPr>
                          <w:rFonts w:ascii="Palatino Linotype"/>
                          <w:i/>
                          <w:sz w:val="10"/>
                        </w:rPr>
                      </w:pPr>
                      <w:r>
                        <w:rPr>
                          <w:rFonts w:ascii="Palatino Linotype"/>
                          <w:i/>
                          <w:color w:val="231F20"/>
                          <w:w w:val="110"/>
                          <w:sz w:val="10"/>
                        </w:rPr>
                        <w:t>i</w:t>
                      </w:r>
                    </w:p>
                  </w:txbxContent>
                </v:textbox>
              </v:shape>
            </w:pict>
          </mc:Fallback>
        </mc:AlternateContent>
      </w:r>
      <w:r>
        <w:t>调整设备用月电量</w:t>
      </w:r>
      <w:r>
        <w:rPr>
          <w:rFonts w:hint="eastAsia"/>
        </w:rPr>
        <w:t>=∑</w:t>
      </w:r>
      <w:r>
        <w:t xml:space="preserve">n    </w:t>
      </w:r>
      <w:r>
        <w:rPr>
          <w:rFonts w:hint="eastAsia"/>
        </w:rPr>
        <w:t xml:space="preserve">( </w:t>
      </w:r>
      <w:r>
        <w:t xml:space="preserve">N  </w:t>
      </w:r>
      <w:r>
        <w:rPr>
          <w:rFonts w:hint="eastAsia"/>
        </w:rPr>
        <w:t xml:space="preserve">× </w:t>
      </w:r>
      <w:r>
        <w:t xml:space="preserve">Q </w:t>
      </w:r>
      <w:r>
        <w:rPr>
          <w:rFonts w:hint="eastAsia"/>
        </w:rPr>
        <w:t xml:space="preserve">× </w:t>
      </w:r>
      <w:r>
        <w:t xml:space="preserve">H </w:t>
      </w:r>
      <w:r>
        <w:rPr>
          <w:rFonts w:hint="eastAsia"/>
        </w:rPr>
        <w:t>)</w:t>
      </w:r>
    </w:p>
    <w:p w14:paraId="6115B338">
      <w:pPr>
        <w:bidi w:val="0"/>
        <w:rPr>
          <w:rFonts w:hint="eastAsia"/>
        </w:rPr>
      </w:pPr>
      <w:r>
        <mc:AlternateContent>
          <mc:Choice Requires="wps">
            <w:drawing>
              <wp:anchor distT="0" distB="0" distL="114300" distR="114300" simplePos="0" relativeHeight="251659264" behindDoc="1" locked="0" layoutInCell="1" allowOverlap="1">
                <wp:simplePos x="0" y="0"/>
                <wp:positionH relativeFrom="page">
                  <wp:posOffset>4304030</wp:posOffset>
                </wp:positionH>
                <wp:positionV relativeFrom="paragraph">
                  <wp:posOffset>162560</wp:posOffset>
                </wp:positionV>
                <wp:extent cx="146685" cy="1028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46685" cy="102870"/>
                        </a:xfrm>
                        <a:prstGeom prst="rect">
                          <a:avLst/>
                        </a:prstGeom>
                        <a:noFill/>
                        <a:ln>
                          <a:noFill/>
                        </a:ln>
                      </wps:spPr>
                      <wps:txbx>
                        <w:txbxContent>
                          <w:p w14:paraId="3C43B5DA">
                            <w:pPr>
                              <w:spacing w:before="4"/>
                              <w:ind w:left="0" w:right="0" w:firstLine="0"/>
                              <w:jc w:val="left"/>
                              <w:rPr>
                                <w:rFonts w:ascii="MS PMincho"/>
                                <w:sz w:val="10"/>
                              </w:rPr>
                            </w:pPr>
                            <w:r>
                              <w:rPr>
                                <w:rFonts w:ascii="Palatino Linotype"/>
                                <w:i/>
                                <w:color w:val="231F20"/>
                                <w:w w:val="120"/>
                                <w:sz w:val="10"/>
                              </w:rPr>
                              <w:t xml:space="preserve">i </w:t>
                            </w:r>
                            <w:r>
                              <w:rPr>
                                <w:rFonts w:ascii="MS PMincho"/>
                                <w:color w:val="231F20"/>
                                <w:w w:val="185"/>
                                <w:sz w:val="10"/>
                              </w:rPr>
                              <w:t>=</w:t>
                            </w:r>
                            <w:r>
                              <w:rPr>
                                <w:rFonts w:ascii="MS PMincho"/>
                                <w:color w:val="231F20"/>
                                <w:spacing w:val="-43"/>
                                <w:w w:val="185"/>
                                <w:sz w:val="10"/>
                              </w:rPr>
                              <w:t xml:space="preserve"> </w:t>
                            </w:r>
                            <w:r>
                              <w:rPr>
                                <w:rFonts w:ascii="MS PMincho"/>
                                <w:color w:val="231F20"/>
                                <w:w w:val="120"/>
                                <w:sz w:val="10"/>
                              </w:rPr>
                              <w:t>0</w:t>
                            </w:r>
                          </w:p>
                        </w:txbxContent>
                      </wps:txbx>
                      <wps:bodyPr lIns="0" tIns="0" rIns="0" bIns="0" upright="1"/>
                    </wps:wsp>
                  </a:graphicData>
                </a:graphic>
              </wp:anchor>
            </w:drawing>
          </mc:Choice>
          <mc:Fallback>
            <w:pict>
              <v:shape id="_x0000_s1026" o:spid="_x0000_s1026" o:spt="202" type="#_x0000_t202" style="position:absolute;left:0pt;margin-left:338.9pt;margin-top:12.8pt;height:8.1pt;width:11.55pt;mso-position-horizontal-relative:page;z-index:-251657216;mso-width-relative:page;mso-height-relative:page;" filled="f" stroked="f" coordsize="21600,21600" o:gfxdata="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3Uj2O2AAAAAkBAAAPAAAAAAAAAAEAIAAAACIAAABkcnMvZG93bnJldi54bWxQSwEC&#10;FAAUAAAACACHTuJAMqS2OLsBAABzAwAADgAAAAAAAAABACAAAAAnAQAAZHJzL2Uyb0RvYy54bWxQ&#10;SwUGAAAAAAYABgBZAQAAVAUAAAAA&#10;">
                <v:fill on="f" focussize="0,0"/>
                <v:stroke on="f"/>
                <v:imagedata o:title=""/>
                <o:lock v:ext="edit" aspectratio="f"/>
                <v:textbox inset="0mm,0mm,0mm,0mm">
                  <w:txbxContent>
                    <w:p w14:paraId="3C43B5DA">
                      <w:pPr>
                        <w:spacing w:before="4"/>
                        <w:ind w:left="0" w:right="0" w:firstLine="0"/>
                        <w:jc w:val="left"/>
                        <w:rPr>
                          <w:rFonts w:ascii="MS PMincho"/>
                          <w:sz w:val="10"/>
                        </w:rPr>
                      </w:pPr>
                      <w:r>
                        <w:rPr>
                          <w:rFonts w:ascii="Palatino Linotype"/>
                          <w:i/>
                          <w:color w:val="231F20"/>
                          <w:w w:val="120"/>
                          <w:sz w:val="10"/>
                        </w:rPr>
                        <w:t xml:space="preserve">i </w:t>
                      </w:r>
                      <w:r>
                        <w:rPr>
                          <w:rFonts w:ascii="MS PMincho"/>
                          <w:color w:val="231F20"/>
                          <w:w w:val="185"/>
                          <w:sz w:val="10"/>
                        </w:rPr>
                        <w:t>=</w:t>
                      </w:r>
                      <w:r>
                        <w:rPr>
                          <w:rFonts w:ascii="MS PMincho"/>
                          <w:color w:val="231F20"/>
                          <w:spacing w:val="-43"/>
                          <w:w w:val="185"/>
                          <w:sz w:val="10"/>
                        </w:rPr>
                        <w:t xml:space="preserve"> </w:t>
                      </w:r>
                      <w:r>
                        <w:rPr>
                          <w:rFonts w:ascii="MS PMincho"/>
                          <w:color w:val="231F20"/>
                          <w:w w:val="120"/>
                          <w:sz w:val="10"/>
                        </w:rPr>
                        <w:t>0</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4638675</wp:posOffset>
                </wp:positionH>
                <wp:positionV relativeFrom="paragraph">
                  <wp:posOffset>143510</wp:posOffset>
                </wp:positionV>
                <wp:extent cx="19685" cy="8699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9685" cy="86995"/>
                        </a:xfrm>
                        <a:prstGeom prst="rect">
                          <a:avLst/>
                        </a:prstGeom>
                        <a:noFill/>
                        <a:ln>
                          <a:noFill/>
                        </a:ln>
                      </wps:spPr>
                      <wps:txbx>
                        <w:txbxContent>
                          <w:p w14:paraId="3A26A5F0">
                            <w:pPr>
                              <w:spacing w:before="4" w:line="132" w:lineRule="exact"/>
                              <w:ind w:left="0" w:right="0" w:firstLine="0"/>
                              <w:jc w:val="left"/>
                              <w:rPr>
                                <w:rFonts w:ascii="Palatino Linotype"/>
                                <w:i/>
                                <w:sz w:val="10"/>
                              </w:rPr>
                            </w:pPr>
                            <w:r>
                              <w:rPr>
                                <w:rFonts w:ascii="Palatino Linotype"/>
                                <w:i/>
                                <w:color w:val="231F20"/>
                                <w:w w:val="110"/>
                                <w:sz w:val="10"/>
                              </w:rPr>
                              <w:t>i</w:t>
                            </w:r>
                          </w:p>
                        </w:txbxContent>
                      </wps:txbx>
                      <wps:bodyPr lIns="0" tIns="0" rIns="0" bIns="0" upright="1"/>
                    </wps:wsp>
                  </a:graphicData>
                </a:graphic>
              </wp:anchor>
            </w:drawing>
          </mc:Choice>
          <mc:Fallback>
            <w:pict>
              <v:shape id="_x0000_s1026" o:spid="_x0000_s1026" o:spt="202" type="#_x0000_t202" style="position:absolute;left:0pt;margin-left:365.25pt;margin-top:11.3pt;height:6.85pt;width:1.55pt;mso-position-horizontal-relative:page;z-index:-251657216;mso-width-relative:page;mso-height-relative:page;" filled="f" stroked="f" coordsize="21600,21600" o:gfxdata="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91ky22AAAAAkBAAAPAAAAAAAAAAEAIAAAACIAAABkcnMvZG93bnJldi54bWxQSwECFAAU&#10;AAAACACHTuJAm+W69LgBAABxAwAADgAAAAAAAAABACAAAAAnAQAAZHJzL2Uyb0RvYy54bWxQSwUG&#10;AAAAAAYABgBZAQAAUQUAAAAA&#10;">
                <v:fill on="f" focussize="0,0"/>
                <v:stroke on="f"/>
                <v:imagedata o:title=""/>
                <o:lock v:ext="edit" aspectratio="f"/>
                <v:textbox inset="0mm,0mm,0mm,0mm">
                  <w:txbxContent>
                    <w:p w14:paraId="3A26A5F0">
                      <w:pPr>
                        <w:spacing w:before="4" w:line="132" w:lineRule="exact"/>
                        <w:ind w:left="0" w:right="0" w:firstLine="0"/>
                        <w:jc w:val="left"/>
                        <w:rPr>
                          <w:rFonts w:ascii="Palatino Linotype"/>
                          <w:i/>
                          <w:sz w:val="10"/>
                        </w:rPr>
                      </w:pPr>
                      <w:r>
                        <w:rPr>
                          <w:rFonts w:ascii="Palatino Linotype"/>
                          <w:i/>
                          <w:color w:val="231F20"/>
                          <w:w w:val="110"/>
                          <w:sz w:val="10"/>
                        </w:rPr>
                        <w:t>i</w:t>
                      </w:r>
                    </w:p>
                  </w:txbxContent>
                </v:textbox>
              </v:shape>
            </w:pict>
          </mc:Fallback>
        </mc:AlternateContent>
      </w:r>
      <w:r>
        <w:t>调整设备用年电量</w:t>
      </w:r>
      <w:r>
        <w:rPr>
          <w:rFonts w:hint="eastAsia"/>
        </w:rPr>
        <w:t>=12×∑</w:t>
      </w:r>
      <w:r>
        <w:t xml:space="preserve">n    </w:t>
      </w:r>
      <w:r>
        <w:rPr>
          <w:rFonts w:hint="eastAsia"/>
        </w:rPr>
        <w:t xml:space="preserve">( </w:t>
      </w:r>
      <w:r>
        <w:t xml:space="preserve">N  </w:t>
      </w:r>
      <w:r>
        <w:rPr>
          <w:rFonts w:hint="eastAsia"/>
        </w:rPr>
        <w:t xml:space="preserve">× </w:t>
      </w:r>
      <w:r>
        <w:t xml:space="preserve">Q </w:t>
      </w:r>
      <w:r>
        <w:rPr>
          <w:rFonts w:hint="eastAsia"/>
        </w:rPr>
        <w:t xml:space="preserve">× </w:t>
      </w:r>
      <w:r>
        <w:t xml:space="preserve">H </w:t>
      </w:r>
      <w:r>
        <w:rPr>
          <w:rFonts w:hint="eastAsia"/>
        </w:rPr>
        <w:t>)</w:t>
      </w:r>
    </w:p>
    <w:p w14:paraId="3394F9BC">
      <w:pPr>
        <w:bidi w:val="0"/>
        <w:rPr>
          <w:rFonts w:hint="eastAsia"/>
        </w:rPr>
        <w:sectPr>
          <w:pgSz w:w="12250" w:h="17180"/>
          <w:pgMar w:top="1440" w:right="1800" w:bottom="1440" w:left="1800" w:header="1532" w:footer="1174" w:gutter="0"/>
          <w:cols w:space="720" w:num="1"/>
        </w:sectPr>
      </w:pPr>
    </w:p>
    <w:p w14:paraId="50FC07F2">
      <w:pPr>
        <w:bidi w:val="0"/>
      </w:pPr>
    </w:p>
    <w:p w14:paraId="3BC94F01">
      <w:pPr>
        <w:bidi w:val="0"/>
      </w:pPr>
    </w:p>
    <w:p w14:paraId="42E1DC2A">
      <w:pPr>
        <w:bidi w:val="0"/>
      </w:pPr>
      <w:r>
        <w:t>式中：</w:t>
      </w:r>
    </w:p>
    <w:p w14:paraId="6B626DDF">
      <w:pPr>
        <w:bidi w:val="0"/>
      </w:pPr>
      <w:r>
        <w:br w:type="column"/>
      </w:r>
      <w:r>
        <w:t>托管月电量＝基准月电量</w:t>
      </w:r>
      <w:r>
        <w:rPr>
          <w:rFonts w:hint="eastAsia"/>
        </w:rPr>
        <w:t>+</w:t>
      </w:r>
      <w:r>
        <w:t>调整设备月用电量托管年电量＝基准年电量</w:t>
      </w:r>
      <w:r>
        <w:rPr>
          <w:rFonts w:hint="eastAsia"/>
        </w:rPr>
        <w:t>+</w:t>
      </w:r>
      <w:r>
        <w:t>调整设备年用电量</w:t>
      </w:r>
    </w:p>
    <w:p w14:paraId="0AD1AD09">
      <w:pPr>
        <w:bidi w:val="0"/>
        <w:sectPr>
          <w:type w:val="continuous"/>
          <w:pgSz w:w="12250" w:h="17180"/>
          <w:pgMar w:top="600" w:right="1020" w:bottom="280" w:left="1120" w:header="720" w:footer="720" w:gutter="0"/>
          <w:cols w:equalWidth="0" w:num="2">
            <w:col w:w="1550" w:space="607"/>
            <w:col w:w="7953"/>
          </w:cols>
        </w:sectPr>
      </w:pPr>
    </w:p>
    <w:p w14:paraId="7BB759AD">
      <w:pPr>
        <w:bidi w:val="0"/>
      </w:pPr>
      <w:r>
        <w:t>Ni——添加或减少的第 i 类用电设备功率（</w:t>
      </w:r>
      <w:r>
        <w:rPr>
          <w:rFonts w:hint="eastAsia"/>
        </w:rPr>
        <w:t>kW</w:t>
      </w:r>
      <w:r>
        <w:t>），i</w:t>
      </w:r>
      <w:r>
        <w:rPr>
          <w:rFonts w:hint="eastAsia"/>
        </w:rPr>
        <w:t>∝</w:t>
      </w:r>
      <w:r>
        <w:t>（</w:t>
      </w:r>
      <w:r>
        <w:rPr>
          <w:rFonts w:hint="eastAsia"/>
        </w:rPr>
        <w:t>1~</w:t>
      </w:r>
      <w:r>
        <w:t>n）；</w:t>
      </w:r>
    </w:p>
    <w:p w14:paraId="600DAF63">
      <w:pPr>
        <w:bidi w:val="0"/>
      </w:pPr>
      <w:r>
        <w:t>Q——添加或减少的第 i 类用电设备数量（台）；</w:t>
      </w:r>
    </w:p>
    <w:p w14:paraId="25A22661">
      <w:pPr>
        <w:bidi w:val="0"/>
      </w:pPr>
      <w:r>
        <w:t>H——添加或减少的第 i 类用电设备月运行时间（小时）。</w:t>
      </w:r>
    </w:p>
    <w:p w14:paraId="7F513F13">
      <w:pPr>
        <w:bidi w:val="0"/>
      </w:pPr>
      <w:r>
        <w:t>（三）托管电量调整触发条件</w:t>
      </w:r>
    </w:p>
    <w:p w14:paraId="22A8EBE4">
      <w:pPr>
        <w:bidi w:val="0"/>
      </w:pPr>
      <w:r>
        <w:t xml:space="preserve">用能单位添加或减少用电设备前，应事先书面告知乙方；因用电设备增减而引起的预测年耗电量的 累积总和在年托管基准电量 </w:t>
      </w:r>
      <w:r>
        <w:rPr>
          <w:rFonts w:hint="eastAsia"/>
        </w:rPr>
        <w:t xml:space="preserve">1% </w:t>
      </w:r>
      <w:r>
        <w:t>以内，乙方进行必要的记录核实，托管电量基准不予调整；因用电设备增</w:t>
      </w:r>
    </w:p>
    <w:p w14:paraId="114F418B">
      <w:pPr>
        <w:bidi w:val="0"/>
      </w:pPr>
      <w:r>
        <w:t xml:space="preserve">减而引起的预测年耗电量累积超过年托管基准电量 </w:t>
      </w:r>
      <w:r>
        <w:rPr>
          <w:rFonts w:hint="eastAsia"/>
        </w:rPr>
        <w:t xml:space="preserve">1% </w:t>
      </w:r>
      <w:r>
        <w:t>以上的，在添加设备的次月，年托管电量和月托管电量按预测用电量进行相应的增加或减少。</w:t>
      </w:r>
    </w:p>
    <w:p w14:paraId="7ECD903C">
      <w:pPr>
        <w:bidi w:val="0"/>
      </w:pPr>
      <w:r>
        <w:t>（四）托管电量调整的确认办法</w:t>
      </w:r>
    </w:p>
    <w:p w14:paraId="662A662B">
      <w:pPr>
        <w:bidi w:val="0"/>
      </w:pPr>
      <w:r>
        <w:t>甲方应定期将设备增减情况及上述使用规律变动情况通知乙方。</w:t>
      </w:r>
    </w:p>
    <w:p w14:paraId="722694B9">
      <w:pPr>
        <w:bidi w:val="0"/>
      </w:pPr>
      <w:r>
        <w:t>乙方应按上述要求及时收集影响托管电量调整的各种因素，编写托管电量调整清单，并报甲方 审核。</w:t>
      </w:r>
    </w:p>
    <w:p w14:paraId="0D322338">
      <w:pPr>
        <w:bidi w:val="0"/>
      </w:pPr>
      <w:r>
        <w:t>原则上甲方应在一个月内完成审核、确认托管电量调整清单。</w:t>
      </w:r>
    </w:p>
    <w:p w14:paraId="4179550F">
      <w:pPr>
        <w:bidi w:val="0"/>
      </w:pPr>
      <w:r>
        <w:t>甲乙双方不再另行签订托管电量调整的补充协议。</w:t>
      </w:r>
    </w:p>
    <w:p w14:paraId="11AFE04F">
      <w:pPr>
        <w:bidi w:val="0"/>
      </w:pPr>
      <w:r>
        <w:t>（五）托管电价调整办法</w:t>
      </w:r>
    </w:p>
    <w:p w14:paraId="78C28206">
      <w:pPr>
        <w:bidi w:val="0"/>
      </w:pPr>
      <w:r>
        <w:t>托管电价以当期物价部门或电力部门颁布的执行电价为准。</w:t>
      </w:r>
    </w:p>
    <w:p w14:paraId="26CEA38F">
      <w:pPr>
        <w:bidi w:val="0"/>
      </w:pPr>
      <w:r>
        <w:t>甲乙双方应及时告知对方电价变动情况，乙方负责编写因电价变动引起的托管电费调整清单（或 与托管电量调整清单一同编制），并报甲方主管部门审核。</w:t>
      </w:r>
    </w:p>
    <w:p w14:paraId="2E298587">
      <w:pPr>
        <w:bidi w:val="0"/>
      </w:pPr>
      <w:r>
        <w:t>原则上甲方主管部门应在两周内完成审核、确认托管电费调整清单。</w:t>
      </w:r>
    </w:p>
    <w:p w14:paraId="69E35278">
      <w:pPr>
        <w:bidi w:val="0"/>
      </w:pPr>
      <w:r>
        <w:t>甲乙双方不再另行签订托管电价调整的补充协议。</w:t>
      </w:r>
    </w:p>
    <w:p w14:paraId="182FCE14">
      <w:pPr>
        <w:bidi w:val="0"/>
      </w:pPr>
      <w:r>
        <w:t>（六）托管电价调整时间</w:t>
      </w:r>
    </w:p>
    <w:p w14:paraId="240BCC7A">
      <w:pPr>
        <w:bidi w:val="0"/>
      </w:pPr>
      <w:r>
        <w:t>托管电量每季度调整一次（或双方协商的时间、周期），对发生在调整日之前的调整电量按照以上调 整办法采取多退少补一次性调整，发生在调整日之后的电量按照调整后的基准电量进行结算。</w:t>
      </w:r>
    </w:p>
    <w:p w14:paraId="33E13143">
      <w:pPr>
        <w:bidi w:val="0"/>
      </w:pPr>
      <w:r>
        <w:t>二、其他类</w:t>
      </w:r>
    </w:p>
    <w:p w14:paraId="688463B7">
      <w:pPr>
        <w:bidi w:val="0"/>
      </w:pPr>
      <w:r>
        <w:t>不同托管项目可结合具体情况选择性增加以下调整规则：</w:t>
      </w:r>
    </w:p>
    <w:p w14:paraId="337A0A8A">
      <w:pPr>
        <w:bidi w:val="0"/>
      </w:pPr>
      <w:r>
        <w:t>（一）电磁厨房电耗调整规则</w:t>
      </w:r>
    </w:p>
    <w:p w14:paraId="1D5F5E7F">
      <w:pPr>
        <w:bidi w:val="0"/>
      </w:pPr>
      <w:r>
        <w:t>对于已安装计量电表的，可按电磁厨房设备实际用电量进行调整。</w:t>
      </w:r>
    </w:p>
    <w:p w14:paraId="259C359D">
      <w:pPr>
        <w:bidi w:val="0"/>
      </w:pPr>
      <w:r>
        <w:t>如未安装计量电表，电磁厨房增减用电设备的预测年用电量按下式计算：</w:t>
      </w:r>
    </w:p>
    <w:p w14:paraId="2E5EA224">
      <w:pPr>
        <w:bidi w:val="0"/>
        <w:sectPr>
          <w:type w:val="continuous"/>
          <w:pgSz w:w="12250" w:h="17180"/>
          <w:pgMar w:top="600" w:right="1020" w:bottom="280" w:left="1120" w:header="720" w:footer="720" w:gutter="0"/>
          <w:cols w:space="720" w:num="1"/>
        </w:sectPr>
      </w:pPr>
    </w:p>
    <w:p w14:paraId="37597AF7">
      <w:pPr>
        <w:bidi w:val="0"/>
        <w:rPr>
          <w:rFonts w:hint="eastAsia"/>
        </w:rPr>
      </w:pPr>
      <w:r>
        <mc:AlternateContent>
          <mc:Choice Requires="wps">
            <w:drawing>
              <wp:anchor distT="0" distB="0" distL="114300" distR="114300" simplePos="0" relativeHeight="251659264" behindDoc="1" locked="0" layoutInCell="1" allowOverlap="1">
                <wp:simplePos x="0" y="0"/>
                <wp:positionH relativeFrom="page">
                  <wp:posOffset>3990340</wp:posOffset>
                </wp:positionH>
                <wp:positionV relativeFrom="paragraph">
                  <wp:posOffset>238760</wp:posOffset>
                </wp:positionV>
                <wp:extent cx="146685" cy="10287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46685" cy="102870"/>
                        </a:xfrm>
                        <a:prstGeom prst="rect">
                          <a:avLst/>
                        </a:prstGeom>
                        <a:noFill/>
                        <a:ln>
                          <a:noFill/>
                        </a:ln>
                      </wps:spPr>
                      <wps:txbx>
                        <w:txbxContent>
                          <w:p w14:paraId="44BE1B48">
                            <w:pPr>
                              <w:spacing w:before="4"/>
                              <w:ind w:left="0" w:right="0" w:firstLine="0"/>
                              <w:jc w:val="left"/>
                              <w:rPr>
                                <w:rFonts w:ascii="MS PMincho"/>
                                <w:sz w:val="10"/>
                              </w:rPr>
                            </w:pPr>
                            <w:r>
                              <w:rPr>
                                <w:rFonts w:ascii="Palatino Linotype"/>
                                <w:i/>
                                <w:color w:val="231F20"/>
                                <w:w w:val="120"/>
                                <w:sz w:val="10"/>
                              </w:rPr>
                              <w:t xml:space="preserve">i </w:t>
                            </w:r>
                            <w:r>
                              <w:rPr>
                                <w:rFonts w:ascii="MS PMincho"/>
                                <w:color w:val="231F20"/>
                                <w:w w:val="185"/>
                                <w:sz w:val="10"/>
                              </w:rPr>
                              <w:t>=</w:t>
                            </w:r>
                            <w:r>
                              <w:rPr>
                                <w:rFonts w:ascii="MS PMincho"/>
                                <w:color w:val="231F20"/>
                                <w:spacing w:val="-43"/>
                                <w:w w:val="185"/>
                                <w:sz w:val="10"/>
                              </w:rPr>
                              <w:t xml:space="preserve"> </w:t>
                            </w:r>
                            <w:r>
                              <w:rPr>
                                <w:rFonts w:ascii="MS PMincho"/>
                                <w:color w:val="231F20"/>
                                <w:w w:val="120"/>
                                <w:sz w:val="10"/>
                              </w:rPr>
                              <w:t>0</w:t>
                            </w:r>
                          </w:p>
                        </w:txbxContent>
                      </wps:txbx>
                      <wps:bodyPr lIns="0" tIns="0" rIns="0" bIns="0" upright="1"/>
                    </wps:wsp>
                  </a:graphicData>
                </a:graphic>
              </wp:anchor>
            </w:drawing>
          </mc:Choice>
          <mc:Fallback>
            <w:pict>
              <v:shape id="_x0000_s1026" o:spid="_x0000_s1026" o:spt="202" type="#_x0000_t202" style="position:absolute;left:0pt;margin-left:314.2pt;margin-top:18.8pt;height:8.1pt;width:11.55pt;mso-position-horizontal-relative:page;z-index:-251657216;mso-width-relative:page;mso-height-relative:page;" filled="f" stroked="f" coordsize="21600,21600" o:gfxdata="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Oaef2QAAAAkBAAAPAAAAAAAAAAEAIAAAACIAAABkcnMvZG93bnJldi54bWxQSwEC&#10;FAAUAAAACACHTuJA+Vu7U7oBAABzAwAADgAAAAAAAAABACAAAAAoAQAAZHJzL2Uyb0RvYy54bWxQ&#10;SwUGAAAAAAYABgBZAQAAVAUAAAAA&#10;">
                <v:fill on="f" focussize="0,0"/>
                <v:stroke on="f"/>
                <v:imagedata o:title=""/>
                <o:lock v:ext="edit" aspectratio="f"/>
                <v:textbox inset="0mm,0mm,0mm,0mm">
                  <w:txbxContent>
                    <w:p w14:paraId="44BE1B48">
                      <w:pPr>
                        <w:spacing w:before="4"/>
                        <w:ind w:left="0" w:right="0" w:firstLine="0"/>
                        <w:jc w:val="left"/>
                        <w:rPr>
                          <w:rFonts w:ascii="MS PMincho"/>
                          <w:sz w:val="10"/>
                        </w:rPr>
                      </w:pPr>
                      <w:r>
                        <w:rPr>
                          <w:rFonts w:ascii="Palatino Linotype"/>
                          <w:i/>
                          <w:color w:val="231F20"/>
                          <w:w w:val="120"/>
                          <w:sz w:val="10"/>
                        </w:rPr>
                        <w:t xml:space="preserve">i </w:t>
                      </w:r>
                      <w:r>
                        <w:rPr>
                          <w:rFonts w:ascii="MS PMincho"/>
                          <w:color w:val="231F20"/>
                          <w:w w:val="185"/>
                          <w:sz w:val="10"/>
                        </w:rPr>
                        <w:t>=</w:t>
                      </w:r>
                      <w:r>
                        <w:rPr>
                          <w:rFonts w:ascii="MS PMincho"/>
                          <w:color w:val="231F20"/>
                          <w:spacing w:val="-43"/>
                          <w:w w:val="185"/>
                          <w:sz w:val="10"/>
                        </w:rPr>
                        <w:t xml:space="preserve"> </w:t>
                      </w:r>
                      <w:r>
                        <w:rPr>
                          <w:rFonts w:ascii="MS PMincho"/>
                          <w:color w:val="231F20"/>
                          <w:w w:val="120"/>
                          <w:sz w:val="10"/>
                        </w:rPr>
                        <w:t>0</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4324985</wp:posOffset>
                </wp:positionH>
                <wp:positionV relativeFrom="paragraph">
                  <wp:posOffset>219710</wp:posOffset>
                </wp:positionV>
                <wp:extent cx="19685" cy="8699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9685" cy="86995"/>
                        </a:xfrm>
                        <a:prstGeom prst="rect">
                          <a:avLst/>
                        </a:prstGeom>
                        <a:noFill/>
                        <a:ln>
                          <a:noFill/>
                        </a:ln>
                      </wps:spPr>
                      <wps:txbx>
                        <w:txbxContent>
                          <w:p w14:paraId="20563587">
                            <w:pPr>
                              <w:spacing w:before="4" w:line="132" w:lineRule="exact"/>
                              <w:ind w:left="0" w:right="0" w:firstLine="0"/>
                              <w:jc w:val="left"/>
                              <w:rPr>
                                <w:rFonts w:ascii="Palatino Linotype"/>
                                <w:i/>
                                <w:sz w:val="10"/>
                              </w:rPr>
                            </w:pPr>
                            <w:r>
                              <w:rPr>
                                <w:rFonts w:ascii="Palatino Linotype"/>
                                <w:i/>
                                <w:color w:val="231F20"/>
                                <w:w w:val="110"/>
                                <w:sz w:val="10"/>
                              </w:rPr>
                              <w:t>i</w:t>
                            </w:r>
                          </w:p>
                        </w:txbxContent>
                      </wps:txbx>
                      <wps:bodyPr lIns="0" tIns="0" rIns="0" bIns="0" upright="1"/>
                    </wps:wsp>
                  </a:graphicData>
                </a:graphic>
              </wp:anchor>
            </w:drawing>
          </mc:Choice>
          <mc:Fallback>
            <w:pict>
              <v:shape id="_x0000_s1026" o:spid="_x0000_s1026" o:spt="202" type="#_x0000_t202" style="position:absolute;left:0pt;margin-left:340.55pt;margin-top:17.3pt;height:6.85pt;width:1.55pt;mso-position-horizontal-relative:page;z-index:-251657216;mso-width-relative:page;mso-height-relative:page;" filled="f" stroked="f" coordsize="21600,21600" o:gfxdata="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vNeB9gAAAAJAQAADwAAAAAAAAABACAAAAAiAAAAZHJzL2Rvd25yZXYueG1sUEsBAhQA&#10;FAAAAAgAh07iQEF/vly5AQAAcQMAAA4AAAAAAAAAAQAgAAAAJwEAAGRycy9lMm9Eb2MueG1sUEsF&#10;BgAAAAAGAAYAWQEAAFIFAAAAAA==&#10;">
                <v:fill on="f" focussize="0,0"/>
                <v:stroke on="f"/>
                <v:imagedata o:title=""/>
                <o:lock v:ext="edit" aspectratio="f"/>
                <v:textbox inset="0mm,0mm,0mm,0mm">
                  <w:txbxContent>
                    <w:p w14:paraId="20563587">
                      <w:pPr>
                        <w:spacing w:before="4" w:line="132" w:lineRule="exact"/>
                        <w:ind w:left="0" w:right="0" w:firstLine="0"/>
                        <w:jc w:val="left"/>
                        <w:rPr>
                          <w:rFonts w:ascii="Palatino Linotype"/>
                          <w:i/>
                          <w:sz w:val="10"/>
                        </w:rPr>
                      </w:pPr>
                      <w:r>
                        <w:rPr>
                          <w:rFonts w:ascii="Palatino Linotype"/>
                          <w:i/>
                          <w:color w:val="231F20"/>
                          <w:w w:val="110"/>
                          <w:sz w:val="10"/>
                        </w:rPr>
                        <w:t>i</w:t>
                      </w:r>
                    </w:p>
                  </w:txbxContent>
                </v:textbox>
              </v:shape>
            </w:pict>
          </mc:Fallback>
        </mc:AlternateContent>
      </w:r>
      <w:r>
        <w:t>调整设备用月电量</w:t>
      </w:r>
      <w:r>
        <w:rPr>
          <w:rFonts w:hint="eastAsia"/>
        </w:rPr>
        <w:t>=∑</w:t>
      </w:r>
      <w:r>
        <w:t xml:space="preserve">n    </w:t>
      </w:r>
      <w:r>
        <w:rPr>
          <w:rFonts w:hint="eastAsia"/>
        </w:rPr>
        <w:t xml:space="preserve">( </w:t>
      </w:r>
      <w:r>
        <w:t xml:space="preserve">N  </w:t>
      </w:r>
      <w:r>
        <w:rPr>
          <w:rFonts w:hint="eastAsia"/>
        </w:rPr>
        <w:t xml:space="preserve">× </w:t>
      </w:r>
      <w:r>
        <w:t xml:space="preserve">Q </w:t>
      </w:r>
      <w:r>
        <w:rPr>
          <w:rFonts w:hint="eastAsia"/>
        </w:rPr>
        <w:t xml:space="preserve">× </w:t>
      </w:r>
      <w:r>
        <w:t xml:space="preserve">H </w:t>
      </w:r>
      <w:r>
        <w:rPr>
          <w:rFonts w:hint="eastAsia"/>
        </w:rPr>
        <w:t>)</w:t>
      </w:r>
    </w:p>
    <w:p w14:paraId="559ED82C">
      <w:pPr>
        <w:bidi w:val="0"/>
        <w:rPr>
          <w:rFonts w:hint="eastAsia"/>
        </w:rPr>
      </w:pPr>
      <w:r>
        <mc:AlternateContent>
          <mc:Choice Requires="wps">
            <w:drawing>
              <wp:anchor distT="0" distB="0" distL="114300" distR="114300" simplePos="0" relativeHeight="251659264" behindDoc="1" locked="0" layoutInCell="1" allowOverlap="1">
                <wp:simplePos x="0" y="0"/>
                <wp:positionH relativeFrom="page">
                  <wp:posOffset>4124325</wp:posOffset>
                </wp:positionH>
                <wp:positionV relativeFrom="paragraph">
                  <wp:posOffset>162560</wp:posOffset>
                </wp:positionV>
                <wp:extent cx="146685" cy="1028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46685" cy="102870"/>
                        </a:xfrm>
                        <a:prstGeom prst="rect">
                          <a:avLst/>
                        </a:prstGeom>
                        <a:noFill/>
                        <a:ln>
                          <a:noFill/>
                        </a:ln>
                      </wps:spPr>
                      <wps:txbx>
                        <w:txbxContent>
                          <w:p w14:paraId="7BA913D6">
                            <w:pPr>
                              <w:spacing w:before="4"/>
                              <w:ind w:left="0" w:right="0" w:firstLine="0"/>
                              <w:jc w:val="left"/>
                              <w:rPr>
                                <w:rFonts w:ascii="MS PMincho"/>
                                <w:sz w:val="10"/>
                              </w:rPr>
                            </w:pPr>
                            <w:r>
                              <w:rPr>
                                <w:rFonts w:ascii="Palatino Linotype"/>
                                <w:i/>
                                <w:color w:val="231F20"/>
                                <w:w w:val="120"/>
                                <w:sz w:val="10"/>
                              </w:rPr>
                              <w:t xml:space="preserve">i </w:t>
                            </w:r>
                            <w:r>
                              <w:rPr>
                                <w:rFonts w:ascii="MS PMincho"/>
                                <w:color w:val="231F20"/>
                                <w:w w:val="185"/>
                                <w:sz w:val="10"/>
                              </w:rPr>
                              <w:t>=</w:t>
                            </w:r>
                            <w:r>
                              <w:rPr>
                                <w:rFonts w:ascii="MS PMincho"/>
                                <w:color w:val="231F20"/>
                                <w:spacing w:val="-43"/>
                                <w:w w:val="185"/>
                                <w:sz w:val="10"/>
                              </w:rPr>
                              <w:t xml:space="preserve"> </w:t>
                            </w:r>
                            <w:r>
                              <w:rPr>
                                <w:rFonts w:ascii="MS PMincho"/>
                                <w:color w:val="231F20"/>
                                <w:w w:val="120"/>
                                <w:sz w:val="10"/>
                              </w:rPr>
                              <w:t>0</w:t>
                            </w:r>
                          </w:p>
                        </w:txbxContent>
                      </wps:txbx>
                      <wps:bodyPr lIns="0" tIns="0" rIns="0" bIns="0" upright="1"/>
                    </wps:wsp>
                  </a:graphicData>
                </a:graphic>
              </wp:anchor>
            </w:drawing>
          </mc:Choice>
          <mc:Fallback>
            <w:pict>
              <v:shape id="_x0000_s1026" o:spid="_x0000_s1026" o:spt="202" type="#_x0000_t202" style="position:absolute;left:0pt;margin-left:324.75pt;margin-top:12.8pt;height:8.1pt;width:11.55pt;mso-position-horizontal-relative:page;z-index:-251657216;mso-width-relative:page;mso-height-relative:page;" filled="f" stroked="f" coordsize="21600,21600" o:gfxdata="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86VuNkAAAAJAQAADwAAAAAAAAABACAAAAAiAAAAZHJzL2Rvd25yZXYueG1sUEsB&#10;AhQAFAAAAAgAh07iQKRbre67AQAAcwMAAA4AAAAAAAAAAQAgAAAAKAEAAGRycy9lMm9Eb2MueG1s&#10;UEsFBgAAAAAGAAYAWQEAAFUFAAAAAA==&#10;">
                <v:fill on="f" focussize="0,0"/>
                <v:stroke on="f"/>
                <v:imagedata o:title=""/>
                <o:lock v:ext="edit" aspectratio="f"/>
                <v:textbox inset="0mm,0mm,0mm,0mm">
                  <w:txbxContent>
                    <w:p w14:paraId="7BA913D6">
                      <w:pPr>
                        <w:spacing w:before="4"/>
                        <w:ind w:left="0" w:right="0" w:firstLine="0"/>
                        <w:jc w:val="left"/>
                        <w:rPr>
                          <w:rFonts w:ascii="MS PMincho"/>
                          <w:sz w:val="10"/>
                        </w:rPr>
                      </w:pPr>
                      <w:r>
                        <w:rPr>
                          <w:rFonts w:ascii="Palatino Linotype"/>
                          <w:i/>
                          <w:color w:val="231F20"/>
                          <w:w w:val="120"/>
                          <w:sz w:val="10"/>
                        </w:rPr>
                        <w:t xml:space="preserve">i </w:t>
                      </w:r>
                      <w:r>
                        <w:rPr>
                          <w:rFonts w:ascii="MS PMincho"/>
                          <w:color w:val="231F20"/>
                          <w:w w:val="185"/>
                          <w:sz w:val="10"/>
                        </w:rPr>
                        <w:t>=</w:t>
                      </w:r>
                      <w:r>
                        <w:rPr>
                          <w:rFonts w:ascii="MS PMincho"/>
                          <w:color w:val="231F20"/>
                          <w:spacing w:val="-43"/>
                          <w:w w:val="185"/>
                          <w:sz w:val="10"/>
                        </w:rPr>
                        <w:t xml:space="preserve"> </w:t>
                      </w:r>
                      <w:r>
                        <w:rPr>
                          <w:rFonts w:ascii="MS PMincho"/>
                          <w:color w:val="231F20"/>
                          <w:w w:val="120"/>
                          <w:sz w:val="10"/>
                        </w:rPr>
                        <w:t>0</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4458970</wp:posOffset>
                </wp:positionH>
                <wp:positionV relativeFrom="paragraph">
                  <wp:posOffset>143510</wp:posOffset>
                </wp:positionV>
                <wp:extent cx="19685" cy="8699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9685" cy="86995"/>
                        </a:xfrm>
                        <a:prstGeom prst="rect">
                          <a:avLst/>
                        </a:prstGeom>
                        <a:noFill/>
                        <a:ln>
                          <a:noFill/>
                        </a:ln>
                      </wps:spPr>
                      <wps:txbx>
                        <w:txbxContent>
                          <w:p w14:paraId="3BBD31C9">
                            <w:pPr>
                              <w:spacing w:before="4" w:line="132" w:lineRule="exact"/>
                              <w:ind w:left="0" w:right="0" w:firstLine="0"/>
                              <w:jc w:val="left"/>
                              <w:rPr>
                                <w:rFonts w:ascii="Palatino Linotype"/>
                                <w:i/>
                                <w:sz w:val="10"/>
                              </w:rPr>
                            </w:pPr>
                            <w:r>
                              <w:rPr>
                                <w:rFonts w:ascii="Palatino Linotype"/>
                                <w:i/>
                                <w:color w:val="231F20"/>
                                <w:w w:val="110"/>
                                <w:sz w:val="10"/>
                              </w:rPr>
                              <w:t>i</w:t>
                            </w:r>
                          </w:p>
                        </w:txbxContent>
                      </wps:txbx>
                      <wps:bodyPr lIns="0" tIns="0" rIns="0" bIns="0" upright="1"/>
                    </wps:wsp>
                  </a:graphicData>
                </a:graphic>
              </wp:anchor>
            </w:drawing>
          </mc:Choice>
          <mc:Fallback>
            <w:pict>
              <v:shape id="_x0000_s1026" o:spid="_x0000_s1026" o:spt="202" type="#_x0000_t202" style="position:absolute;left:0pt;margin-left:351.1pt;margin-top:11.3pt;height:6.85pt;width:1.55pt;mso-position-horizontal-relative:page;z-index:-251657216;mso-width-relative:page;mso-height-relative:page;" filled="f" stroked="f" coordsize="21600,21600" o:gfxdata="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kOrT2AAAAAkBAAAPAAAAAAAAAAEAIAAAACIAAABkcnMvZG93bnJldi54bWxQSwECFAAU&#10;AAAACACHTuJAbtbCf7gBAABxAwAADgAAAAAAAAABACAAAAAnAQAAZHJzL2Uyb0RvYy54bWxQSwUG&#10;AAAAAAYABgBZAQAAUQUAAAAA&#10;">
                <v:fill on="f" focussize="0,0"/>
                <v:stroke on="f"/>
                <v:imagedata o:title=""/>
                <o:lock v:ext="edit" aspectratio="f"/>
                <v:textbox inset="0mm,0mm,0mm,0mm">
                  <w:txbxContent>
                    <w:p w14:paraId="3BBD31C9">
                      <w:pPr>
                        <w:spacing w:before="4" w:line="132" w:lineRule="exact"/>
                        <w:ind w:left="0" w:right="0" w:firstLine="0"/>
                        <w:jc w:val="left"/>
                        <w:rPr>
                          <w:rFonts w:ascii="Palatino Linotype"/>
                          <w:i/>
                          <w:sz w:val="10"/>
                        </w:rPr>
                      </w:pPr>
                      <w:r>
                        <w:rPr>
                          <w:rFonts w:ascii="Palatino Linotype"/>
                          <w:i/>
                          <w:color w:val="231F20"/>
                          <w:w w:val="110"/>
                          <w:sz w:val="10"/>
                        </w:rPr>
                        <w:t>i</w:t>
                      </w:r>
                    </w:p>
                  </w:txbxContent>
                </v:textbox>
              </v:shape>
            </w:pict>
          </mc:Fallback>
        </mc:AlternateContent>
      </w:r>
      <w:r>
        <w:t>调整设备用年电量</w:t>
      </w:r>
      <w:r>
        <w:rPr>
          <w:rFonts w:hint="eastAsia"/>
        </w:rPr>
        <w:t>=12×∑</w:t>
      </w:r>
      <w:r>
        <w:t xml:space="preserve">n    </w:t>
      </w:r>
      <w:r>
        <w:rPr>
          <w:rFonts w:hint="eastAsia"/>
        </w:rPr>
        <w:t xml:space="preserve">( </w:t>
      </w:r>
      <w:r>
        <w:t xml:space="preserve">N  </w:t>
      </w:r>
      <w:r>
        <w:rPr>
          <w:rFonts w:hint="eastAsia"/>
        </w:rPr>
        <w:t xml:space="preserve">× </w:t>
      </w:r>
      <w:r>
        <w:t xml:space="preserve">Q </w:t>
      </w:r>
      <w:r>
        <w:rPr>
          <w:rFonts w:hint="eastAsia"/>
        </w:rPr>
        <w:t xml:space="preserve">× </w:t>
      </w:r>
      <w:r>
        <w:t xml:space="preserve">H </w:t>
      </w:r>
      <w:r>
        <w:rPr>
          <w:rFonts w:hint="eastAsia"/>
        </w:rPr>
        <w:t>)</w:t>
      </w:r>
    </w:p>
    <w:p w14:paraId="1218B6D4">
      <w:pPr>
        <w:bidi w:val="0"/>
        <w:rPr>
          <w:rFonts w:hint="eastAsia"/>
        </w:rPr>
        <w:sectPr>
          <w:pgSz w:w="12250" w:h="17180"/>
          <w:pgMar w:top="1800" w:right="1020" w:bottom="1360" w:left="1120" w:header="1532" w:footer="1174" w:gutter="0"/>
          <w:cols w:space="720" w:num="1"/>
        </w:sectPr>
      </w:pPr>
    </w:p>
    <w:p w14:paraId="52E30ADF">
      <w:pPr>
        <w:bidi w:val="0"/>
      </w:pPr>
    </w:p>
    <w:p w14:paraId="484C64A2">
      <w:pPr>
        <w:bidi w:val="0"/>
      </w:pPr>
    </w:p>
    <w:p w14:paraId="329DFB81">
      <w:pPr>
        <w:bidi w:val="0"/>
      </w:pPr>
      <w:r>
        <w:t>式中：</w:t>
      </w:r>
    </w:p>
    <w:p w14:paraId="77BEEDC8">
      <w:pPr>
        <w:bidi w:val="0"/>
      </w:pPr>
      <w:r>
        <w:br w:type="column"/>
      </w:r>
      <w:r>
        <w:t>托管月电量＝基准月电量</w:t>
      </w:r>
      <w:r>
        <w:rPr>
          <w:rFonts w:hint="eastAsia"/>
        </w:rPr>
        <w:t>+</w:t>
      </w:r>
      <w:r>
        <w:t>调整设备月用电量托管年电量＝基准年电量</w:t>
      </w:r>
      <w:r>
        <w:rPr>
          <w:rFonts w:hint="eastAsia"/>
        </w:rPr>
        <w:t>+</w:t>
      </w:r>
      <w:r>
        <w:t>调整设备年用电量</w:t>
      </w:r>
    </w:p>
    <w:p w14:paraId="2827E6EF">
      <w:pPr>
        <w:bidi w:val="0"/>
        <w:sectPr>
          <w:type w:val="continuous"/>
          <w:pgSz w:w="12250" w:h="17180"/>
          <w:pgMar w:top="1440" w:right="1080" w:bottom="1440" w:left="1080" w:header="720" w:footer="720" w:gutter="0"/>
          <w:cols w:equalWidth="0" w:num="2">
            <w:col w:w="1307" w:space="890"/>
            <w:col w:w="7893"/>
          </w:cols>
        </w:sectPr>
      </w:pPr>
    </w:p>
    <w:p w14:paraId="6776C661">
      <w:pPr>
        <w:bidi w:val="0"/>
      </w:pPr>
      <w:r>
        <w:t>Ni——添加或减少的第 i 类电磁厨房设备功率（</w:t>
      </w:r>
      <w:r>
        <w:rPr>
          <w:rFonts w:hint="eastAsia"/>
        </w:rPr>
        <w:t>kW</w:t>
      </w:r>
      <w:r>
        <w:t>），i</w:t>
      </w:r>
      <w:r>
        <w:rPr>
          <w:rFonts w:hint="eastAsia"/>
        </w:rPr>
        <w:t>∝</w:t>
      </w:r>
      <w:r>
        <w:t>（</w:t>
      </w:r>
      <w:r>
        <w:rPr>
          <w:rFonts w:hint="eastAsia"/>
        </w:rPr>
        <w:t>1~</w:t>
      </w:r>
      <w:r>
        <w:t>n）；</w:t>
      </w:r>
    </w:p>
    <w:p w14:paraId="30B31E18">
      <w:pPr>
        <w:bidi w:val="0"/>
      </w:pPr>
      <w:r>
        <w:t>Q——添加或减少的第 i 类电磁厨房设备数量（台）；</w:t>
      </w:r>
    </w:p>
    <w:p w14:paraId="447C39BD">
      <w:pPr>
        <w:bidi w:val="0"/>
      </w:pPr>
      <w:r>
        <w:t>H——添加或减少的第 i 类电磁厨房设备月运行时间（小时）。</w:t>
      </w:r>
    </w:p>
    <w:p w14:paraId="31682B6F">
      <w:pPr>
        <w:bidi w:val="0"/>
      </w:pPr>
      <w:r>
        <w:t>（二）充电桩电耗调整规则</w:t>
      </w:r>
    </w:p>
    <w:p w14:paraId="6B6842E4">
      <w:pPr>
        <w:bidi w:val="0"/>
      </w:pPr>
      <w:r>
        <w:t>对于已安装计量电表的，可按充电桩实际用电量进行调整。</w:t>
      </w:r>
    </w:p>
    <w:p w14:paraId="3AA4264E">
      <w:pPr>
        <w:bidi w:val="0"/>
      </w:pPr>
      <w:r>
        <w:t>如未安装计量电表，充电桩增减用电设备的预测年用电量按下式计算：</w:t>
      </w:r>
    </w:p>
    <w:p w14:paraId="0F1DEF0C">
      <w:pPr>
        <w:bidi w:val="0"/>
        <w:rPr>
          <w:rFonts w:hint="eastAsia"/>
        </w:rPr>
      </w:pPr>
      <w:r>
        <mc:AlternateContent>
          <mc:Choice Requires="wps">
            <w:drawing>
              <wp:anchor distT="0" distB="0" distL="114300" distR="114300" simplePos="0" relativeHeight="251659264" behindDoc="1" locked="0" layoutInCell="1" allowOverlap="1">
                <wp:simplePos x="0" y="0"/>
                <wp:positionH relativeFrom="page">
                  <wp:posOffset>3990340</wp:posOffset>
                </wp:positionH>
                <wp:positionV relativeFrom="paragraph">
                  <wp:posOffset>150495</wp:posOffset>
                </wp:positionV>
                <wp:extent cx="146685" cy="1028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46685" cy="102870"/>
                        </a:xfrm>
                        <a:prstGeom prst="rect">
                          <a:avLst/>
                        </a:prstGeom>
                        <a:noFill/>
                        <a:ln>
                          <a:noFill/>
                        </a:ln>
                      </wps:spPr>
                      <wps:txbx>
                        <w:txbxContent>
                          <w:p w14:paraId="7CD39A8F">
                            <w:pPr>
                              <w:spacing w:before="4"/>
                              <w:ind w:left="0" w:right="0" w:firstLine="0"/>
                              <w:jc w:val="left"/>
                              <w:rPr>
                                <w:rFonts w:ascii="MS PMincho"/>
                                <w:sz w:val="10"/>
                              </w:rPr>
                            </w:pPr>
                            <w:r>
                              <w:rPr>
                                <w:rFonts w:ascii="Palatino Linotype"/>
                                <w:i/>
                                <w:color w:val="231F20"/>
                                <w:w w:val="120"/>
                                <w:sz w:val="10"/>
                              </w:rPr>
                              <w:t xml:space="preserve">i </w:t>
                            </w:r>
                            <w:r>
                              <w:rPr>
                                <w:rFonts w:ascii="MS PMincho"/>
                                <w:color w:val="231F20"/>
                                <w:w w:val="185"/>
                                <w:sz w:val="10"/>
                              </w:rPr>
                              <w:t>=</w:t>
                            </w:r>
                            <w:r>
                              <w:rPr>
                                <w:rFonts w:ascii="MS PMincho"/>
                                <w:color w:val="231F20"/>
                                <w:spacing w:val="-43"/>
                                <w:w w:val="185"/>
                                <w:sz w:val="10"/>
                              </w:rPr>
                              <w:t xml:space="preserve"> </w:t>
                            </w:r>
                            <w:r>
                              <w:rPr>
                                <w:rFonts w:ascii="MS PMincho"/>
                                <w:color w:val="231F20"/>
                                <w:w w:val="120"/>
                                <w:sz w:val="10"/>
                              </w:rPr>
                              <w:t>0</w:t>
                            </w:r>
                          </w:p>
                        </w:txbxContent>
                      </wps:txbx>
                      <wps:bodyPr lIns="0" tIns="0" rIns="0" bIns="0" upright="1"/>
                    </wps:wsp>
                  </a:graphicData>
                </a:graphic>
              </wp:anchor>
            </w:drawing>
          </mc:Choice>
          <mc:Fallback>
            <w:pict>
              <v:shape id="_x0000_s1026" o:spid="_x0000_s1026" o:spt="202" type="#_x0000_t202" style="position:absolute;left:0pt;margin-left:314.2pt;margin-top:11.85pt;height:8.1pt;width:11.55pt;mso-position-horizontal-relative:page;z-index:-251657216;mso-width-relative:page;mso-height-relative:page;" filled="f" stroked="f" coordsize="21600,21600" o:gfxdata="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WPGn9kAAAAJAQAADwAAAAAAAAABACAAAAAiAAAAZHJzL2Rvd25yZXYueG1sUEsB&#10;AhQAFAAAAAgAh07iQG+koIW7AQAAcwMAAA4AAAAAAAAAAQAgAAAAKAEAAGRycy9lMm9Eb2MueG1s&#10;UEsFBgAAAAAGAAYAWQEAAFUFAAAAAA==&#10;">
                <v:fill on="f" focussize="0,0"/>
                <v:stroke on="f"/>
                <v:imagedata o:title=""/>
                <o:lock v:ext="edit" aspectratio="f"/>
                <v:textbox inset="0mm,0mm,0mm,0mm">
                  <w:txbxContent>
                    <w:p w14:paraId="7CD39A8F">
                      <w:pPr>
                        <w:spacing w:before="4"/>
                        <w:ind w:left="0" w:right="0" w:firstLine="0"/>
                        <w:jc w:val="left"/>
                        <w:rPr>
                          <w:rFonts w:ascii="MS PMincho"/>
                          <w:sz w:val="10"/>
                        </w:rPr>
                      </w:pPr>
                      <w:r>
                        <w:rPr>
                          <w:rFonts w:ascii="Palatino Linotype"/>
                          <w:i/>
                          <w:color w:val="231F20"/>
                          <w:w w:val="120"/>
                          <w:sz w:val="10"/>
                        </w:rPr>
                        <w:t xml:space="preserve">i </w:t>
                      </w:r>
                      <w:r>
                        <w:rPr>
                          <w:rFonts w:ascii="MS PMincho"/>
                          <w:color w:val="231F20"/>
                          <w:w w:val="185"/>
                          <w:sz w:val="10"/>
                        </w:rPr>
                        <w:t>=</w:t>
                      </w:r>
                      <w:r>
                        <w:rPr>
                          <w:rFonts w:ascii="MS PMincho"/>
                          <w:color w:val="231F20"/>
                          <w:spacing w:val="-43"/>
                          <w:w w:val="185"/>
                          <w:sz w:val="10"/>
                        </w:rPr>
                        <w:t xml:space="preserve"> </w:t>
                      </w:r>
                      <w:r>
                        <w:rPr>
                          <w:rFonts w:ascii="MS PMincho"/>
                          <w:color w:val="231F20"/>
                          <w:w w:val="120"/>
                          <w:sz w:val="10"/>
                        </w:rPr>
                        <w:t>0</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4324985</wp:posOffset>
                </wp:positionH>
                <wp:positionV relativeFrom="paragraph">
                  <wp:posOffset>130810</wp:posOffset>
                </wp:positionV>
                <wp:extent cx="19685" cy="869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9685" cy="86995"/>
                        </a:xfrm>
                        <a:prstGeom prst="rect">
                          <a:avLst/>
                        </a:prstGeom>
                        <a:noFill/>
                        <a:ln>
                          <a:noFill/>
                        </a:ln>
                      </wps:spPr>
                      <wps:txbx>
                        <w:txbxContent>
                          <w:p w14:paraId="3248CD1D">
                            <w:pPr>
                              <w:spacing w:before="4" w:line="132" w:lineRule="exact"/>
                              <w:ind w:left="0" w:right="0" w:firstLine="0"/>
                              <w:jc w:val="left"/>
                              <w:rPr>
                                <w:rFonts w:ascii="Palatino Linotype"/>
                                <w:i/>
                                <w:sz w:val="10"/>
                              </w:rPr>
                            </w:pPr>
                            <w:r>
                              <w:rPr>
                                <w:rFonts w:ascii="Palatino Linotype"/>
                                <w:i/>
                                <w:color w:val="231F20"/>
                                <w:w w:val="110"/>
                                <w:sz w:val="10"/>
                              </w:rPr>
                              <w:t>i</w:t>
                            </w:r>
                          </w:p>
                        </w:txbxContent>
                      </wps:txbx>
                      <wps:bodyPr lIns="0" tIns="0" rIns="0" bIns="0" upright="1"/>
                    </wps:wsp>
                  </a:graphicData>
                </a:graphic>
              </wp:anchor>
            </w:drawing>
          </mc:Choice>
          <mc:Fallback>
            <w:pict>
              <v:shape id="_x0000_s1026" o:spid="_x0000_s1026" o:spt="202" type="#_x0000_t202" style="position:absolute;left:0pt;margin-left:340.55pt;margin-top:10.3pt;height:6.85pt;width:1.55pt;mso-position-horizontal-relative:page;z-index:-251657216;mso-width-relative:page;mso-height-relative:page;" filled="f" stroked="f" coordsize="21600,21600" o:gfxdata="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Q41Re2AAAAAkBAAAPAAAAAAAAAAEAIAAAACIAAABkcnMvZG93bnJldi54bWxQSwECFAAU&#10;AAAACACHTuJAtEzG17gBAABxAwAADgAAAAAAAAABACAAAAAnAQAAZHJzL2Uyb0RvYy54bWxQSwUG&#10;AAAAAAYABgBZAQAAUQUAAAAA&#10;">
                <v:fill on="f" focussize="0,0"/>
                <v:stroke on="f"/>
                <v:imagedata o:title=""/>
                <o:lock v:ext="edit" aspectratio="f"/>
                <v:textbox inset="0mm,0mm,0mm,0mm">
                  <w:txbxContent>
                    <w:p w14:paraId="3248CD1D">
                      <w:pPr>
                        <w:spacing w:before="4" w:line="132" w:lineRule="exact"/>
                        <w:ind w:left="0" w:right="0" w:firstLine="0"/>
                        <w:jc w:val="left"/>
                        <w:rPr>
                          <w:rFonts w:ascii="Palatino Linotype"/>
                          <w:i/>
                          <w:sz w:val="10"/>
                        </w:rPr>
                      </w:pPr>
                      <w:r>
                        <w:rPr>
                          <w:rFonts w:ascii="Palatino Linotype"/>
                          <w:i/>
                          <w:color w:val="231F20"/>
                          <w:w w:val="110"/>
                          <w:sz w:val="10"/>
                        </w:rPr>
                        <w:t>i</w:t>
                      </w:r>
                    </w:p>
                  </w:txbxContent>
                </v:textbox>
              </v:shape>
            </w:pict>
          </mc:Fallback>
        </mc:AlternateContent>
      </w:r>
      <w:r>
        <w:t>调整设备用月电量</w:t>
      </w:r>
      <w:r>
        <w:rPr>
          <w:rFonts w:hint="eastAsia"/>
        </w:rPr>
        <w:t>=∑</w:t>
      </w:r>
      <w:r>
        <w:t xml:space="preserve">n    </w:t>
      </w:r>
      <w:r>
        <w:rPr>
          <w:rFonts w:hint="eastAsia"/>
        </w:rPr>
        <w:t xml:space="preserve">( </w:t>
      </w:r>
      <w:r>
        <w:t xml:space="preserve">N  </w:t>
      </w:r>
      <w:r>
        <w:rPr>
          <w:rFonts w:hint="eastAsia"/>
        </w:rPr>
        <w:t xml:space="preserve">× </w:t>
      </w:r>
      <w:r>
        <w:t xml:space="preserve">Q </w:t>
      </w:r>
      <w:r>
        <w:rPr>
          <w:rFonts w:hint="eastAsia"/>
        </w:rPr>
        <w:t xml:space="preserve">× </w:t>
      </w:r>
      <w:r>
        <w:t xml:space="preserve">H </w:t>
      </w:r>
      <w:r>
        <w:rPr>
          <w:rFonts w:hint="eastAsia"/>
        </w:rPr>
        <w:t>)</w:t>
      </w:r>
    </w:p>
    <w:p w14:paraId="6AAE60C2">
      <w:pPr>
        <w:bidi w:val="0"/>
        <w:rPr>
          <w:rFonts w:hint="eastAsia"/>
        </w:rPr>
      </w:pPr>
      <w:r>
        <mc:AlternateContent>
          <mc:Choice Requires="wps">
            <w:drawing>
              <wp:anchor distT="0" distB="0" distL="114300" distR="114300" simplePos="0" relativeHeight="251659264" behindDoc="1" locked="0" layoutInCell="1" allowOverlap="1">
                <wp:simplePos x="0" y="0"/>
                <wp:positionH relativeFrom="page">
                  <wp:posOffset>4124325</wp:posOffset>
                </wp:positionH>
                <wp:positionV relativeFrom="paragraph">
                  <wp:posOffset>162560</wp:posOffset>
                </wp:positionV>
                <wp:extent cx="146685" cy="1028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6685" cy="102870"/>
                        </a:xfrm>
                        <a:prstGeom prst="rect">
                          <a:avLst/>
                        </a:prstGeom>
                        <a:noFill/>
                        <a:ln>
                          <a:noFill/>
                        </a:ln>
                      </wps:spPr>
                      <wps:txbx>
                        <w:txbxContent>
                          <w:p w14:paraId="548A7B51">
                            <w:pPr>
                              <w:spacing w:before="4"/>
                              <w:ind w:left="0" w:right="0" w:firstLine="0"/>
                              <w:jc w:val="left"/>
                              <w:rPr>
                                <w:rFonts w:ascii="MS PMincho"/>
                                <w:sz w:val="10"/>
                              </w:rPr>
                            </w:pPr>
                            <w:r>
                              <w:rPr>
                                <w:rFonts w:ascii="Palatino Linotype"/>
                                <w:i/>
                                <w:color w:val="231F20"/>
                                <w:w w:val="120"/>
                                <w:sz w:val="10"/>
                              </w:rPr>
                              <w:t xml:space="preserve">i </w:t>
                            </w:r>
                            <w:r>
                              <w:rPr>
                                <w:rFonts w:ascii="MS PMincho"/>
                                <w:color w:val="231F20"/>
                                <w:w w:val="185"/>
                                <w:sz w:val="10"/>
                              </w:rPr>
                              <w:t>=</w:t>
                            </w:r>
                            <w:r>
                              <w:rPr>
                                <w:rFonts w:ascii="MS PMincho"/>
                                <w:color w:val="231F20"/>
                                <w:spacing w:val="-43"/>
                                <w:w w:val="185"/>
                                <w:sz w:val="10"/>
                              </w:rPr>
                              <w:t xml:space="preserve"> </w:t>
                            </w:r>
                            <w:r>
                              <w:rPr>
                                <w:rFonts w:ascii="MS PMincho"/>
                                <w:color w:val="231F20"/>
                                <w:w w:val="120"/>
                                <w:sz w:val="10"/>
                              </w:rPr>
                              <w:t>0</w:t>
                            </w:r>
                          </w:p>
                        </w:txbxContent>
                      </wps:txbx>
                      <wps:bodyPr lIns="0" tIns="0" rIns="0" bIns="0" upright="1"/>
                    </wps:wsp>
                  </a:graphicData>
                </a:graphic>
              </wp:anchor>
            </w:drawing>
          </mc:Choice>
          <mc:Fallback>
            <w:pict>
              <v:shape id="_x0000_s1026" o:spid="_x0000_s1026" o:spt="202" type="#_x0000_t202" style="position:absolute;left:0pt;margin-left:324.75pt;margin-top:12.8pt;height:8.1pt;width:11.55pt;mso-position-horizontal-relative:page;z-index:-251657216;mso-width-relative:page;mso-height-relative:page;" filled="f" stroked="f" coordsize="21600,21600" o:gfxdata="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86VuNkAAAAJAQAADwAAAAAAAAABACAAAAAiAAAAZHJzL2Rvd25yZXYueG1sUEsB&#10;AhQAFAAAAAgAh07iQEA/Obm7AQAAcQMAAA4AAAAAAAAAAQAgAAAAKAEAAGRycy9lMm9Eb2MueG1s&#10;UEsFBgAAAAAGAAYAWQEAAFUFAAAAAA==&#10;">
                <v:fill on="f" focussize="0,0"/>
                <v:stroke on="f"/>
                <v:imagedata o:title=""/>
                <o:lock v:ext="edit" aspectratio="f"/>
                <v:textbox inset="0mm,0mm,0mm,0mm">
                  <w:txbxContent>
                    <w:p w14:paraId="548A7B51">
                      <w:pPr>
                        <w:spacing w:before="4"/>
                        <w:ind w:left="0" w:right="0" w:firstLine="0"/>
                        <w:jc w:val="left"/>
                        <w:rPr>
                          <w:rFonts w:ascii="MS PMincho"/>
                          <w:sz w:val="10"/>
                        </w:rPr>
                      </w:pPr>
                      <w:r>
                        <w:rPr>
                          <w:rFonts w:ascii="Palatino Linotype"/>
                          <w:i/>
                          <w:color w:val="231F20"/>
                          <w:w w:val="120"/>
                          <w:sz w:val="10"/>
                        </w:rPr>
                        <w:t xml:space="preserve">i </w:t>
                      </w:r>
                      <w:r>
                        <w:rPr>
                          <w:rFonts w:ascii="MS PMincho"/>
                          <w:color w:val="231F20"/>
                          <w:w w:val="185"/>
                          <w:sz w:val="10"/>
                        </w:rPr>
                        <w:t>=</w:t>
                      </w:r>
                      <w:r>
                        <w:rPr>
                          <w:rFonts w:ascii="MS PMincho"/>
                          <w:color w:val="231F20"/>
                          <w:spacing w:val="-43"/>
                          <w:w w:val="185"/>
                          <w:sz w:val="10"/>
                        </w:rPr>
                        <w:t xml:space="preserve"> </w:t>
                      </w:r>
                      <w:r>
                        <w:rPr>
                          <w:rFonts w:ascii="MS PMincho"/>
                          <w:color w:val="231F20"/>
                          <w:w w:val="120"/>
                          <w:sz w:val="10"/>
                        </w:rPr>
                        <w:t>0</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4458970</wp:posOffset>
                </wp:positionH>
                <wp:positionV relativeFrom="paragraph">
                  <wp:posOffset>143510</wp:posOffset>
                </wp:positionV>
                <wp:extent cx="19685" cy="869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9685" cy="86995"/>
                        </a:xfrm>
                        <a:prstGeom prst="rect">
                          <a:avLst/>
                        </a:prstGeom>
                        <a:noFill/>
                        <a:ln>
                          <a:noFill/>
                        </a:ln>
                      </wps:spPr>
                      <wps:txbx>
                        <w:txbxContent>
                          <w:p w14:paraId="1229D370">
                            <w:pPr>
                              <w:spacing w:before="4" w:line="132" w:lineRule="exact"/>
                              <w:ind w:left="0" w:right="0" w:firstLine="0"/>
                              <w:jc w:val="left"/>
                              <w:rPr>
                                <w:rFonts w:ascii="Palatino Linotype"/>
                                <w:i/>
                                <w:sz w:val="10"/>
                              </w:rPr>
                            </w:pPr>
                            <w:r>
                              <w:rPr>
                                <w:rFonts w:ascii="Palatino Linotype"/>
                                <w:i/>
                                <w:color w:val="231F20"/>
                                <w:w w:val="110"/>
                                <w:sz w:val="10"/>
                              </w:rPr>
                              <w:t>i</w:t>
                            </w:r>
                          </w:p>
                        </w:txbxContent>
                      </wps:txbx>
                      <wps:bodyPr lIns="0" tIns="0" rIns="0" bIns="0" upright="1"/>
                    </wps:wsp>
                  </a:graphicData>
                </a:graphic>
              </wp:anchor>
            </w:drawing>
          </mc:Choice>
          <mc:Fallback>
            <w:pict>
              <v:shape id="_x0000_s1026" o:spid="_x0000_s1026" o:spt="202" type="#_x0000_t202" style="position:absolute;left:0pt;margin-left:351.1pt;margin-top:11.3pt;height:6.85pt;width:1.55pt;mso-position-horizontal-relative:page;z-index:-251657216;mso-width-relative:page;mso-height-relative:page;" filled="f" stroked="f" coordsize="21600,21600" o:gfxdata="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mQ6tPYAAAACQEAAA8AAAAAAAAAAQAgAAAAIgAAAGRycy9kb3ducmV2LnhtbFBLAQIUABQA&#10;AAAIAIdO4kCQc0INtwEAAG8DAAAOAAAAAAAAAAEAIAAAACcBAABkcnMvZTJvRG9jLnhtbFBLBQYA&#10;AAAABgAGAFkBAABQBQAAAAA=&#10;">
                <v:fill on="f" focussize="0,0"/>
                <v:stroke on="f"/>
                <v:imagedata o:title=""/>
                <o:lock v:ext="edit" aspectratio="f"/>
                <v:textbox inset="0mm,0mm,0mm,0mm">
                  <w:txbxContent>
                    <w:p w14:paraId="1229D370">
                      <w:pPr>
                        <w:spacing w:before="4" w:line="132" w:lineRule="exact"/>
                        <w:ind w:left="0" w:right="0" w:firstLine="0"/>
                        <w:jc w:val="left"/>
                        <w:rPr>
                          <w:rFonts w:ascii="Palatino Linotype"/>
                          <w:i/>
                          <w:sz w:val="10"/>
                        </w:rPr>
                      </w:pPr>
                      <w:r>
                        <w:rPr>
                          <w:rFonts w:ascii="Palatino Linotype"/>
                          <w:i/>
                          <w:color w:val="231F20"/>
                          <w:w w:val="110"/>
                          <w:sz w:val="10"/>
                        </w:rPr>
                        <w:t>i</w:t>
                      </w:r>
                    </w:p>
                  </w:txbxContent>
                </v:textbox>
              </v:shape>
            </w:pict>
          </mc:Fallback>
        </mc:AlternateContent>
      </w:r>
      <w:r>
        <w:t>调整设备用年电量</w:t>
      </w:r>
      <w:r>
        <w:rPr>
          <w:rFonts w:hint="eastAsia"/>
        </w:rPr>
        <w:t>=12×∑</w:t>
      </w:r>
      <w:r>
        <w:t xml:space="preserve">n    </w:t>
      </w:r>
      <w:r>
        <w:rPr>
          <w:rFonts w:hint="eastAsia"/>
        </w:rPr>
        <w:t xml:space="preserve">( </w:t>
      </w:r>
      <w:r>
        <w:t xml:space="preserve">N  </w:t>
      </w:r>
      <w:r>
        <w:rPr>
          <w:rFonts w:hint="eastAsia"/>
        </w:rPr>
        <w:t xml:space="preserve">× </w:t>
      </w:r>
      <w:r>
        <w:t xml:space="preserve">Q </w:t>
      </w:r>
      <w:r>
        <w:rPr>
          <w:rFonts w:hint="eastAsia"/>
        </w:rPr>
        <w:t xml:space="preserve">× </w:t>
      </w:r>
      <w:r>
        <w:t xml:space="preserve">H </w:t>
      </w:r>
      <w:r>
        <w:rPr>
          <w:rFonts w:hint="eastAsia"/>
        </w:rPr>
        <w:t>)</w:t>
      </w:r>
    </w:p>
    <w:p w14:paraId="5F4B9092">
      <w:pPr>
        <w:bidi w:val="0"/>
        <w:rPr>
          <w:rFonts w:hint="eastAsia"/>
        </w:rPr>
        <w:sectPr>
          <w:type w:val="continuous"/>
          <w:pgSz w:w="12250" w:h="17180"/>
          <w:pgMar w:top="600" w:right="1020" w:bottom="280" w:left="1120" w:header="720" w:footer="720" w:gutter="0"/>
          <w:cols w:space="720" w:num="1"/>
        </w:sectPr>
      </w:pPr>
    </w:p>
    <w:p w14:paraId="7ABACA4F">
      <w:pPr>
        <w:bidi w:val="0"/>
      </w:pPr>
    </w:p>
    <w:p w14:paraId="53A5D099">
      <w:pPr>
        <w:bidi w:val="0"/>
      </w:pPr>
    </w:p>
    <w:p w14:paraId="7DB8EB18">
      <w:pPr>
        <w:bidi w:val="0"/>
      </w:pPr>
      <w:r>
        <w:t>式中：</w:t>
      </w:r>
    </w:p>
    <w:p w14:paraId="080A4BE9">
      <w:pPr>
        <w:bidi w:val="0"/>
      </w:pPr>
      <w:r>
        <w:br w:type="column"/>
      </w:r>
      <w:r>
        <w:t>托管月电量＝基准月电量</w:t>
      </w:r>
      <w:r>
        <w:rPr>
          <w:rFonts w:hint="eastAsia"/>
        </w:rPr>
        <w:t>+</w:t>
      </w:r>
      <w:r>
        <w:t>调整设备月用电量托管年电量＝基准年电量</w:t>
      </w:r>
      <w:r>
        <w:rPr>
          <w:rFonts w:hint="eastAsia"/>
        </w:rPr>
        <w:t>+</w:t>
      </w:r>
      <w:r>
        <w:t>调整设备年用电量</w:t>
      </w:r>
    </w:p>
    <w:p w14:paraId="5D5BB50E">
      <w:pPr>
        <w:bidi w:val="0"/>
        <w:sectPr>
          <w:type w:val="continuous"/>
          <w:pgSz w:w="12250" w:h="17180"/>
          <w:pgMar w:top="600" w:right="1020" w:bottom="280" w:left="1120" w:header="720" w:footer="720" w:gutter="0"/>
          <w:cols w:equalWidth="0" w:num="2">
            <w:col w:w="1267" w:space="890"/>
            <w:col w:w="7953"/>
          </w:cols>
        </w:sectPr>
      </w:pPr>
    </w:p>
    <w:p w14:paraId="1E7C1695">
      <w:pPr>
        <w:bidi w:val="0"/>
      </w:pPr>
      <w:r>
        <w:t>Ni——添加或减少的第 i 类充电桩设备功率（</w:t>
      </w:r>
      <w:r>
        <w:rPr>
          <w:rFonts w:hint="eastAsia"/>
        </w:rPr>
        <w:t>kW</w:t>
      </w:r>
      <w:r>
        <w:t>），i</w:t>
      </w:r>
      <w:r>
        <w:rPr>
          <w:rFonts w:hint="eastAsia"/>
        </w:rPr>
        <w:t>∝</w:t>
      </w:r>
      <w:r>
        <w:t>（</w:t>
      </w:r>
      <w:r>
        <w:rPr>
          <w:rFonts w:hint="eastAsia"/>
        </w:rPr>
        <w:t>1~</w:t>
      </w:r>
      <w:r>
        <w:t>n）；</w:t>
      </w:r>
    </w:p>
    <w:p w14:paraId="5364DA76">
      <w:pPr>
        <w:bidi w:val="0"/>
      </w:pPr>
      <w:r>
        <w:t>Q——添加或减少的第 i 类充电桩设备数量（台）；</w:t>
      </w:r>
    </w:p>
    <w:p w14:paraId="47ACA0AB">
      <w:pPr>
        <w:bidi w:val="0"/>
      </w:pPr>
      <w:r>
        <w:t>H——添加或减少的第 i 类充电桩设备月运行时间（小时）。</w:t>
      </w:r>
    </w:p>
    <w:p w14:paraId="32182EE0">
      <w:pPr>
        <w:bidi w:val="0"/>
      </w:pPr>
      <w:r>
        <w:t>（三）商业用电调整规则</w:t>
      </w:r>
    </w:p>
    <w:p w14:paraId="05FE2548">
      <w:pPr>
        <w:bidi w:val="0"/>
      </w:pPr>
      <w:r>
        <w:t>对于已安装计量电表的，可按商业实际用电量进行调整。</w:t>
      </w:r>
    </w:p>
    <w:p w14:paraId="200DA010">
      <w:pPr>
        <w:bidi w:val="0"/>
      </w:pPr>
      <w:r>
        <w:t>如未安装计量电表，以合同签订时的商业面积为基准。若当年商业建筑面积有所增加或减少，应 根据商业建筑面积进行修正，计算当年新增或减少面积占改造前商业建筑面积的比例，并按此比例调整 相应能源基准。</w:t>
      </w:r>
    </w:p>
    <w:p w14:paraId="7190FCFB">
      <w:pPr>
        <w:bidi w:val="0"/>
        <w:sectPr>
          <w:type w:val="continuous"/>
          <w:pgSz w:w="12250" w:h="17180"/>
          <w:pgMar w:top="600" w:right="1020" w:bottom="280" w:left="1120" w:header="720" w:footer="720" w:gutter="0"/>
          <w:cols w:space="720" w:num="1"/>
        </w:sectPr>
      </w:pPr>
    </w:p>
    <w:p w14:paraId="11339C38">
      <w:pPr>
        <w:bidi w:val="0"/>
      </w:pPr>
    </w:p>
    <w:p w14:paraId="1A5068E0">
      <w:pPr>
        <w:bidi w:val="0"/>
      </w:pPr>
      <w:r>
        <w:t>式中：</w:t>
      </w:r>
    </w:p>
    <w:p w14:paraId="752446B0">
      <w:pPr>
        <w:bidi w:val="0"/>
        <w:rPr>
          <w:rFonts w:hint="eastAsia"/>
        </w:rPr>
      </w:pPr>
      <w:r>
        <w:br w:type="column"/>
      </w:r>
      <w:r>
        <w:t>改造后建筑能源基准 E 商业</w:t>
      </w:r>
      <w:r>
        <w:rPr>
          <w:rFonts w:hint="eastAsia"/>
        </w:rPr>
        <w:t>after</w:t>
      </w:r>
      <w:r>
        <w:t>＝E 商业</w:t>
      </w:r>
      <w:r>
        <w:rPr>
          <w:rFonts w:hint="eastAsia"/>
        </w:rPr>
        <w:t>before×</w:t>
      </w:r>
      <w:r>
        <w:t>C</w:t>
      </w:r>
      <w:r>
        <w:rPr>
          <w:rFonts w:hint="eastAsia"/>
        </w:rPr>
        <w:t>after/</w:t>
      </w:r>
      <w:r>
        <w:t>C</w:t>
      </w:r>
      <w:r>
        <w:rPr>
          <w:rFonts w:hint="eastAsia"/>
        </w:rPr>
        <w:t>before</w:t>
      </w:r>
    </w:p>
    <w:p w14:paraId="617BE6C4">
      <w:pPr>
        <w:bidi w:val="0"/>
        <w:rPr>
          <w:rFonts w:hint="eastAsia"/>
        </w:rPr>
        <w:sectPr>
          <w:type w:val="continuous"/>
          <w:pgSz w:w="12250" w:h="17180"/>
          <w:pgMar w:top="600" w:right="1020" w:bottom="280" w:left="1120" w:header="720" w:footer="720" w:gutter="0"/>
          <w:cols w:equalWidth="0" w:num="2">
            <w:col w:w="1267" w:space="729"/>
            <w:col w:w="8114"/>
          </w:cols>
        </w:sectPr>
      </w:pPr>
    </w:p>
    <w:p w14:paraId="144ED60B">
      <w:pPr>
        <w:bidi w:val="0"/>
      </w:pPr>
      <w:r>
        <w:t>C</w:t>
      </w:r>
      <w:r>
        <w:rPr>
          <w:rFonts w:hint="eastAsia"/>
        </w:rPr>
        <w:t xml:space="preserve">after </w:t>
      </w:r>
      <w:r>
        <w:t>——改造后商业面积；</w:t>
      </w:r>
    </w:p>
    <w:p w14:paraId="15B355A5">
      <w:pPr>
        <w:bidi w:val="0"/>
      </w:pPr>
      <w:r>
        <w:t>C</w:t>
      </w:r>
      <w:r>
        <w:rPr>
          <w:rFonts w:hint="eastAsia"/>
        </w:rPr>
        <w:t xml:space="preserve">before   </w:t>
      </w:r>
      <w:r>
        <w:t>——改造前商业面积，为</w:t>
      </w:r>
      <w:r>
        <w:rPr>
          <w:rFonts w:hint="eastAsia"/>
        </w:rPr>
        <w:t>××㎡</w:t>
      </w:r>
      <w:r>
        <w:t>；</w:t>
      </w:r>
    </w:p>
    <w:p w14:paraId="657FD0BC">
      <w:pPr>
        <w:bidi w:val="0"/>
      </w:pPr>
      <w:r>
        <w:t>E 商业</w:t>
      </w:r>
      <w:r>
        <w:rPr>
          <w:rFonts w:hint="eastAsia"/>
        </w:rPr>
        <w:t xml:space="preserve">after </w:t>
      </w:r>
      <w:r>
        <w:t>——改造后商业部分能源基准；</w:t>
      </w:r>
    </w:p>
    <w:p w14:paraId="17208FD3">
      <w:pPr>
        <w:bidi w:val="0"/>
      </w:pPr>
      <w:r>
        <w:t>E 商业</w:t>
      </w:r>
      <w:r>
        <w:rPr>
          <w:rFonts w:hint="eastAsia"/>
        </w:rPr>
        <w:t xml:space="preserve">before </w:t>
      </w:r>
      <w:r>
        <w:t>——改造前商业部分能源基准，为</w:t>
      </w:r>
      <w:r>
        <w:rPr>
          <w:rFonts w:hint="eastAsia"/>
        </w:rPr>
        <w:t>×× kWh</w:t>
      </w:r>
      <w:r>
        <w:t>。</w:t>
      </w:r>
    </w:p>
    <w:p w14:paraId="35FF3F45">
      <w:pPr>
        <w:bidi w:val="0"/>
      </w:pPr>
      <w:r>
        <w:t>（四）大型项目施工与其他临时用能调整规则</w:t>
      </w:r>
    </w:p>
    <w:p w14:paraId="0C454141">
      <w:pPr>
        <w:bidi w:val="0"/>
      </w:pPr>
      <w:r>
        <w:t>对于单独由配电房敷设电缆的大型施工用电或其他临时用电，由甲方负责加装计量电表，按实结算。</w:t>
      </w:r>
    </w:p>
    <w:p w14:paraId="0C8734FB">
      <w:pPr>
        <w:bidi w:val="0"/>
      </w:pPr>
      <w:r>
        <w:t>（五）历史能耗数据失真导致托管基准偏差</w:t>
      </w:r>
    </w:p>
    <w:p w14:paraId="7B55FB2C">
      <w:pPr>
        <w:bidi w:val="0"/>
      </w:pPr>
      <w:r>
        <w:t>如合同期内发现合同签订前甲方提供的历史能耗数据失真，双方应根据实际偏差情况对后续托管基 准进行协商修正，同时对历史托管费用进行多退少补。</w:t>
      </w:r>
    </w:p>
    <w:p w14:paraId="6D755F5D">
      <w:pPr>
        <w:bidi w:val="0"/>
      </w:pPr>
      <w:r>
        <w:t>（六）历史空调问题修复等引起电耗增加</w:t>
      </w:r>
    </w:p>
    <w:p w14:paraId="48D7B598">
      <w:pPr>
        <w:bidi w:val="0"/>
      </w:pPr>
      <w:r>
        <w:t>如合同期内发现改造对空调问题修复等引起电耗增加，乙方按对应能源费用增加情况要求服务费用 增加。</w:t>
      </w:r>
    </w:p>
    <w:p w14:paraId="380CD65C">
      <w:pPr>
        <w:bidi w:val="0"/>
      </w:pPr>
      <w:r>
        <w:t>（七）增加投资引起的服务费用调整</w:t>
      </w:r>
    </w:p>
    <w:p w14:paraId="6B329789">
      <w:pPr>
        <w:bidi w:val="0"/>
      </w:pPr>
      <w:r>
        <w:t>甲方可以根据需求要求乙方增加投资改造内容，乙方按投资收益要求引起的服务费用增加。</w:t>
      </w:r>
    </w:p>
    <w:p w14:paraId="11B183FE">
      <w:pPr>
        <w:bidi w:val="0"/>
        <w:sectPr>
          <w:type w:val="continuous"/>
          <w:pgSz w:w="12250" w:h="17180"/>
          <w:pgMar w:top="600" w:right="1020" w:bottom="280" w:left="1120" w:header="720" w:footer="720" w:gutter="0"/>
          <w:cols w:space="720" w:num="1"/>
        </w:sectPr>
      </w:pPr>
    </w:p>
    <w:p w14:paraId="7F0D32A7">
      <w:pPr>
        <w:bidi w:val="0"/>
      </w:pPr>
    </w:p>
    <w:p w14:paraId="49480AD6">
      <w:pPr>
        <w:bidi w:val="0"/>
      </w:pPr>
      <w:r>
        <w:t>（八）增加服务内容引起的服务费用调整</w:t>
      </w:r>
    </w:p>
    <w:p w14:paraId="53BB6AD1">
      <w:pPr>
        <w:bidi w:val="0"/>
      </w:pPr>
      <w:r>
        <w:t>甲方可以根据需求要求乙方增加如运营值守、维修维保等其他综合服务的内容，乙方按服务内容增 加收取的服务费用。</w:t>
      </w:r>
    </w:p>
    <w:p w14:paraId="21949E32">
      <w:pPr>
        <w:bidi w:val="0"/>
      </w:pPr>
      <w:r>
        <w:t>（九）燃气、水、蒸汽、热水等其他用能托管调整规则</w:t>
      </w:r>
    </w:p>
    <w:p w14:paraId="7F69660D">
      <w:pPr>
        <w:bidi w:val="0"/>
      </w:pPr>
      <w:r>
        <w:t>对根据实际计量的燃气、水、蒸汽、热水等其他能源进行按实调整，按相对固定基准托管的其他用能 则参照用电调整规则执行。</w:t>
      </w:r>
    </w:p>
    <w:p w14:paraId="50CAB1E6">
      <w:pPr>
        <w:bidi w:val="0"/>
      </w:pPr>
      <w:r>
        <w:t>（十）其他因素导致改造节能效果受影响引起的费用调整</w:t>
      </w:r>
    </w:p>
    <w:p w14:paraId="45CE2393">
      <w:pPr>
        <w:bidi w:val="0"/>
      </w:pPr>
      <w:r>
        <w:t>如因非乙方原因导致改造节能效果受影响，双方综合评估影响原因和节费量减少数额，协商对托管 基准进行调整。</w:t>
      </w:r>
    </w:p>
    <w:p w14:paraId="26BD70B7">
      <w:pPr>
        <w:bidi w:val="0"/>
      </w:pPr>
      <w:r>
        <w:t>三、特殊行业专用类（以医院为例）</w:t>
      </w:r>
    </w:p>
    <w:p w14:paraId="7E0603D1">
      <w:pPr>
        <w:bidi w:val="0"/>
      </w:pPr>
      <w:r>
        <w:t>特殊行业托管项目宜结合项目情况明确以下专用调整规则：</w:t>
      </w:r>
    </w:p>
    <w:p w14:paraId="0329E898">
      <w:pPr>
        <w:bidi w:val="0"/>
      </w:pPr>
      <w:r>
        <w:t>（一）建筑行业专用调整规则</w:t>
      </w:r>
    </w:p>
    <w:p w14:paraId="32E932CA">
      <w:pPr>
        <w:bidi w:val="0"/>
      </w:pPr>
      <w:r>
        <w:t>建筑床位数发生变化调整规则</w:t>
      </w:r>
    </w:p>
    <w:p w14:paraId="3C92BE2D">
      <w:pPr>
        <w:bidi w:val="0"/>
      </w:pPr>
      <w:r>
        <w:t xml:space="preserve">以核定的床位数 </w:t>
      </w:r>
      <w:r>
        <w:rPr>
          <w:rFonts w:hint="eastAsia"/>
        </w:rPr>
        <w:t xml:space="preserve">2 500 </w:t>
      </w:r>
      <w:r>
        <w:t>张为基数，当核定床位数变化导致能耗增减，双方协商重新调整确认托管费用基准。</w:t>
      </w:r>
    </w:p>
    <w:p w14:paraId="2A5D7E82">
      <w:pPr>
        <w:bidi w:val="0"/>
      </w:pPr>
      <w:r>
        <w:t>大型用电设备增减用电调整规则</w:t>
      </w:r>
    </w:p>
    <w:p w14:paraId="6239E997">
      <w:pPr>
        <w:bidi w:val="0"/>
      </w:pPr>
      <w:r>
        <w:t>（</w:t>
      </w:r>
      <w:r>
        <w:rPr>
          <w:rFonts w:hint="eastAsia"/>
        </w:rPr>
        <w:t>1</w:t>
      </w:r>
      <w:r>
        <w:t>）大型用电设备</w:t>
      </w:r>
    </w:p>
    <w:p w14:paraId="63E6160C">
      <w:pPr>
        <w:bidi w:val="0"/>
      </w:pPr>
      <w:r>
        <w:t>大型用电设备指运行功率较大（</w:t>
      </w:r>
      <w:r>
        <w:rPr>
          <w:rFonts w:hint="eastAsia"/>
        </w:rPr>
        <w:t>≥3 kW</w:t>
      </w:r>
      <w:r>
        <w:t>），需单独由配电房敷设电缆的用电设备，例如热泵主机、多联机、冷水机组、电热水锅炉、</w:t>
      </w:r>
      <w:r>
        <w:rPr>
          <w:rFonts w:hint="eastAsia"/>
        </w:rPr>
        <w:t xml:space="preserve">CT </w:t>
      </w:r>
      <w:r>
        <w:t>机、核磁共振仪等。</w:t>
      </w:r>
    </w:p>
    <w:p w14:paraId="3D75CC7F">
      <w:pPr>
        <w:bidi w:val="0"/>
      </w:pPr>
      <w:r>
        <w:t>（</w:t>
      </w:r>
      <w:r>
        <w:rPr>
          <w:rFonts w:hint="eastAsia"/>
        </w:rPr>
        <w:t>2</w:t>
      </w:r>
      <w:r>
        <w:t>）大型用电设备增减用电调整规则</w:t>
      </w:r>
    </w:p>
    <w:p w14:paraId="1B905FFF">
      <w:pPr>
        <w:bidi w:val="0"/>
      </w:pPr>
      <w:r>
        <w:t>双方以医疗区</w:t>
      </w:r>
      <w:r>
        <w:rPr>
          <w:rFonts w:hint="eastAsia"/>
        </w:rPr>
        <w:t xml:space="preserve">×××× </w:t>
      </w:r>
      <w:r>
        <w:t>年</w:t>
      </w:r>
      <w:r>
        <w:rPr>
          <w:rFonts w:hint="eastAsia"/>
        </w:rPr>
        <w:t xml:space="preserve">×× </w:t>
      </w:r>
      <w:r>
        <w:t>月</w:t>
      </w:r>
      <w:r>
        <w:rPr>
          <w:rFonts w:hint="eastAsia"/>
        </w:rPr>
        <w:t xml:space="preserve">×× </w:t>
      </w:r>
      <w:r>
        <w:t>日—</w:t>
      </w:r>
      <w:r>
        <w:rPr>
          <w:rFonts w:hint="eastAsia"/>
        </w:rPr>
        <w:t xml:space="preserve">×××× </w:t>
      </w:r>
      <w:r>
        <w:t>年</w:t>
      </w:r>
      <w:r>
        <w:rPr>
          <w:rFonts w:hint="eastAsia"/>
        </w:rPr>
        <w:t xml:space="preserve">×× </w:t>
      </w:r>
      <w:r>
        <w:t>月</w:t>
      </w:r>
      <w:r>
        <w:rPr>
          <w:rFonts w:hint="eastAsia"/>
        </w:rPr>
        <w:t xml:space="preserve">×× </w:t>
      </w:r>
      <w:r>
        <w:t>日累计用电量</w:t>
      </w:r>
      <w:r>
        <w:rPr>
          <w:rFonts w:hint="eastAsia"/>
        </w:rPr>
        <w:t xml:space="preserve">××× kWh </w:t>
      </w:r>
      <w:r>
        <w:t>为电量托管基准。截至</w:t>
      </w:r>
      <w:r>
        <w:rPr>
          <w:rFonts w:hint="eastAsia"/>
        </w:rPr>
        <w:t>××××</w:t>
      </w:r>
      <w:r>
        <w:t>年</w:t>
      </w:r>
      <w:r>
        <w:rPr>
          <w:rFonts w:hint="eastAsia"/>
        </w:rPr>
        <w:t>××</w:t>
      </w:r>
      <w:r>
        <w:t>月，托管期内，每年根据实际增减大型用电设备的用电进行结算调整。</w:t>
      </w:r>
    </w:p>
    <w:p w14:paraId="15DDB880">
      <w:pPr>
        <w:bidi w:val="0"/>
      </w:pPr>
      <w:r>
        <w:rPr>
          <w:rFonts w:hint="eastAsia"/>
        </w:rPr>
        <w:t>××××</w:t>
      </w:r>
      <w:r>
        <w:t>年</w:t>
      </w:r>
      <w:r>
        <w:rPr>
          <w:rFonts w:hint="eastAsia"/>
        </w:rPr>
        <w:t>××</w:t>
      </w:r>
      <w:r>
        <w:t>月至合同签订日，用能单位添加的大型用电设备，需加装计量电表，从合同签订日开 始计量用电设备的年耗电量（年耗电量</w:t>
      </w:r>
      <w:r>
        <w:rPr>
          <w:rFonts w:hint="eastAsia"/>
        </w:rPr>
        <w:t>=</w:t>
      </w:r>
      <w:r>
        <w:t>计量电表日均用电量</w:t>
      </w:r>
      <w:r>
        <w:rPr>
          <w:rFonts w:hint="eastAsia"/>
        </w:rPr>
        <w:t>×</w:t>
      </w:r>
      <w:r>
        <w:t>投入使用天数）。</w:t>
      </w:r>
    </w:p>
    <w:p w14:paraId="7377115A">
      <w:pPr>
        <w:bidi w:val="0"/>
      </w:pPr>
      <w:r>
        <w:t>合同签订日之后，用能单位添加或减少大型用电设备前，应事先书面告知乙方新增用电设备及电缆 电源取电位置，乙方进行必要核实，新增用电设备新敷设电缆需由甲方加装计量电表，通电当日起开始计 量新增设备用电量（由双方确认），托管电量按电表实际计量读数进行相应的调增。针对大型用电设备的 退出，如相应的配电回路已加装计量电表，根据前一年同期抄表数据进行调减；如未加装计量电表，退出 前甲方需提前至少一个月告知乙方加装计量电表，根据计量读数进行全年的托管电量调减计算，最终调 减电量需经双方确认（年耗电量</w:t>
      </w:r>
      <w:r>
        <w:rPr>
          <w:rFonts w:hint="eastAsia"/>
        </w:rPr>
        <w:t>=</w:t>
      </w:r>
      <w:r>
        <w:t>计量电表日均用电量</w:t>
      </w:r>
      <w:r>
        <w:rPr>
          <w:rFonts w:hint="eastAsia"/>
        </w:rPr>
        <w:t>×</w:t>
      </w:r>
      <w:r>
        <w:t>投入使用天数）。</w:t>
      </w:r>
    </w:p>
    <w:p w14:paraId="7AC3FCEF">
      <w:pPr>
        <w:bidi w:val="0"/>
      </w:pPr>
      <w:r>
        <w:t>新建大楼投用或装修楼栋退出调整规则</w:t>
      </w:r>
    </w:p>
    <w:p w14:paraId="034F9609">
      <w:pPr>
        <w:bidi w:val="0"/>
      </w:pPr>
      <w:r>
        <w:t>考虑未来合同期内可能会有更多的新建大楼投用，一旦新大楼投入使用，建筑总电费会出现逐渐攀 升。因此，在新建大楼电量趋于稳定之前，按实际发生电费进行托管，需对新建大楼配电支路上加装分项 计量电表，实时计量新建大楼的电耗。</w:t>
      </w:r>
    </w:p>
    <w:p w14:paraId="522C0174">
      <w:pPr>
        <w:bidi w:val="0"/>
      </w:pPr>
      <w:r>
        <w:t>假定合同期内对应月份基准托管费用为 A 万元，当月新建大楼配电支路实际发生电费（由新建大楼</w:t>
      </w:r>
    </w:p>
    <w:p w14:paraId="6EE500FE">
      <w:pPr>
        <w:bidi w:val="0"/>
      </w:pPr>
      <w:r>
        <w:t>配电支路分项计量电表计量）为 B 万元，则该月托管费用为 A</w:t>
      </w:r>
      <w:r>
        <w:rPr>
          <w:rFonts w:hint="eastAsia"/>
        </w:rPr>
        <w:t>+</w:t>
      </w:r>
      <w:r>
        <w:t>B。</w:t>
      </w:r>
    </w:p>
    <w:p w14:paraId="0EB7393D">
      <w:pPr>
        <w:bidi w:val="0"/>
      </w:pPr>
      <w:r>
        <w:t>医疗区托管范围内的部分楼栋因设备设施老旧，需全楼退出进行翻新，从退出当月至托管年末止，需 将该楼栋相应的用电量进行调减结算（对装修退出前一年同期抄表数据进行调减结算），下一个合同年基 准能源量需将该楼栋的基准电量（以装修退出前一年总用电量为基准电量）扣减。翻新楼栋投用后电量 未趋于稳定的，按实际发生电费进行托管，需对装修楼栋配电支路加装分项计量电表，实时计量大楼的 电耗。</w:t>
      </w:r>
    </w:p>
    <w:p w14:paraId="563D37E6">
      <w:pPr>
        <w:bidi w:val="0"/>
      </w:pPr>
      <w:r>
        <w:t>用能区域功能发生重大变更</w:t>
      </w:r>
    </w:p>
    <w:p w14:paraId="741001D1">
      <w:pPr>
        <w:bidi w:val="0"/>
      </w:pPr>
      <w:r>
        <w:t>合同期内医疗区部分用能区域功能会发生重大调整，例如，宿舍功能调整为办公区、实验室及住院 病房，部分空置房间重新投用，部分房间装修退出使用等，会导致该楼栋用电量变化，相应调整规则 如下：</w:t>
      </w:r>
    </w:p>
    <w:p w14:paraId="6A857625">
      <w:pPr>
        <w:bidi w:val="0"/>
      </w:pPr>
      <w:r>
        <w:t>（</w:t>
      </w:r>
      <w:r>
        <w:rPr>
          <w:rFonts w:hint="eastAsia"/>
        </w:rPr>
        <w:t>1</w:t>
      </w:r>
      <w:r>
        <w:t xml:space="preserve">）当用能区域功能重大调整导致其所在楼栋年用电量变化率低于  </w:t>
      </w:r>
      <w:r>
        <w:rPr>
          <w:rFonts w:hint="eastAsia"/>
        </w:rPr>
        <w:t>5%</w:t>
      </w:r>
      <w:r>
        <w:t>（与调整前半年所在楼栋半年总用电量进行对比），托管电量不做调整。</w:t>
      </w:r>
    </w:p>
    <w:p w14:paraId="37F853CB">
      <w:pPr>
        <w:bidi w:val="0"/>
      </w:pPr>
      <w:r>
        <w:t>（</w:t>
      </w:r>
      <w:r>
        <w:rPr>
          <w:rFonts w:hint="eastAsia"/>
        </w:rPr>
        <w:t>2</w:t>
      </w:r>
      <w:r>
        <w:t xml:space="preserve">）当用能区域功能重大调整导致其所在楼栋年用电量变化率（调整前一年所在楼栋年总用电量进行对比）高于 </w:t>
      </w:r>
      <w:r>
        <w:rPr>
          <w:rFonts w:hint="eastAsia"/>
        </w:rPr>
        <w:t>5%</w:t>
      </w:r>
      <w:r>
        <w:t>，以调整前一年楼栋年总用电量为基准值，按实结算，多退少补。例如用能区域功能调整前一年所在楼栋年总用电量为 A 万</w:t>
      </w:r>
      <w:r>
        <w:rPr>
          <w:rFonts w:hint="eastAsia"/>
        </w:rPr>
        <w:t>kWh</w:t>
      </w:r>
      <w:r>
        <w:t>，功能变更当年及以后的年实际发生电量为 B万</w:t>
      </w:r>
      <w:r>
        <w:rPr>
          <w:rFonts w:hint="eastAsia"/>
        </w:rPr>
        <w:t>kWh</w:t>
      </w:r>
      <w:r>
        <w:t>，且</w:t>
      </w:r>
      <w:r>
        <w:rPr>
          <w:rFonts w:hint="eastAsia"/>
        </w:rPr>
        <w:t>│</w:t>
      </w:r>
      <w:r>
        <w:t>B</w:t>
      </w:r>
      <w:r>
        <w:rPr>
          <w:rFonts w:hint="eastAsia"/>
        </w:rPr>
        <w:t>-</w:t>
      </w:r>
      <w:r>
        <w:t>A</w:t>
      </w:r>
      <w:r>
        <w:rPr>
          <w:rFonts w:hint="eastAsia"/>
        </w:rPr>
        <w:t>│/</w:t>
      </w:r>
      <w:r>
        <w:t>A</w:t>
      </w:r>
      <w:r>
        <w:rPr>
          <w:rFonts w:hint="eastAsia"/>
        </w:rPr>
        <w:t>≥5%</w:t>
      </w:r>
      <w:r>
        <w:t>，则年托管电量调整电量为 B</w:t>
      </w:r>
      <w:r>
        <w:rPr>
          <w:rFonts w:hint="eastAsia"/>
        </w:rPr>
        <w:t>-</w:t>
      </w:r>
      <w:r>
        <w:t>A。</w:t>
      </w:r>
    </w:p>
    <w:p w14:paraId="15C2AE86">
      <w:pPr>
        <w:bidi w:val="0"/>
      </w:pPr>
      <w:r>
        <w:t>（二）数据机房专用调整规则</w:t>
      </w:r>
    </w:p>
    <w:p w14:paraId="6A46487A">
      <w:pPr>
        <w:bidi w:val="0"/>
      </w:pPr>
      <w:r>
        <w:t>机房设备实际电量发生变化对应的托管基准调整规则</w:t>
      </w:r>
    </w:p>
    <w:p w14:paraId="3DD301E8">
      <w:pPr>
        <w:bidi w:val="0"/>
      </w:pPr>
      <w:r>
        <w:t>考虑未来合同期内可能会有机房设备增加或退出，数据机房电费会出现波动。因此，在机房设备用 电趋于稳定之前，按实际发生电费进行托管，需对机房设备配电支路上加装分项计量电表，实时计量机房 设备的电耗，并对该部分电费按实结算。</w:t>
      </w:r>
    </w:p>
    <w:p w14:paraId="7E6F0386">
      <w:pPr>
        <w:bidi w:val="0"/>
      </w:pPr>
      <w:r>
        <w:t>机房设备实际电量发生变化引起空调负荷变化对应的托管基准调整规则</w:t>
      </w:r>
    </w:p>
    <w:p w14:paraId="17888805">
      <w:pPr>
        <w:bidi w:val="0"/>
      </w:pPr>
      <w:r>
        <w:t>机房设备用电变化的同时会引起空调负荷变化，从而导致空调用电发生变化，该部分用电变化量按 机房设备电耗变化量和双方约定的基准</w:t>
      </w:r>
      <w:r>
        <w:rPr>
          <w:rFonts w:hint="eastAsia"/>
        </w:rPr>
        <w:t xml:space="preserve">PUE </w:t>
      </w:r>
      <w:r>
        <w:t>值进行测算，多退少补。</w:t>
      </w:r>
    </w:p>
    <w:p w14:paraId="48CC6E31">
      <w:pPr>
        <w:bidi w:val="0"/>
      </w:pPr>
      <w:r>
        <w:t>ΔTn=ΔW×PUEn</w:t>
      </w:r>
    </w:p>
    <w:p w14:paraId="7D25AFAD">
      <w:pPr>
        <w:bidi w:val="0"/>
      </w:pPr>
      <w:r>
        <w:t>式中：</w:t>
      </w:r>
    </w:p>
    <w:p w14:paraId="69E508A0">
      <w:pPr>
        <w:bidi w:val="0"/>
      </w:pPr>
      <w:r>
        <w:rPr>
          <w:rFonts w:hint="eastAsia"/>
        </w:rPr>
        <w:t>Δ</w:t>
      </w:r>
      <w:r>
        <w:t>T</w:t>
      </w:r>
      <w:r>
        <w:rPr>
          <w:rFonts w:hint="eastAsia"/>
        </w:rPr>
        <w:t xml:space="preserve">n </w:t>
      </w:r>
      <w:r>
        <w:t>——空调用电变化对应托管基准调整值；</w:t>
      </w:r>
    </w:p>
    <w:p w14:paraId="79DB7A9D">
      <w:pPr>
        <w:bidi w:val="0"/>
      </w:pPr>
      <w:r>
        <w:rPr>
          <w:rFonts w:hint="eastAsia"/>
        </w:rPr>
        <w:t>Δ</w:t>
      </w:r>
      <w:r>
        <w:t xml:space="preserve">W ——机房设备用电变化量； </w:t>
      </w:r>
      <w:r>
        <w:rPr>
          <w:rFonts w:hint="eastAsia"/>
        </w:rPr>
        <w:t xml:space="preserve">PUEn </w:t>
      </w:r>
      <w:r>
        <w:t>——双方约定的基准</w:t>
      </w:r>
      <w:r>
        <w:rPr>
          <w:rFonts w:hint="eastAsia"/>
        </w:rPr>
        <w:t xml:space="preserve">PUE </w:t>
      </w:r>
      <w:r>
        <w:t>值。四、能源站</w:t>
      </w:r>
    </w:p>
    <w:p w14:paraId="0CAEF55D">
      <w:pPr>
        <w:bidi w:val="0"/>
      </w:pPr>
      <w:r>
        <w:t>空调冷量、采暖热量、热水热量、蒸汽用量（不含采暖和热水）等能源站能源用量与舒适品质、天气状 况、用能面积、用能时间等有很大关系，为更好向用户提供能源服务，减少因用户客观能源需求量变化而 带来的影响，实现公平公正的多退少补，双方约定，当能源站能源用量发生变化时，参考如下规则进行 调整：</w:t>
      </w:r>
    </w:p>
    <w:p w14:paraId="69F90510">
      <w:pPr>
        <w:bidi w:val="0"/>
        <w:rPr>
          <w:rFonts w:hint="eastAsia"/>
        </w:rPr>
      </w:pPr>
      <w:r>
        <w:t>（</w:t>
      </w:r>
      <w:r>
        <w:rPr>
          <w:rFonts w:hint="eastAsia"/>
        </w:rPr>
        <w:t>1</w:t>
      </w:r>
      <w:r>
        <w:t>）确定能源站能源单耗（空调冷量、采暖热量、热水热量、蒸汽用量）</w:t>
      </w:r>
      <w:r>
        <w:rPr>
          <w:rFonts w:hint="eastAsia"/>
        </w:rPr>
        <w:t>A1</w:t>
      </w:r>
      <w:r>
        <w:t>、</w:t>
      </w:r>
      <w:r>
        <w:rPr>
          <w:rFonts w:hint="eastAsia"/>
        </w:rPr>
        <w:t>A2</w:t>
      </w:r>
      <w:r>
        <w:t>、</w:t>
      </w:r>
      <w:r>
        <w:rPr>
          <w:rFonts w:hint="eastAsia"/>
        </w:rPr>
        <w:t>A3</w:t>
      </w:r>
      <w:r>
        <w:t>、</w:t>
      </w:r>
      <w:r>
        <w:rPr>
          <w:rFonts w:hint="eastAsia"/>
        </w:rPr>
        <w:t>A4</w:t>
      </w:r>
    </w:p>
    <w:p w14:paraId="48AE49C4">
      <w:pPr>
        <w:bidi w:val="0"/>
      </w:pPr>
      <w:r>
        <w:t xml:space="preserve">输出：能源站安装冷热量表，分别记录输出冷热量 </w:t>
      </w:r>
      <w:r>
        <w:rPr>
          <w:rFonts w:hint="eastAsia"/>
        </w:rPr>
        <w:t>B1</w:t>
      </w:r>
      <w:r>
        <w:t>、</w:t>
      </w:r>
      <w:r>
        <w:rPr>
          <w:rFonts w:hint="eastAsia"/>
        </w:rPr>
        <w:t>B2</w:t>
      </w:r>
      <w:r>
        <w:t>、</w:t>
      </w:r>
      <w:r>
        <w:rPr>
          <w:rFonts w:hint="eastAsia"/>
        </w:rPr>
        <w:t xml:space="preserve">B3 </w:t>
      </w:r>
      <w:r>
        <w:t>、</w:t>
      </w:r>
      <w:r>
        <w:rPr>
          <w:rFonts w:hint="eastAsia"/>
        </w:rPr>
        <w:t>B4</w:t>
      </w:r>
      <w:r>
        <w:t>（包含空调输出冷量、采暖输出热量、热水输出热量、蒸汽输出量）。</w:t>
      </w:r>
    </w:p>
    <w:p w14:paraId="26B7E269">
      <w:pPr>
        <w:bidi w:val="0"/>
      </w:pPr>
      <w:r>
        <w:t xml:space="preserve">输入：能源站安装计量表具，分别记录消耗量为 </w:t>
      </w:r>
      <w:r>
        <w:rPr>
          <w:rFonts w:hint="eastAsia"/>
        </w:rPr>
        <w:t>C1</w:t>
      </w:r>
      <w:r>
        <w:t>、</w:t>
      </w:r>
      <w:r>
        <w:rPr>
          <w:rFonts w:hint="eastAsia"/>
        </w:rPr>
        <w:t>C2</w:t>
      </w:r>
      <w:r>
        <w:t>、</w:t>
      </w:r>
      <w:r>
        <w:rPr>
          <w:rFonts w:hint="eastAsia"/>
        </w:rPr>
        <w:t>C3</w:t>
      </w:r>
      <w:r>
        <w:t>、</w:t>
      </w:r>
      <w:r>
        <w:rPr>
          <w:rFonts w:hint="eastAsia"/>
        </w:rPr>
        <w:t>C4</w:t>
      </w:r>
      <w:r>
        <w:t>。采样周期：具备计量条件之日起第一个完整年。</w:t>
      </w:r>
    </w:p>
    <w:p w14:paraId="7AF327C0">
      <w:pPr>
        <w:bidi w:val="0"/>
      </w:pPr>
      <w:r>
        <w:t>能源单耗</w:t>
      </w:r>
      <w:r>
        <w:rPr>
          <w:rFonts w:hint="eastAsia"/>
        </w:rPr>
        <w:t>A1=C1/B1</w:t>
      </w:r>
      <w:r>
        <w:t>，</w:t>
      </w:r>
      <w:r>
        <w:rPr>
          <w:rFonts w:hint="eastAsia"/>
        </w:rPr>
        <w:t>A2=C2/B2</w:t>
      </w:r>
      <w:r>
        <w:t>，</w:t>
      </w:r>
      <w:r>
        <w:rPr>
          <w:rFonts w:hint="eastAsia"/>
        </w:rPr>
        <w:t>A3=C3/B3</w:t>
      </w:r>
      <w:r>
        <w:t>，</w:t>
      </w:r>
      <w:r>
        <w:rPr>
          <w:rFonts w:hint="eastAsia"/>
        </w:rPr>
        <w:t>A4=C4/B4</w:t>
      </w:r>
      <w:r>
        <w:t>。</w:t>
      </w:r>
    </w:p>
    <w:p w14:paraId="510C008C">
      <w:pPr>
        <w:bidi w:val="0"/>
      </w:pPr>
      <w:r>
        <w:t>（</w:t>
      </w:r>
      <w:r>
        <w:rPr>
          <w:rFonts w:hint="eastAsia"/>
        </w:rPr>
        <w:t>2</w:t>
      </w:r>
      <w:r>
        <w:t>）能源站能源用量基准</w:t>
      </w:r>
    </w:p>
    <w:p w14:paraId="12D5AC7C">
      <w:pPr>
        <w:bidi w:val="0"/>
      </w:pPr>
      <w:r>
        <w:t xml:space="preserve">能源站能源用量（空调冷量、采暖热量、热水热量、蒸汽用量）基准 </w:t>
      </w:r>
      <w:r>
        <w:rPr>
          <w:rFonts w:hint="eastAsia"/>
        </w:rPr>
        <w:t>D1</w:t>
      </w:r>
      <w:r>
        <w:t>、</w:t>
      </w:r>
      <w:r>
        <w:rPr>
          <w:rFonts w:hint="eastAsia"/>
        </w:rPr>
        <w:t>D2</w:t>
      </w:r>
      <w:r>
        <w:t>、</w:t>
      </w:r>
      <w:r>
        <w:rPr>
          <w:rFonts w:hint="eastAsia"/>
        </w:rPr>
        <w:t>D3</w:t>
      </w:r>
      <w:r>
        <w:t>、</w:t>
      </w:r>
      <w:r>
        <w:rPr>
          <w:rFonts w:hint="eastAsia"/>
        </w:rPr>
        <w:t xml:space="preserve">D4 </w:t>
      </w:r>
      <w:r>
        <w:t>为能量表计具备计量条件之日起第一个完整年数据。</w:t>
      </w:r>
    </w:p>
    <w:p w14:paraId="2436B03D">
      <w:pPr>
        <w:bidi w:val="0"/>
      </w:pPr>
      <w:r>
        <w:t>（</w:t>
      </w:r>
      <w:r>
        <w:rPr>
          <w:rFonts w:hint="eastAsia"/>
        </w:rPr>
        <w:t>3</w:t>
      </w:r>
      <w:r>
        <w:t>）能源站能源费用调整</w:t>
      </w:r>
    </w:p>
    <w:p w14:paraId="0B2154AC">
      <w:pPr>
        <w:bidi w:val="0"/>
      </w:pPr>
      <w:r>
        <w:t xml:space="preserve">当用能需求发生显著变化时（年实际用能量比基准年用能量增加或减少幅度超过 </w:t>
      </w:r>
      <w:r>
        <w:rPr>
          <w:rFonts w:hint="eastAsia"/>
        </w:rPr>
        <w:t>5%</w:t>
      </w:r>
      <w:r>
        <w:t>），对能源托管费用进行调整，具体如下：</w:t>
      </w:r>
    </w:p>
    <w:p w14:paraId="7523639E">
      <w:pPr>
        <w:bidi w:val="0"/>
      </w:pPr>
      <w:r>
        <w:t xml:space="preserve">能源站费用调整：改造后年实际能源用量（空调冷量、采暖热量、热水热量、蒸汽用量）若为 </w:t>
      </w:r>
      <w:r>
        <w:rPr>
          <w:rFonts w:hint="eastAsia"/>
        </w:rPr>
        <w:t>E1</w:t>
      </w:r>
      <w:r>
        <w:t>、</w:t>
      </w:r>
      <w:r>
        <w:rPr>
          <w:rFonts w:hint="eastAsia"/>
        </w:rPr>
        <w:t>E2</w:t>
      </w:r>
      <w:r>
        <w:t>、</w:t>
      </w:r>
    </w:p>
    <w:p w14:paraId="2096A2D8">
      <w:pPr>
        <w:bidi w:val="0"/>
      </w:pPr>
      <w:r>
        <w:rPr>
          <w:rFonts w:hint="eastAsia"/>
        </w:rPr>
        <w:t>E3</w:t>
      </w:r>
      <w:r>
        <w:t>、</w:t>
      </w:r>
      <w:r>
        <w:rPr>
          <w:rFonts w:hint="eastAsia"/>
        </w:rPr>
        <w:t>E4</w:t>
      </w:r>
      <w:r>
        <w:t>，则计算公式如下：</w:t>
      </w:r>
    </w:p>
    <w:p w14:paraId="5297FEE5">
      <w:pPr>
        <w:bidi w:val="0"/>
        <w:rPr>
          <w:rFonts w:hint="eastAsia"/>
        </w:rPr>
      </w:pPr>
      <w:r>
        <w:t>能源站调整费</w:t>
      </w:r>
      <w:r>
        <w:rPr>
          <w:rFonts w:hint="eastAsia"/>
        </w:rPr>
        <w:t>=</w:t>
      </w:r>
      <w:r>
        <w:t>（</w:t>
      </w:r>
      <w:r>
        <w:rPr>
          <w:rFonts w:hint="eastAsia"/>
        </w:rPr>
        <w:t>E1-D1</w:t>
      </w:r>
      <w:r>
        <w:t>）</w:t>
      </w:r>
      <w:r>
        <w:rPr>
          <w:rFonts w:hint="eastAsia"/>
        </w:rPr>
        <w:t xml:space="preserve">×A1× </w:t>
      </w:r>
      <w:r>
        <w:t>当年平均能源单价</w:t>
      </w:r>
      <w:r>
        <w:rPr>
          <w:rFonts w:hint="eastAsia"/>
        </w:rPr>
        <w:t>+</w:t>
      </w:r>
      <w:r>
        <w:t>（</w:t>
      </w:r>
      <w:r>
        <w:rPr>
          <w:rFonts w:hint="eastAsia"/>
        </w:rPr>
        <w:t>E2-D2</w:t>
      </w:r>
      <w:r>
        <w:t>）</w:t>
      </w:r>
      <w:r>
        <w:rPr>
          <w:rFonts w:hint="eastAsia"/>
        </w:rPr>
        <w:t xml:space="preserve">×A2× </w:t>
      </w:r>
      <w:r>
        <w:t>当年平均能源单价</w:t>
      </w:r>
      <w:r>
        <w:rPr>
          <w:rFonts w:hint="eastAsia"/>
        </w:rPr>
        <w:t>+</w:t>
      </w:r>
    </w:p>
    <w:p w14:paraId="2CC9D247">
      <w:pPr>
        <w:bidi w:val="0"/>
      </w:pPr>
      <w:r>
        <w:t>（</w:t>
      </w:r>
      <w:r>
        <w:rPr>
          <w:rFonts w:hint="eastAsia"/>
        </w:rPr>
        <w:t>E3-D3</w:t>
      </w:r>
      <w:r>
        <w:t>）</w:t>
      </w:r>
      <w:r>
        <w:rPr>
          <w:rFonts w:hint="eastAsia"/>
        </w:rPr>
        <w:t xml:space="preserve">×A3×  </w:t>
      </w:r>
      <w:r>
        <w:t>当年平均能源单价</w:t>
      </w:r>
      <w:r>
        <w:rPr>
          <w:rFonts w:hint="eastAsia"/>
        </w:rPr>
        <w:t>+</w:t>
      </w:r>
      <w:r>
        <w:t>（</w:t>
      </w:r>
      <w:r>
        <w:rPr>
          <w:rFonts w:hint="eastAsia"/>
        </w:rPr>
        <w:t>E4-D4</w:t>
      </w:r>
      <w:r>
        <w:t>）</w:t>
      </w:r>
      <w:r>
        <w:rPr>
          <w:rFonts w:hint="eastAsia"/>
        </w:rPr>
        <w:t xml:space="preserve">×A4×  </w:t>
      </w:r>
      <w:r>
        <w:t>当年平均能源单价。若能源用量发生较大变化</w:t>
      </w:r>
    </w:p>
    <w:p w14:paraId="231A2DCD">
      <w:pPr>
        <w:bidi w:val="0"/>
      </w:pPr>
      <w:r>
        <w:t xml:space="preserve">（幅度超过 </w:t>
      </w:r>
      <w:r>
        <w:rPr>
          <w:rFonts w:hint="eastAsia"/>
        </w:rPr>
        <w:t>20%</w:t>
      </w:r>
      <w:r>
        <w:t>），双方可以签订补充协议进行协商约定。</w:t>
      </w:r>
    </w:p>
    <w:p w14:paraId="0B2C3D74">
      <w:pPr>
        <w:bidi w:val="0"/>
      </w:pPr>
    </w:p>
    <w:p w14:paraId="72144442">
      <w:pPr>
        <w:bidi w:val="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Light">
    <w:panose1 w:val="020B0502040204020203"/>
    <w:charset w:val="86"/>
    <w:family w:val="auto"/>
    <w:pitch w:val="default"/>
    <w:sig w:usb0="80000287" w:usb1="2ACF0010" w:usb2="00000016" w:usb3="00000000" w:csb0="0004001F" w:csb1="00000000"/>
  </w:font>
  <w:font w:name="Calibri">
    <w:panose1 w:val="020F0502020204030204"/>
    <w:charset w:val="86"/>
    <w:family w:val="swiss"/>
    <w:pitch w:val="default"/>
    <w:sig w:usb0="E00002FF" w:usb1="4000ACFF" w:usb2="00000001" w:usb3="00000000" w:csb0="2000019F" w:csb1="00000000"/>
  </w:font>
  <w:font w:name="MS PMincho">
    <w:panose1 w:val="02020600040205080304"/>
    <w:charset w:val="80"/>
    <w:family w:val="roman"/>
    <w:pitch w:val="default"/>
    <w:sig w:usb0="E00002FF" w:usb1="6AC7FDFB" w:usb2="00000012" w:usb3="00000000" w:csb0="4002009F" w:csb1="DFD70000"/>
  </w:font>
  <w:font w:name="Calibri Light">
    <w:panose1 w:val="020F0302020204030204"/>
    <w:charset w:val="00"/>
    <w:family w:val="auto"/>
    <w:pitch w:val="default"/>
    <w:sig w:usb0="A00002EF" w:usb1="4000207B" w:usb2="00000000" w:usb3="00000000" w:csb0="2000019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19753">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F7D3C7">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2CF7D3C7">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97B02"/>
    <w:rsid w:val="01BD0368"/>
    <w:rsid w:val="03BF44C4"/>
    <w:rsid w:val="09A15352"/>
    <w:rsid w:val="0A383E98"/>
    <w:rsid w:val="10576A47"/>
    <w:rsid w:val="146B157B"/>
    <w:rsid w:val="153D7C14"/>
    <w:rsid w:val="1AA22EBC"/>
    <w:rsid w:val="1BB94C07"/>
    <w:rsid w:val="1F8D23B7"/>
    <w:rsid w:val="202E4A5B"/>
    <w:rsid w:val="252A2471"/>
    <w:rsid w:val="258834E8"/>
    <w:rsid w:val="25E9135F"/>
    <w:rsid w:val="31D71535"/>
    <w:rsid w:val="37683F40"/>
    <w:rsid w:val="39686A01"/>
    <w:rsid w:val="39DF1DF8"/>
    <w:rsid w:val="39E70EE2"/>
    <w:rsid w:val="3E176008"/>
    <w:rsid w:val="40264C61"/>
    <w:rsid w:val="40EC10FE"/>
    <w:rsid w:val="417250B7"/>
    <w:rsid w:val="43FC5D17"/>
    <w:rsid w:val="448601D8"/>
    <w:rsid w:val="471D00FA"/>
    <w:rsid w:val="47A2569C"/>
    <w:rsid w:val="4BD258F2"/>
    <w:rsid w:val="4FDA1EDA"/>
    <w:rsid w:val="51297B02"/>
    <w:rsid w:val="534D186D"/>
    <w:rsid w:val="53B777C8"/>
    <w:rsid w:val="548A5220"/>
    <w:rsid w:val="56D87392"/>
    <w:rsid w:val="582B0AE5"/>
    <w:rsid w:val="5AEB0F5F"/>
    <w:rsid w:val="5E7044CA"/>
    <w:rsid w:val="620E3039"/>
    <w:rsid w:val="62D61F33"/>
    <w:rsid w:val="6D3443AA"/>
    <w:rsid w:val="6E9C0605"/>
    <w:rsid w:val="753C5BE5"/>
    <w:rsid w:val="79AC020A"/>
    <w:rsid w:val="7AE12335"/>
    <w:rsid w:val="7D734561"/>
    <w:rsid w:val="7E352FAE"/>
    <w:rsid w:val="7E5F7E1D"/>
    <w:rsid w:val="7FB0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link w:val="11"/>
    <w:qFormat/>
    <w:uiPriority w:val="0"/>
    <w:pPr>
      <w:keepNext/>
      <w:keepLines/>
      <w:snapToGrid w:val="0"/>
      <w:spacing w:line="400" w:lineRule="atLeast"/>
      <w:jc w:val="center"/>
      <w:outlineLvl w:val="0"/>
    </w:pPr>
    <w:rPr>
      <w:rFonts w:ascii="宋体" w:hAnsi="宋体" w:eastAsia="微软雅黑" w:cs="Times New Roman"/>
      <w:b/>
      <w:kern w:val="28"/>
      <w:sz w:val="36"/>
      <w:szCs w:val="20"/>
    </w:rPr>
  </w:style>
  <w:style w:type="paragraph" w:styleId="3">
    <w:name w:val="heading 2"/>
    <w:basedOn w:val="1"/>
    <w:link w:val="12"/>
    <w:semiHidden/>
    <w:unhideWhenUsed/>
    <w:qFormat/>
    <w:uiPriority w:val="0"/>
    <w:pPr>
      <w:snapToGrid w:val="0"/>
      <w:spacing w:before="120" w:after="120" w:line="360" w:lineRule="auto"/>
      <w:jc w:val="left"/>
      <w:outlineLvl w:val="1"/>
    </w:pPr>
    <w:rPr>
      <w:rFonts w:ascii="宋体" w:hAnsi="宋体" w:eastAsia="微软雅黑 Light" w:cs="Times New Roman"/>
      <w:b/>
      <w:sz w:val="28"/>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ascii="Tahoma" w:hAnsi="Tahoma" w:eastAsia="宋体" w:cs="Times New Roman"/>
      <w:b/>
      <w:sz w:val="24"/>
      <w:szCs w:val="22"/>
    </w:rPr>
  </w:style>
  <w:style w:type="paragraph" w:styleId="8">
    <w:name w:val="toc 2"/>
    <w:basedOn w:val="1"/>
    <w:next w:val="1"/>
    <w:qFormat/>
    <w:uiPriority w:val="0"/>
    <w:pPr>
      <w:ind w:left="420" w:leftChars="200"/>
    </w:pPr>
    <w:rPr>
      <w:rFonts w:ascii="Times New Roman" w:hAnsi="Times New Roman" w:eastAsia="宋体" w:cs="Times New Roman"/>
      <w:sz w:val="24"/>
    </w:rPr>
  </w:style>
  <w:style w:type="character" w:customStyle="1" w:styleId="11">
    <w:name w:val="标题 1 Char1"/>
    <w:link w:val="2"/>
    <w:qFormat/>
    <w:uiPriority w:val="0"/>
    <w:rPr>
      <w:rFonts w:ascii="宋体" w:hAnsi="宋体" w:eastAsia="微软雅黑" w:cs="Times New Roman"/>
      <w:b/>
      <w:kern w:val="28"/>
      <w:sz w:val="36"/>
      <w:szCs w:val="20"/>
    </w:rPr>
  </w:style>
  <w:style w:type="character" w:customStyle="1" w:styleId="12">
    <w:name w:val="标题 2 Char"/>
    <w:link w:val="3"/>
    <w:qFormat/>
    <w:uiPriority w:val="0"/>
    <w:rPr>
      <w:rFonts w:ascii="宋体" w:hAnsi="宋体" w:eastAsia="微软雅黑 Light" w:cs="Times New Roman"/>
      <w:b/>
      <w:sz w:val="28"/>
      <w:szCs w:val="20"/>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4"/>
      <w:szCs w:val="24"/>
      <w:lang w:val="en-US" w:eastAsia="en-US" w:bidi="ar-SA"/>
    </w:rPr>
  </w:style>
  <w:style w:type="paragraph" w:customStyle="1" w:styleId="15">
    <w:name w:val="Table Paragraph"/>
    <w:basedOn w:val="1"/>
    <w:qFormat/>
    <w:uiPriority w:val="1"/>
    <w:rPr>
      <w:rFonts w:ascii="宋体" w:hAnsi="宋体" w:eastAsia="宋体" w:cs="宋体"/>
    </w:rPr>
  </w:style>
  <w:style w:type="paragraph" w:styleId="16">
    <w:name w:val="List Paragraph"/>
    <w:basedOn w:val="1"/>
    <w:qFormat/>
    <w:uiPriority w:val="1"/>
    <w:pPr>
      <w:ind w:left="1315" w:hanging="420"/>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4</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2025-05-23T08:38:00Z</dcterms:created>
  <dc:creator>Administrator</dc:creator>
  <cp:lastModifiedBy>Administrator</cp:lastModifiedBy>
  <dcterms:modified xsi:type="dcterms:W3CDTF">2025-05-27T03:53:44Z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4405D86330C84569B078E7B5E8FF01E4_13</vt:lpwstr>
  </property>
</Properties>
</file>