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48206D">
      <w:pPr>
        <w:rPr>
          <w:rFonts w:hint="default" w:eastAsiaTheme="minorEastAsia"/>
          <w:lang w:val="en-US" w:eastAsia="zh-CN"/>
        </w:rPr>
      </w:pPr>
      <w:r>
        <w:rPr>
          <w:rFonts w:hint="eastAsia"/>
          <w:lang w:val="en-US" w:eastAsia="zh-CN"/>
        </w:rPr>
        <w:t>服务要求：</w:t>
      </w:r>
    </w:p>
    <w:p w14:paraId="607E2F7F"/>
    <w:p w14:paraId="76864437"/>
    <w:p w14:paraId="3B65B6DD"/>
    <w:tbl>
      <w:tblPr>
        <w:tblStyle w:val="3"/>
        <w:tblW w:w="0" w:type="auto"/>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503"/>
        <w:gridCol w:w="5689"/>
        <w:gridCol w:w="616"/>
        <w:gridCol w:w="616"/>
      </w:tblGrid>
      <w:tr w14:paraId="6C73E5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A40132">
            <w:pPr>
              <w:keepNext w:val="0"/>
              <w:keepLines w:val="0"/>
              <w:widowControl/>
              <w:suppressLineNumbers w:val="0"/>
              <w:jc w:val="center"/>
              <w:textAlignment w:val="center"/>
              <w:rPr>
                <w:rFonts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项目</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F1350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技术参数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AD13B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数量</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381CB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单位</w:t>
            </w:r>
          </w:p>
        </w:tc>
      </w:tr>
      <w:tr w14:paraId="5B28F9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55"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086A375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数据库存储服务</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top"/>
          </w:tcPr>
          <w:p w14:paraId="1B447B50">
            <w:pPr>
              <w:keepNext w:val="0"/>
              <w:keepLines w:val="0"/>
              <w:widowControl/>
              <w:suppressLineNumbers w:val="0"/>
              <w:jc w:val="left"/>
              <w:textAlignment w:val="top"/>
              <w:rPr>
                <w:rFonts w:hint="eastAsia" w:ascii="微软雅黑" w:hAnsi="微软雅黑" w:eastAsia="微软雅黑" w:cs="微软雅黑"/>
                <w:i w:val="0"/>
                <w:iCs w:val="0"/>
                <w:color w:val="auto"/>
                <w:kern w:val="0"/>
                <w:sz w:val="20"/>
                <w:szCs w:val="20"/>
                <w:u w:val="none"/>
                <w:lang w:val="en-US" w:eastAsia="zh-CN" w:bidi="ar"/>
              </w:rPr>
            </w:pPr>
            <w:r>
              <w:rPr>
                <w:rFonts w:hint="eastAsia" w:ascii="微软雅黑" w:hAnsi="微软雅黑" w:eastAsia="微软雅黑" w:cs="微软雅黑"/>
                <w:i w:val="0"/>
                <w:iCs w:val="0"/>
                <w:color w:val="000000"/>
                <w:kern w:val="0"/>
                <w:sz w:val="20"/>
                <w:szCs w:val="20"/>
                <w:u w:val="none"/>
                <w:lang w:val="en-US" w:eastAsia="zh-CN" w:bidi="ar"/>
              </w:rPr>
              <w:t xml:space="preserve"> ▲1、NVMe全闪存储，端到端NVMe架构，后端支持基于RDMA/PCIE的NVMe协议。提供官网规格表+白皮书截图。</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2、配置两个控制器，控制器采用Active-Active 架构，LUN不归属于某一个控制器，业务负载均衡到≥2个控制器。</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3、本次配置双主控；缓存容量配置≥512GB，（不含任何性能加速模块、FlashCache、PAM卡，SSDCache 等）。</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4、配置双控制器，支持≥32控制器扩展，配置国产CPU，CPU主频为≥2.6GHz，配置控制器处理器总核心数≥128核（不含任何加速芯片、ASIC芯片等）。</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配置国产BMC芯片。控制器Scale-out互联支持100G RDMA网络。</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5、本次配置≥8个25Gb 端口（含8个多模10GbSFP+ 模块），≥8个32G FC 端口（含模块）</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6、具备,Nvme SSD缓存盘（不含快照保留空间，需要单独预留快照空间）。配置全部容量授权许可，未来硬盘不需要再支付相应的授权许可费</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 xml:space="preserve">▲7、配置存储双活功能，不依赖外额硬件设备实现跨机房存储间active-active真双活，实现对双活卷的同时可读写操作；支持冗余配置的部件，如缓存、内存、控制卡、闪盘、RAID控制器、电源、风扇等，没有单点故障。支持SAN和NAS的一体化双活，减少复制网络配置复杂度。一个站点发生故障后，另一个站点可自动快速拉起业务（秒级）；一个站点故障恢复后，双活关系可自动恢复。需要提供证明材料。 </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8、双活复制网络支持FC、IP、RoCE组网。</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9、支持在同一个RAID组内容忍任意3盘同时失效，数据不丢&amp;不中断业务；</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10、支持单链路软件升级；</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▲11、配置Qos功能，支持按照LUN、LUN组和主机的方式进行流量控制。支持租户级QoS。提供官网规格表+白皮书截图。</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12、支持租户级配额</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13、配置性能监控功能，可监控数据LUN 或 FC 端口的IOPS、带宽及延时数据，可查看实时性能数据与历史统计数据支持多种事件通知功能，包含Email，SNMP等</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14、要求设备配置快照、压缩、重删、克隆等全功能软件许可。</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15、存储系统采用对称AA架构，LUN无控制器归属，在多控配置下，能够负载到所有控制器，CPU利用率差异小于5%。</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16、配置ROW无损快照功能，满足如下：</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(1).支持单LUN ≥6万个快照，系统≥100万个快照；</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(2).系统提供每3秒做一次快照备份</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(3).恢复任意时间点快照，其他时间点快照不丢失。</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(4).支持快照一致性组</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▲(5).提供无损快照功能，系统性能不因快照数量增加而下降，同时开启快照功能时阵列时延能够稳定在＜1ms。</w:t>
            </w:r>
            <w:bookmarkStart w:id="0" w:name="_GoBack"/>
            <w:r>
              <w:rPr>
                <w:rFonts w:hint="eastAsia" w:ascii="微软雅黑" w:hAnsi="微软雅黑" w:eastAsia="微软雅黑" w:cs="微软雅黑"/>
                <w:i w:val="0"/>
                <w:iCs w:val="0"/>
                <w:color w:val="auto"/>
                <w:kern w:val="0"/>
                <w:sz w:val="20"/>
                <w:szCs w:val="20"/>
                <w:u w:val="none"/>
                <w:lang w:val="en-US" w:eastAsia="zh-CN" w:bidi="ar"/>
              </w:rPr>
              <w:t>并提供具备第三方权威评测机构签字盖章的无损快照的测试报告，加盖存储厂商有效公章。</w:t>
            </w:r>
            <w:r>
              <w:rPr>
                <w:rFonts w:hint="eastAsia" w:ascii="微软雅黑" w:hAnsi="微软雅黑" w:eastAsia="微软雅黑" w:cs="微软雅黑"/>
                <w:i w:val="0"/>
                <w:iCs w:val="0"/>
                <w:color w:val="auto"/>
                <w:kern w:val="0"/>
                <w:sz w:val="20"/>
                <w:szCs w:val="20"/>
                <w:u w:val="none"/>
                <w:lang w:val="en-US" w:eastAsia="zh-CN" w:bidi="ar"/>
              </w:rPr>
              <w:br w:type="textWrapping"/>
            </w:r>
            <w:r>
              <w:rPr>
                <w:rFonts w:hint="eastAsia" w:ascii="微软雅黑" w:hAnsi="微软雅黑" w:eastAsia="微软雅黑" w:cs="微软雅黑"/>
                <w:i w:val="0"/>
                <w:iCs w:val="0"/>
                <w:color w:val="auto"/>
                <w:kern w:val="0"/>
                <w:sz w:val="20"/>
                <w:szCs w:val="20"/>
                <w:u w:val="none"/>
                <w:lang w:val="en-US" w:eastAsia="zh-CN" w:bidi="ar"/>
              </w:rPr>
              <w:t>17、配置多租户隔离功能，客户端通过租户数据逻辑端口只能访问该租户内的共享。</w:t>
            </w:r>
            <w:r>
              <w:rPr>
                <w:rFonts w:hint="eastAsia" w:ascii="微软雅黑" w:hAnsi="微软雅黑" w:eastAsia="微软雅黑" w:cs="微软雅黑"/>
                <w:i w:val="0"/>
                <w:iCs w:val="0"/>
                <w:color w:val="auto"/>
                <w:kern w:val="0"/>
                <w:sz w:val="20"/>
                <w:szCs w:val="20"/>
                <w:u w:val="none"/>
                <w:lang w:val="en-US" w:eastAsia="zh-CN" w:bidi="ar"/>
              </w:rPr>
              <w:br w:type="textWrapping"/>
            </w:r>
            <w:r>
              <w:rPr>
                <w:rFonts w:hint="eastAsia" w:ascii="微软雅黑" w:hAnsi="微软雅黑" w:eastAsia="微软雅黑" w:cs="微软雅黑"/>
                <w:i w:val="0"/>
                <w:iCs w:val="0"/>
                <w:color w:val="auto"/>
                <w:kern w:val="0"/>
                <w:sz w:val="20"/>
                <w:szCs w:val="20"/>
                <w:u w:val="none"/>
                <w:lang w:val="en-US" w:eastAsia="zh-CN" w:bidi="ar"/>
              </w:rPr>
              <w:t>▲提供具备第三方权威评测机构签字盖章的测试报告复印件，加盖存储厂商有效公章。</w:t>
            </w:r>
          </w:p>
          <w:bookmarkEnd w:id="0"/>
          <w:p w14:paraId="75833180">
            <w:pPr>
              <w:keepNext w:val="0"/>
              <w:keepLines w:val="0"/>
              <w:widowControl/>
              <w:suppressLineNumbers w:val="0"/>
              <w:jc w:val="left"/>
              <w:textAlignment w:val="top"/>
              <w:rPr>
                <w:rFonts w:hint="eastAsia" w:ascii="微软雅黑" w:hAnsi="微软雅黑" w:eastAsia="微软雅黑" w:cs="微软雅黑"/>
                <w:i w:val="0"/>
                <w:iCs w:val="0"/>
                <w:color w:val="000000"/>
                <w:kern w:val="0"/>
                <w:sz w:val="20"/>
                <w:szCs w:val="20"/>
                <w:u w:val="none"/>
                <w:lang w:val="en-US" w:eastAsia="zh-CN" w:bidi="ar"/>
              </w:rPr>
            </w:pPr>
            <w:r>
              <w:rPr>
                <w:rFonts w:hint="eastAsia" w:ascii="微软雅黑" w:hAnsi="微软雅黑" w:eastAsia="微软雅黑" w:cs="微软雅黑"/>
                <w:i w:val="0"/>
                <w:iCs w:val="0"/>
                <w:color w:val="000000"/>
                <w:kern w:val="0"/>
                <w:sz w:val="20"/>
                <w:szCs w:val="20"/>
                <w:u w:val="none"/>
                <w:lang w:val="en-US" w:eastAsia="zh-CN" w:bidi="ar"/>
              </w:rPr>
              <w:t>18、本次存储提供业务可用空间≥16.24T，提供双活存储，总空间合计≥32.48T</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54DEA9F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03A39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项</w:t>
            </w:r>
          </w:p>
        </w:tc>
      </w:tr>
      <w:tr w14:paraId="3952FD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D69AB3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云计算裸金属节点服务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top"/>
          </w:tcPr>
          <w:p w14:paraId="0DA0B85D">
            <w:pPr>
              <w:keepNext w:val="0"/>
              <w:keepLines w:val="0"/>
              <w:widowControl/>
              <w:suppressLineNumbers w:val="0"/>
              <w:jc w:val="left"/>
              <w:textAlignment w:val="top"/>
              <w:rPr>
                <w:rFonts w:hint="default" w:ascii="微软雅黑" w:hAnsi="微软雅黑" w:eastAsia="微软雅黑" w:cs="微软雅黑"/>
                <w:i w:val="0"/>
                <w:iCs w:val="0"/>
                <w:color w:val="000000"/>
                <w:sz w:val="20"/>
                <w:szCs w:val="20"/>
                <w:u w:val="none"/>
                <w:lang w:val="en-US"/>
              </w:rPr>
            </w:pPr>
            <w:r>
              <w:rPr>
                <w:rFonts w:hint="eastAsia" w:ascii="微软雅黑" w:hAnsi="微软雅黑" w:eastAsia="微软雅黑" w:cs="微软雅黑"/>
                <w:i w:val="0"/>
                <w:iCs w:val="0"/>
                <w:color w:val="000000"/>
                <w:kern w:val="0"/>
                <w:sz w:val="20"/>
                <w:szCs w:val="20"/>
                <w:u w:val="none"/>
                <w:lang w:val="en-US" w:eastAsia="zh-CN" w:bidi="ar"/>
              </w:rPr>
              <w:t>裸金属服务器：投标品牌（非OEM原厂），单台配置：CPU≥32Core，主频≥2.8G，内存≥384GB，系统盘≥2*960GB  nvme SSD硬盘/RAID卡，UN-NVMe-VROC-Key-P Intel NVMe VROC 模块-高级版*1；支持RAID 1,5,6/ 25GE双口光网卡*2*(支持RDMA)/10GE双光网卡*2/1GE电口网口*4/冗余电源、冗余风扇/配套光模块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96077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63EB9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项</w:t>
            </w:r>
          </w:p>
        </w:tc>
      </w:tr>
      <w:tr w14:paraId="6427A1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E6783B">
            <w:pPr>
              <w:keepNext w:val="0"/>
              <w:keepLines w:val="0"/>
              <w:widowControl/>
              <w:suppressLineNumbers w:val="0"/>
              <w:jc w:val="center"/>
              <w:textAlignment w:val="center"/>
              <w:rPr>
                <w:rFonts w:hint="eastAsia" w:ascii="微软雅黑" w:hAnsi="微软雅黑" w:eastAsia="微软雅黑" w:cs="微软雅黑"/>
                <w:i w:val="0"/>
                <w:iCs w:val="0"/>
                <w:color w:val="000000" w:themeColor="text1"/>
                <w:sz w:val="21"/>
                <w:szCs w:val="21"/>
                <w:u w:val="none"/>
                <w14:textFill>
                  <w14:solidFill>
                    <w14:schemeClr w14:val="tx1"/>
                  </w14:solidFill>
                </w14:textFill>
              </w:rPr>
            </w:pPr>
            <w:r>
              <w:rPr>
                <w:rFonts w:hint="eastAsia" w:ascii="微软雅黑" w:hAnsi="微软雅黑" w:eastAsia="微软雅黑" w:cs="微软雅黑"/>
                <w:i w:val="0"/>
                <w:iCs w:val="0"/>
                <w:color w:val="000000" w:themeColor="text1"/>
                <w:kern w:val="0"/>
                <w:sz w:val="21"/>
                <w:szCs w:val="21"/>
                <w:u w:val="none"/>
                <w:lang w:val="en-US" w:eastAsia="zh-CN" w:bidi="ar"/>
                <w14:textFill>
                  <w14:solidFill>
                    <w14:schemeClr w14:val="tx1"/>
                  </w14:solidFill>
                </w14:textFill>
              </w:rPr>
              <w:t>云资源服务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705E03F">
            <w:pPr>
              <w:keepNext w:val="0"/>
              <w:keepLines w:val="0"/>
              <w:widowControl/>
              <w:suppressLineNumbers w:val="0"/>
              <w:jc w:val="left"/>
              <w:textAlignment w:val="top"/>
              <w:rPr>
                <w:rFonts w:hint="eastAsia" w:ascii="微软雅黑" w:hAnsi="微软雅黑" w:eastAsia="微软雅黑" w:cs="微软雅黑"/>
                <w:i w:val="0"/>
                <w:iCs w:val="0"/>
                <w:color w:val="000000"/>
                <w:kern w:val="0"/>
                <w:sz w:val="20"/>
                <w:szCs w:val="20"/>
                <w:u w:val="none"/>
                <w:lang w:val="en-US" w:eastAsia="zh-CN" w:bidi="ar"/>
              </w:rPr>
            </w:pPr>
            <w:r>
              <w:rPr>
                <w:rFonts w:hint="eastAsia" w:ascii="微软雅黑" w:hAnsi="微软雅黑" w:eastAsia="微软雅黑" w:cs="微软雅黑"/>
                <w:i w:val="0"/>
                <w:iCs w:val="0"/>
                <w:color w:val="000000"/>
                <w:kern w:val="0"/>
                <w:sz w:val="20"/>
                <w:szCs w:val="20"/>
                <w:u w:val="none"/>
                <w:lang w:val="en-US" w:eastAsia="zh-CN" w:bidi="ar"/>
              </w:rPr>
              <w:t>▲1、投标人具备云资源数据中心机房</w:t>
            </w:r>
          </w:p>
          <w:p w14:paraId="196C6886">
            <w:pPr>
              <w:keepNext w:val="0"/>
              <w:keepLines w:val="0"/>
              <w:widowControl/>
              <w:suppressLineNumbers w:val="0"/>
              <w:jc w:val="left"/>
              <w:textAlignment w:val="top"/>
              <w:rPr>
                <w:rFonts w:hint="eastAsia" w:ascii="微软雅黑" w:hAnsi="微软雅黑" w:eastAsia="微软雅黑" w:cs="微软雅黑"/>
                <w:i w:val="0"/>
                <w:iCs w:val="0"/>
                <w:color w:val="000000" w:themeColor="text1"/>
                <w:sz w:val="21"/>
                <w:szCs w:val="21"/>
                <w:u w:val="none"/>
                <w14:textFill>
                  <w14:solidFill>
                    <w14:schemeClr w14:val="tx1"/>
                  </w14:solidFill>
                </w14:textFill>
              </w:rPr>
            </w:pPr>
            <w:r>
              <w:rPr>
                <w:rFonts w:hint="eastAsia" w:ascii="微软雅黑" w:hAnsi="微软雅黑" w:eastAsia="微软雅黑" w:cs="微软雅黑"/>
                <w:i w:val="0"/>
                <w:iCs w:val="0"/>
                <w:color w:val="000000"/>
                <w:kern w:val="0"/>
                <w:sz w:val="20"/>
                <w:szCs w:val="20"/>
                <w:u w:val="none"/>
                <w:lang w:val="en-US" w:eastAsia="zh-CN" w:bidi="ar"/>
              </w:rPr>
              <w:t>▲2、可提供云主机数量≥105台，合计：vCPU≥1440Core；内存≥3.6T;存储空间≥105T，其中SSD存储≥10T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393F1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48FA3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项</w:t>
            </w:r>
          </w:p>
        </w:tc>
      </w:tr>
      <w:tr w14:paraId="3B2B9B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B083D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云灾备服务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1E75ADC">
            <w:pPr>
              <w:pStyle w:val="2"/>
              <w:keepNext w:val="0"/>
              <w:keepLines w:val="0"/>
              <w:widowControl/>
              <w:suppressLineNumbers w:val="0"/>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所投存储底层操作系统采用欧拉、统信、麒麟或基于开放原子开源基金会孵化及运营的开源系统衍生的国产操作系统，说明底层操作系统来源并提供查询手段及结果，不得采用国外开源社区操作系统（包括但不限于RedHat、CentOS及衍生版本）和国外操作系统（如Suse Linux），提供相关证明材料加盖原厂公章。</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▲2、单设备/节点2U/4U内由多个控制器组成，控制器间采用Active-Active架构，可同时处理多备份任务，故障一个控制器，业务不中断。提供产品技术白皮书截图证明。</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3、内置了BBU模块（备电）当设备在供电故障后，能利用BBU模块，将用户缓存数据备份到保险箱中（掉电场景下持久化写缓存中数据的空间），保证数据的完整性，避免没有掉电保护情况下，数据丢失。提供产品技术白皮书截图证明。</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4、支持SSD寿命监控技术，并在系统中显示每一块SSD硬盘的磨损度以及预估剩余寿命。提供产品技术白皮书截图证明。</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5、支持Oracle、MySQL数据库的永久增量备份功能，合成副本支持数据重复删除、备份副本异地复制、备份副本长期保留到对象和带库功能，支持备份副本即时挂载和恢复。提供产品技术白皮书截图证明。</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6、（全闪形态）配置≥XX个3.84TB或7.68TB企业级 SAS SSD硬盘（非SATA接口）。 替换为支持无代理的备份服务，基于存储永久增量备份，不占用业务主机资源和业务网络资源，用户无需在所备份云服务器内安装客户端插件即可完成云主机整机备份，并支持云服务器内文件细粒度恢复。提供产品技术白皮书截图证明。</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▲7、RAID-TP，支持同一个RAID组内容忍任意3盘同时失效，数据不丢&amp;不中断业务，需提供所投产品的第三方专业测评机构测评报告及截图，并加盖有效印章。</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8、IDC报告 中国备份设备（PBBA）排名前三。提供IDC报告备份设备（PBBA）排名排名截图。</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▲9、支持多层变长分片提升去重率，支持合并压缩、数据压紧、数据重排等技术提升压缩率。提供产品技术白皮书截图证明。</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10、内置支持对文件、虚拟机、HDFS的副本全局检索；支持模糊匹配文件名、目录名搜索。提供产品技术白皮书截图证明。11、所提供灾备平台需要为和云资源服务平台异构的独立灾备存储平台或独立备份设备，提供定时备份空间≥10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4A917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3B719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项</w:t>
            </w:r>
          </w:p>
        </w:tc>
      </w:tr>
      <w:tr w14:paraId="697ADD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18CA6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链路传输服务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EB85E5">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链路速率≥2GE（支持聚合带宽叠加），支持升级到20GE；链路时延：≤5ms</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C96DB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A8ACE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条</w:t>
            </w:r>
          </w:p>
        </w:tc>
      </w:tr>
      <w:tr w14:paraId="69D082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9B95F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合计</w:t>
            </w:r>
          </w:p>
        </w:tc>
        <w:tc>
          <w:tcPr>
            <w:tcW w:w="0" w:type="auto"/>
            <w:gridSpan w:val="3"/>
            <w:tcBorders>
              <w:top w:val="single" w:color="000000" w:sz="4" w:space="0"/>
              <w:left w:val="nil"/>
              <w:bottom w:val="single" w:color="000000" w:sz="4" w:space="0"/>
              <w:right w:val="single" w:color="000000" w:sz="4" w:space="0"/>
            </w:tcBorders>
            <w:shd w:val="clear" w:color="auto" w:fill="auto"/>
            <w:noWrap/>
            <w:vAlign w:val="center"/>
          </w:tcPr>
          <w:p w14:paraId="0843C861">
            <w:pPr>
              <w:jc w:val="center"/>
              <w:rPr>
                <w:rFonts w:hint="eastAsia" w:ascii="微软雅黑" w:hAnsi="微软雅黑" w:eastAsia="微软雅黑" w:cs="微软雅黑"/>
                <w:i w:val="0"/>
                <w:iCs w:val="0"/>
                <w:color w:val="000000"/>
                <w:sz w:val="20"/>
                <w:szCs w:val="20"/>
                <w:u w:val="none"/>
              </w:rPr>
            </w:pPr>
          </w:p>
        </w:tc>
      </w:tr>
    </w:tbl>
    <w:p w14:paraId="70A1A4A7"/>
    <w:p w14:paraId="2520DE0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A2853A8"/>
    <w:rsid w:val="02F72A9C"/>
    <w:rsid w:val="03215014"/>
    <w:rsid w:val="050C6C68"/>
    <w:rsid w:val="06130559"/>
    <w:rsid w:val="06D27A55"/>
    <w:rsid w:val="09D82526"/>
    <w:rsid w:val="1EEB0A8E"/>
    <w:rsid w:val="2E9A2B41"/>
    <w:rsid w:val="2FFC073D"/>
    <w:rsid w:val="44560525"/>
    <w:rsid w:val="567A2DCC"/>
    <w:rsid w:val="5A2853A8"/>
    <w:rsid w:val="5DD93EE4"/>
    <w:rsid w:val="658131F8"/>
    <w:rsid w:val="681B7D03"/>
    <w:rsid w:val="6D3A38A1"/>
    <w:rsid w:val="792955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2116</Words>
  <Characters>2528</Characters>
  <Lines>0</Lines>
  <Paragraphs>0</Paragraphs>
  <TotalTime>1</TotalTime>
  <ScaleCrop>false</ScaleCrop>
  <LinksUpToDate>false</LinksUpToDate>
  <CharactersWithSpaces>2556</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2025-06-25T02:54:00Z</dcterms:created>
  <dc:creator>齐振舆</dc:creator>
  <cp:lastModifiedBy>24h</cp:lastModifiedBy>
  <dcterms:modified xsi:type="dcterms:W3CDTF">2025-06-27T10:47:03Z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3A894877FBD144728D35E0FD46C0021D</vt:lpwstr>
  </property>
  <property fmtid="{D5CDD505-2E9C-101B-9397-08002B2CF9AE}" pid="4" name="KSOTemplateDocerSaveRecord">
    <vt:lpwstr>eyJoZGlkIjoiNjUyNTRlYWU0Y2JlMmUxOTk2NTYzOGFkYmY1ZjNmYmIiLCJ1c2VySWQiOiIzNTU5NjQ0NDAifQ==</vt:lpwstr>
  </property>
</Properties>
</file>