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AE19CD">
      <w:pPr>
        <w:jc w:val="center"/>
        <w:rPr>
          <w:rFonts w:hint="eastAsia" w:ascii="黑体" w:hAnsi="黑体" w:eastAsia="黑体"/>
          <w:color w:val="000000"/>
          <w:sz w:val="36"/>
          <w:szCs w:val="24"/>
        </w:rPr>
      </w:pPr>
      <w:r>
        <w:rPr>
          <w:rFonts w:hint="eastAsia" w:ascii="黑体" w:hAnsi="黑体" w:eastAsia="黑体"/>
          <w:color w:val="000000"/>
          <w:sz w:val="36"/>
          <w:szCs w:val="24"/>
        </w:rPr>
        <w:t>工程量清单编制总说明</w:t>
      </w:r>
    </w:p>
    <w:p w14:paraId="6034157C">
      <w:pPr>
        <w:numPr>
          <w:ilvl w:val="0"/>
          <w:numId w:val="1"/>
        </w:numPr>
        <w:spacing w:beforeLines="0" w:afterLines="0"/>
        <w:ind w:left="2240" w:leftChars="0" w:hanging="2240" w:firstLineChars="0"/>
        <w:jc w:val="left"/>
        <w:rPr>
          <w:rFonts w:hint="eastAsia" w:ascii="楷体" w:hAnsi="楷体" w:eastAsia="楷体"/>
          <w:sz w:val="28"/>
          <w:szCs w:val="24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>工程概况：</w:t>
      </w:r>
    </w:p>
    <w:p w14:paraId="3804653C">
      <w:pPr>
        <w:numPr>
          <w:ilvl w:val="0"/>
          <w:numId w:val="0"/>
        </w:numPr>
        <w:spacing w:beforeLines="0" w:afterLines="0"/>
        <w:ind w:left="6" w:leftChars="3" w:firstLine="560" w:firstLineChars="200"/>
        <w:jc w:val="left"/>
        <w:rPr>
          <w:rFonts w:hint="eastAsia" w:ascii="楷体" w:hAnsi="楷体" w:eastAsia="楷体" w:cs="Times New Roman"/>
          <w:sz w:val="28"/>
          <w:szCs w:val="24"/>
          <w:lang w:val="zh-CN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>⑴</w:t>
      </w:r>
      <w:r>
        <w:rPr>
          <w:rFonts w:hint="eastAsia" w:ascii="楷体" w:hAnsi="楷体" w:eastAsia="楷体"/>
          <w:sz w:val="28"/>
          <w:szCs w:val="24"/>
        </w:rPr>
        <w:t>工程名称:银根苏木肉食品冷链保鲜库建设项目</w:t>
      </w:r>
    </w:p>
    <w:p w14:paraId="37304D26">
      <w:pPr>
        <w:numPr>
          <w:ilvl w:val="0"/>
          <w:numId w:val="0"/>
        </w:numPr>
        <w:spacing w:beforeLines="0" w:afterLines="0"/>
        <w:ind w:firstLine="560" w:firstLineChars="200"/>
        <w:jc w:val="left"/>
        <w:rPr>
          <w:rFonts w:hint="default" w:ascii="楷体" w:hAnsi="楷体" w:eastAsia="楷体" w:cs="Times New Roman"/>
          <w:sz w:val="28"/>
          <w:szCs w:val="24"/>
          <w:lang w:val="en-US" w:eastAsia="zh-CN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>⑵</w:t>
      </w:r>
      <w:r>
        <w:rPr>
          <w:rFonts w:hint="eastAsia" w:ascii="楷体" w:hAnsi="楷体" w:eastAsia="楷体" w:cs="Times New Roman"/>
          <w:sz w:val="28"/>
          <w:szCs w:val="24"/>
          <w:lang w:val="en-US" w:eastAsia="zh-CN"/>
        </w:rPr>
        <w:t>设计内容：冷链保鲜库建设</w:t>
      </w:r>
    </w:p>
    <w:p w14:paraId="7DB909B7">
      <w:pPr>
        <w:numPr>
          <w:ilvl w:val="0"/>
          <w:numId w:val="1"/>
        </w:numPr>
        <w:spacing w:beforeLines="0" w:afterLines="0"/>
        <w:ind w:left="2560" w:leftChars="0" w:hanging="2240" w:firstLineChars="0"/>
        <w:jc w:val="left"/>
        <w:rPr>
          <w:rFonts w:hint="eastAsia" w:ascii="楷体" w:hAnsi="楷体" w:eastAsia="楷体"/>
          <w:sz w:val="28"/>
          <w:szCs w:val="24"/>
          <w:lang w:val="zh-CN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>( 计价 )范围：</w:t>
      </w:r>
    </w:p>
    <w:p w14:paraId="3DCDD579">
      <w:pPr>
        <w:numPr>
          <w:ilvl w:val="0"/>
          <w:numId w:val="0"/>
        </w:numPr>
        <w:spacing w:beforeLines="0" w:afterLines="0"/>
        <w:ind w:firstLine="560" w:firstLineChars="200"/>
        <w:jc w:val="left"/>
        <w:rPr>
          <w:rFonts w:hint="eastAsia" w:ascii="楷体" w:hAnsi="楷体" w:eastAsia="楷体"/>
          <w:sz w:val="28"/>
          <w:szCs w:val="24"/>
          <w:lang w:val="en-US" w:eastAsia="zh-CN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>本次(计价 )范围为施工图范围内的建筑工程、</w:t>
      </w:r>
      <w:r>
        <w:rPr>
          <w:rFonts w:hint="eastAsia" w:ascii="楷体" w:hAnsi="楷体" w:eastAsia="楷体"/>
          <w:sz w:val="28"/>
          <w:szCs w:val="24"/>
          <w:lang w:val="en-US" w:eastAsia="zh-CN"/>
        </w:rPr>
        <w:t>市政</w:t>
      </w:r>
      <w:r>
        <w:rPr>
          <w:rFonts w:hint="eastAsia" w:ascii="楷体" w:hAnsi="楷体" w:eastAsia="楷体"/>
          <w:sz w:val="28"/>
          <w:szCs w:val="24"/>
          <w:lang w:val="zh-CN"/>
        </w:rPr>
        <w:t>工程</w:t>
      </w:r>
      <w:r>
        <w:rPr>
          <w:rFonts w:hint="eastAsia" w:ascii="楷体" w:hAnsi="楷体" w:eastAsia="楷体"/>
          <w:sz w:val="28"/>
          <w:szCs w:val="24"/>
          <w:lang w:val="en-US" w:eastAsia="zh-CN"/>
        </w:rPr>
        <w:t>、安装工程等。</w:t>
      </w:r>
    </w:p>
    <w:p w14:paraId="16477203">
      <w:pPr>
        <w:numPr>
          <w:ilvl w:val="0"/>
          <w:numId w:val="0"/>
        </w:numPr>
        <w:spacing w:beforeLines="0" w:afterLines="0"/>
        <w:jc w:val="left"/>
        <w:rPr>
          <w:rFonts w:hint="eastAsia" w:ascii="楷体" w:hAnsi="楷体" w:eastAsia="楷体"/>
          <w:sz w:val="28"/>
          <w:szCs w:val="24"/>
          <w:lang w:val="zh-CN"/>
        </w:rPr>
      </w:pPr>
      <w:r>
        <w:rPr>
          <w:rFonts w:hint="eastAsia" w:ascii="楷体" w:hAnsi="楷体" w:eastAsia="楷体"/>
          <w:sz w:val="28"/>
          <w:szCs w:val="24"/>
          <w:lang w:val="en-US" w:eastAsia="zh-CN"/>
        </w:rPr>
        <w:t>3、</w:t>
      </w:r>
      <w:r>
        <w:rPr>
          <w:rFonts w:hint="eastAsia" w:ascii="楷体" w:hAnsi="楷体" w:eastAsia="楷体"/>
          <w:sz w:val="28"/>
          <w:szCs w:val="24"/>
          <w:lang w:val="zh-CN"/>
        </w:rPr>
        <w:t>编制依据：</w:t>
      </w:r>
    </w:p>
    <w:p w14:paraId="32F4EB88">
      <w:pPr>
        <w:spacing w:beforeLines="0" w:afterLines="0"/>
        <w:jc w:val="left"/>
        <w:rPr>
          <w:rFonts w:hint="eastAsia" w:ascii="楷体" w:hAnsi="楷体" w:eastAsia="楷体"/>
          <w:sz w:val="28"/>
          <w:szCs w:val="24"/>
          <w:lang w:val="zh-CN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 xml:space="preserve">    ⑴本工程施工图纸；</w:t>
      </w:r>
    </w:p>
    <w:p w14:paraId="33455F1C">
      <w:pPr>
        <w:spacing w:beforeLines="0" w:afterLines="0"/>
        <w:jc w:val="left"/>
        <w:rPr>
          <w:rFonts w:hint="eastAsia" w:ascii="楷体" w:hAnsi="楷体" w:eastAsia="楷体"/>
          <w:sz w:val="28"/>
          <w:szCs w:val="24"/>
          <w:lang w:val="zh-CN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 xml:space="preserve">    ⑵《建设工程工程量清单计价规范》（GB50500）及相配套的计算规范；</w:t>
      </w:r>
    </w:p>
    <w:p w14:paraId="363877A3">
      <w:pPr>
        <w:spacing w:beforeLines="0" w:afterLines="0"/>
        <w:jc w:val="left"/>
        <w:rPr>
          <w:rFonts w:hint="eastAsia" w:ascii="楷体" w:hAnsi="楷体" w:eastAsia="楷体"/>
          <w:sz w:val="28"/>
          <w:szCs w:val="24"/>
          <w:lang w:val="zh-CN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 xml:space="preserve">    ⑶内蒙古自治区 </w:t>
      </w:r>
      <w:r>
        <w:rPr>
          <w:rFonts w:hint="eastAsia" w:ascii="楷体" w:hAnsi="楷体" w:eastAsia="楷体"/>
          <w:sz w:val="28"/>
          <w:szCs w:val="24"/>
          <w:lang w:val="en-US" w:eastAsia="zh-CN"/>
        </w:rPr>
        <w:t>2017</w:t>
      </w:r>
      <w:r>
        <w:rPr>
          <w:rFonts w:hint="eastAsia" w:ascii="楷体" w:hAnsi="楷体" w:eastAsia="楷体"/>
          <w:sz w:val="28"/>
          <w:szCs w:val="24"/>
          <w:lang w:val="zh-CN"/>
        </w:rPr>
        <w:t>年建设工程相应计价定额；</w:t>
      </w:r>
    </w:p>
    <w:p w14:paraId="22E0022E">
      <w:pPr>
        <w:spacing w:beforeLines="0" w:afterLines="0"/>
        <w:jc w:val="left"/>
        <w:rPr>
          <w:rFonts w:hint="eastAsia" w:ascii="楷体" w:hAnsi="楷体" w:eastAsia="楷体"/>
          <w:sz w:val="28"/>
          <w:szCs w:val="24"/>
          <w:lang w:val="zh-CN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 xml:space="preserve">    ⑷《内蒙古自治区建设工程费用定额》；</w:t>
      </w:r>
    </w:p>
    <w:p w14:paraId="57A48793">
      <w:pPr>
        <w:spacing w:beforeLines="0" w:afterLines="0"/>
        <w:jc w:val="left"/>
        <w:rPr>
          <w:rFonts w:hint="eastAsia" w:ascii="楷体" w:hAnsi="楷体" w:eastAsia="楷体"/>
          <w:sz w:val="28"/>
          <w:szCs w:val="24"/>
          <w:lang w:val="zh-CN"/>
        </w:rPr>
      </w:pPr>
      <w:r>
        <w:rPr>
          <w:rFonts w:hint="eastAsia" w:ascii="楷体" w:hAnsi="楷体" w:eastAsia="楷体"/>
          <w:sz w:val="28"/>
          <w:szCs w:val="24"/>
          <w:lang w:val="zh-CN"/>
        </w:rPr>
        <w:t xml:space="preserve">    ⑸内蒙古自治区住房和城乡建设厅</w:t>
      </w:r>
      <w:r>
        <w:rPr>
          <w:rFonts w:hint="eastAsia" w:ascii="楷体" w:hAnsi="楷体" w:eastAsia="楷体"/>
          <w:sz w:val="28"/>
          <w:szCs w:val="24"/>
          <w:lang w:val="en-US" w:eastAsia="zh-CN"/>
        </w:rPr>
        <w:t>2025年第二期材差</w:t>
      </w:r>
      <w:r>
        <w:rPr>
          <w:rFonts w:hint="eastAsia" w:ascii="楷体" w:hAnsi="楷体" w:eastAsia="楷体"/>
          <w:sz w:val="28"/>
          <w:szCs w:val="24"/>
          <w:lang w:val="zh-CN"/>
        </w:rPr>
        <w:t>文件；</w:t>
      </w:r>
    </w:p>
    <w:p w14:paraId="239B9E00">
      <w:pPr>
        <w:jc w:val="both"/>
        <w:rPr>
          <w:rFonts w:hint="eastAsia" w:ascii="黑体" w:hAnsi="黑体" w:eastAsia="黑体"/>
          <w:color w:val="000000"/>
          <w:sz w:val="36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77B056"/>
    <w:multiLevelType w:val="multilevel"/>
    <w:tmpl w:val="1777B056"/>
    <w:lvl w:ilvl="0" w:tentative="0">
      <w:start w:val="1"/>
      <w:numFmt w:val="decimal"/>
      <w:suff w:val="nothing"/>
      <w:lvlText w:val="%1、"/>
      <w:lvlJc w:val="left"/>
      <w:pPr>
        <w:ind w:left="320"/>
      </w:pPr>
      <w:rPr>
        <w:rFonts w:hint="default"/>
        <w:u w:val="none" w:color="auto"/>
      </w:rPr>
    </w:lvl>
    <w:lvl w:ilvl="1" w:tentative="0">
      <w:start w:val="1"/>
      <w:numFmt w:val="decimal"/>
      <w:lvlText w:val=""/>
      <w:lvlJc w:val="left"/>
      <w:pPr>
        <w:ind w:left="320"/>
      </w:pPr>
      <w:rPr>
        <w:rFonts w:hint="default"/>
        <w:u w:val="none" w:color="auto"/>
      </w:rPr>
    </w:lvl>
    <w:lvl w:ilvl="2" w:tentative="0">
      <w:start w:val="1"/>
      <w:numFmt w:val="decimal"/>
      <w:lvlText w:val=""/>
      <w:lvlJc w:val="left"/>
      <w:pPr>
        <w:ind w:left="320"/>
      </w:pPr>
      <w:rPr>
        <w:rFonts w:hint="default"/>
        <w:u w:val="none" w:color="auto"/>
      </w:rPr>
    </w:lvl>
    <w:lvl w:ilvl="3" w:tentative="0">
      <w:start w:val="1"/>
      <w:numFmt w:val="decimal"/>
      <w:lvlText w:val=""/>
      <w:lvlJc w:val="left"/>
      <w:pPr>
        <w:ind w:left="320"/>
      </w:pPr>
      <w:rPr>
        <w:rFonts w:hint="default"/>
        <w:u w:val="none" w:color="auto"/>
      </w:rPr>
    </w:lvl>
    <w:lvl w:ilvl="4" w:tentative="0">
      <w:start w:val="1"/>
      <w:numFmt w:val="decimal"/>
      <w:lvlText w:val=""/>
      <w:lvlJc w:val="left"/>
      <w:pPr>
        <w:ind w:left="320"/>
      </w:pPr>
      <w:rPr>
        <w:rFonts w:hint="default"/>
        <w:u w:val="none" w:color="auto"/>
      </w:rPr>
    </w:lvl>
    <w:lvl w:ilvl="5" w:tentative="0">
      <w:start w:val="1"/>
      <w:numFmt w:val="decimal"/>
      <w:lvlText w:val=""/>
      <w:lvlJc w:val="left"/>
      <w:pPr>
        <w:ind w:left="320"/>
      </w:pPr>
      <w:rPr>
        <w:rFonts w:hint="default"/>
        <w:u w:val="none" w:color="auto"/>
      </w:rPr>
    </w:lvl>
    <w:lvl w:ilvl="6" w:tentative="0">
      <w:start w:val="1"/>
      <w:numFmt w:val="decimal"/>
      <w:lvlText w:val=""/>
      <w:lvlJc w:val="left"/>
      <w:pPr>
        <w:ind w:left="320"/>
      </w:pPr>
      <w:rPr>
        <w:rFonts w:hint="default"/>
        <w:u w:val="none" w:color="auto"/>
      </w:rPr>
    </w:lvl>
    <w:lvl w:ilvl="7" w:tentative="0">
      <w:start w:val="1"/>
      <w:numFmt w:val="decimal"/>
      <w:lvlText w:val=""/>
      <w:lvlJc w:val="left"/>
      <w:pPr>
        <w:ind w:left="320"/>
      </w:pPr>
      <w:rPr>
        <w:rFonts w:hint="default"/>
        <w:u w:val="none" w:color="auto"/>
      </w:rPr>
    </w:lvl>
    <w:lvl w:ilvl="8" w:tentative="0">
      <w:start w:val="1"/>
      <w:numFmt w:val="decimal"/>
      <w:lvlText w:val=""/>
      <w:lvlJc w:val="left"/>
      <w:pPr>
        <w:ind w:left="320"/>
      </w:pPr>
      <w:rPr>
        <w:rFonts w:hint="default"/>
        <w:u w:val="none" w:color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iZjI1NmU5MDM4Y2E0N2RkOThlODIxYjQ3ZTVhMDMifQ=="/>
  </w:docVars>
  <w:rsids>
    <w:rsidRoot w:val="3CA57FF2"/>
    <w:rsid w:val="02AF37F9"/>
    <w:rsid w:val="136278DA"/>
    <w:rsid w:val="3CA57FF2"/>
    <w:rsid w:val="46540238"/>
    <w:rsid w:val="73031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230</Characters>
  <Lines>0</Lines>
  <Paragraphs>0</Paragraphs>
  <TotalTime>6</TotalTime>
  <ScaleCrop>false</ScaleCrop>
  <LinksUpToDate>false</LinksUpToDate>
  <CharactersWithSpaces>254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2022-04-11T08:46:00Z</dcterms:created>
  <dc:creator>NINGMEI</dc:creator>
  <cp:lastModifiedBy>安之若素</cp:lastModifiedBy>
  <dcterms:modified xsi:type="dcterms:W3CDTF">2025-06-19T04:03:13Z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C504F8A116E24CDD9AB3CD2956D344D2_13</vt:lpwstr>
  </property>
  <property fmtid="{D5CDD505-2E9C-101B-9397-08002B2CF9AE}" pid="4" name="KSOTemplateDocerSaveRecord">
    <vt:lpwstr>eyJoZGlkIjoiYTFiZjI1NmU5MDM4Y2E0N2RkOThlODIxYjQ3ZTVhMDMiLCJ1c2VySWQiOiI0NDE1OTIwMTEifQ==</vt:lpwstr>
  </property>
</Properties>
</file>