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7BC28">
      <w:pPr>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鄂尔多斯市文化和旅游局2025年局属单位安全隐患维修工程（图书馆、博物馆、青铜器博物馆、革命历史博物馆）</w:t>
      </w:r>
    </w:p>
    <w:p w14:paraId="51B692E5">
      <w:pPr>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工程量清单编制说明</w:t>
      </w:r>
    </w:p>
    <w:tbl>
      <w:tblPr>
        <w:tblStyle w:val="8"/>
        <w:tblW w:w="99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2"/>
      </w:tblGrid>
      <w:tr w14:paraId="2829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2" w:type="dxa"/>
            <w:noWrap w:val="0"/>
            <w:vAlign w:val="top"/>
          </w:tcPr>
          <w:p w14:paraId="38594DC6">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一、工程概况：</w:t>
            </w:r>
          </w:p>
          <w:p w14:paraId="11140723">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1、工程名称：鄂尔多斯市文化和旅游局2025年局属单位安全隐患维修</w:t>
            </w:r>
          </w:p>
          <w:p w14:paraId="70C4266C">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工程（图书馆、博物馆、青铜器博物馆、革命历史博物馆）</w:t>
            </w:r>
          </w:p>
          <w:p w14:paraId="559DE691">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2、施工地点：鄂尔多斯市康巴什区、东胜区</w:t>
            </w:r>
          </w:p>
          <w:p w14:paraId="158F5B70">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3、主要施工内容：①图书馆采光屋面胶条破损更换胶条、采光屋面龙骨除锈上漆；拆除塌陷排污井、井盖、双壁波纹管排污管道；重新更换双壁波纹管排污管道；恢复井盖及砖砌排污井，恢复排污井1米范围内花岗岩硬化；②博物馆线路维修更换；③青铜器博物馆地下室顶板拆除种植土、侧石、卵石路面、花岗岩路面、结构防水层至找平层，更换防水、面层恢复为花岗岩硬化；屋面拆除结构防水层至找平层，新做屋面防水处理；④革命历史博物馆打磨抛光原有水磨石楼地面，更换原有金属栏杆为镀锌方钢栏杆等。</w:t>
            </w:r>
          </w:p>
          <w:p w14:paraId="75552308">
            <w:pPr>
              <w:pStyle w:val="7"/>
              <w:keepNext w:val="0"/>
              <w:keepLines w:val="0"/>
              <w:pageBreakBefore w:val="0"/>
              <w:widowControl/>
              <w:suppressLineNumbers w:val="0"/>
              <w:kinsoku/>
              <w:wordWrap/>
              <w:overflowPunct/>
              <w:topLinePunct w:val="0"/>
              <w:bidi w:val="0"/>
              <w:adjustRightInd w:val="0"/>
              <w:snapToGrid w:val="0"/>
              <w:spacing w:before="0" w:beforeAutospacing="0" w:after="0" w:afterAutospacing="0" w:line="360" w:lineRule="auto"/>
              <w:ind w:left="0" w:right="0" w:firstLine="600" w:firstLineChars="200"/>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二、编制范围：内蒙古智汇工程设计咨询有限责任公司出具的建筑</w:t>
            </w:r>
            <w:r>
              <w:rPr>
                <w:rFonts w:hint="eastAsia" w:ascii="仿宋" w:hAnsi="仿宋" w:eastAsia="仿宋" w:cs="仿宋"/>
                <w:kern w:val="0"/>
                <w:sz w:val="30"/>
                <w:szCs w:val="30"/>
                <w:lang w:val="en-US" w:eastAsia="zh-CN" w:bidi="ar-SA"/>
              </w:rPr>
              <w:t>、结构、强弱电等专业提出的设计图纸。</w:t>
            </w:r>
          </w:p>
          <w:p w14:paraId="6B28C490">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三、编制依据：</w:t>
            </w:r>
          </w:p>
          <w:p w14:paraId="1890AABC">
            <w:pPr>
              <w:keepNext w:val="0"/>
              <w:keepLines w:val="0"/>
              <w:pageBreakBefore w:val="0"/>
              <w:kinsoku/>
              <w:wordWrap/>
              <w:overflowPunct/>
              <w:topLinePunct w:val="0"/>
              <w:bidi w:val="0"/>
              <w:adjustRightInd w:val="0"/>
              <w:snapToGrid w:val="0"/>
              <w:spacing w:line="360" w:lineRule="auto"/>
              <w:ind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工程量依据《房屋建筑与装饰工程工程量计算规范（G50854-2013）》、《通用安装工程工程量计算规范（GB50856-2013）》</w:t>
            </w:r>
            <w:r>
              <w:rPr>
                <w:rFonts w:hint="eastAsia" w:ascii="仿宋" w:hAnsi="仿宋" w:eastAsia="仿宋" w:cs="仿宋"/>
                <w:sz w:val="30"/>
                <w:szCs w:val="30"/>
                <w:lang w:eastAsia="zh-CN"/>
              </w:rPr>
              <w:t>。</w:t>
            </w:r>
          </w:p>
          <w:p w14:paraId="782EFDC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2、工程量清单计价执行2013届《建设工程工程量清单计价规范》(GB50500-2013)、《房屋建筑与装饰工程工程量计算规范》(GB50854-2013)、《通用安装工程工程量计算规范》</w:t>
            </w:r>
            <w:r>
              <w:rPr>
                <w:rFonts w:hint="eastAsia" w:ascii="仿宋" w:hAnsi="仿宋" w:eastAsia="仿宋" w:cs="仿宋"/>
                <w:sz w:val="30"/>
                <w:szCs w:val="30"/>
              </w:rPr>
              <w:t>。</w:t>
            </w:r>
          </w:p>
          <w:p w14:paraId="7C92BB9C">
            <w:pPr>
              <w:keepNext w:val="0"/>
              <w:keepLines w:val="0"/>
              <w:pageBreakBefore w:val="0"/>
              <w:widowControl w:val="0"/>
              <w:kinsoku/>
              <w:wordWrap/>
              <w:overflowPunct/>
              <w:topLinePunct w:val="0"/>
              <w:autoSpaceDE/>
              <w:autoSpaceDN/>
              <w:bidi w:val="0"/>
              <w:adjustRightInd w:val="0"/>
              <w:snapToGrid w:val="0"/>
              <w:spacing w:line="360" w:lineRule="auto"/>
              <w:ind w:left="34" w:leftChars="16"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3、规费执行内建标函【2019】468号文件，按19%计取</w:t>
            </w:r>
            <w:r>
              <w:rPr>
                <w:rFonts w:hint="eastAsia" w:ascii="仿宋" w:hAnsi="仿宋" w:eastAsia="仿宋" w:cs="仿宋"/>
                <w:sz w:val="30"/>
                <w:szCs w:val="30"/>
                <w:lang w:eastAsia="zh-CN"/>
              </w:rPr>
              <w:t>。</w:t>
            </w:r>
          </w:p>
          <w:p w14:paraId="6D0F927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4、税金执行内建标【2019】113号文件,税率按9%计算</w:t>
            </w:r>
            <w:r>
              <w:rPr>
                <w:rFonts w:hint="eastAsia" w:ascii="仿宋" w:hAnsi="仿宋" w:eastAsia="仿宋" w:cs="仿宋"/>
                <w:sz w:val="30"/>
                <w:szCs w:val="30"/>
                <w:lang w:eastAsia="zh-CN"/>
              </w:rPr>
              <w:t>。</w:t>
            </w:r>
          </w:p>
          <w:p w14:paraId="1907DE49">
            <w:pPr>
              <w:keepNext w:val="0"/>
              <w:keepLines w:val="0"/>
              <w:pageBreakBefore w:val="0"/>
              <w:widowControl w:val="0"/>
              <w:kinsoku/>
              <w:wordWrap/>
              <w:overflowPunct/>
              <w:topLinePunct w:val="0"/>
              <w:autoSpaceDE/>
              <w:autoSpaceDN/>
              <w:bidi w:val="0"/>
              <w:adjustRightInd w:val="0"/>
              <w:snapToGrid w:val="0"/>
              <w:spacing w:line="360" w:lineRule="auto"/>
              <w:ind w:left="34" w:leftChars="16"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5、人工费调整依据内建标(2021)148号文件</w:t>
            </w:r>
            <w:r>
              <w:rPr>
                <w:rFonts w:hint="eastAsia" w:ascii="仿宋" w:hAnsi="仿宋" w:eastAsia="仿宋" w:cs="仿宋"/>
                <w:sz w:val="30"/>
                <w:szCs w:val="30"/>
                <w:lang w:eastAsia="zh-CN"/>
              </w:rPr>
              <w:t>。</w:t>
            </w:r>
          </w:p>
          <w:p w14:paraId="39DE2084">
            <w:pPr>
              <w:keepNext w:val="0"/>
              <w:keepLines w:val="0"/>
              <w:pageBreakBefore w:val="0"/>
              <w:kinsoku/>
              <w:wordWrap/>
              <w:overflowPunct/>
              <w:topLinePunct w:val="0"/>
              <w:bidi w:val="0"/>
              <w:adjustRightInd w:val="0"/>
              <w:snapToGrid w:val="0"/>
              <w:spacing w:line="360" w:lineRule="auto"/>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四、其它</w:t>
            </w:r>
            <w:r>
              <w:rPr>
                <w:rFonts w:hint="eastAsia" w:ascii="仿宋" w:hAnsi="仿宋" w:eastAsia="仿宋" w:cs="仿宋"/>
                <w:sz w:val="30"/>
                <w:szCs w:val="30"/>
                <w:lang w:val="en-US" w:eastAsia="zh-CN"/>
              </w:rPr>
              <w:t>说明</w:t>
            </w:r>
          </w:p>
          <w:p w14:paraId="2078FF6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余土、建筑废料外运投标人根据施工现场自行考虑。</w:t>
            </w:r>
          </w:p>
          <w:p w14:paraId="1BA15B4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暂列金额为463534.93元（含税），招投标时不得作为竞争性费用，严格按清单计价规范计取税金9%后进行编制。</w:t>
            </w:r>
          </w:p>
          <w:p w14:paraId="7EE34C6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垃圾清运，需要装袋人工搬运至楼下指定垃圾点，施工方自主报价，结算不予调整。</w:t>
            </w:r>
          </w:p>
          <w:p w14:paraId="584005F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工程对所有拆除的有价值的材料或设备要进行保护性拆除，施工过程中如对产品及现场造成破坏、施工方需无偿赔偿，且原有设备、电缆、灯具等拆除后需办理移交手续并运至使用方指定地点方可计入结算，否则结算按利旧处理。</w:t>
            </w:r>
          </w:p>
          <w:p w14:paraId="275BD930">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本工程需要考虑室内、外维修对原地面、墙面进行成品保护，投标单位自行考虑，结算时不予调整。</w:t>
            </w:r>
          </w:p>
          <w:p w14:paraId="2CCC371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本工程维修过程中不能停止办公，投标时需要考虑停窝工、夜间施工、除尘降噪费用（现场保持无尘、无烟、不影响周围办公）等相关费用，投标单位自行考虑报价，结算时不予调整。</w:t>
            </w:r>
          </w:p>
          <w:p w14:paraId="68D4C53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投标单位报价需充分考虑雨季施工中的各种应急措施及防护，除不可抗力因素外，结算时不予调整</w:t>
            </w:r>
            <w:bookmarkStart w:id="0" w:name="_GoBack"/>
            <w:bookmarkEnd w:id="0"/>
            <w:r>
              <w:rPr>
                <w:rFonts w:hint="eastAsia" w:ascii="仿宋" w:hAnsi="仿宋" w:eastAsia="仿宋" w:cs="仿宋"/>
                <w:b w:val="0"/>
                <w:caps w:val="0"/>
                <w:kern w:val="2"/>
                <w:sz w:val="30"/>
                <w:szCs w:val="30"/>
                <w:lang w:val="en-US" w:eastAsia="zh-CN" w:bidi="ar-SA"/>
              </w:rPr>
              <w:t>。</w:t>
            </w:r>
          </w:p>
          <w:p w14:paraId="3816AF5C">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水电费按投标企业支付计算，若无偿使用馆内水电，结算时按控制价所进水电费全部扣除。</w:t>
            </w:r>
          </w:p>
          <w:p w14:paraId="0DB6343D">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因是维修工程，材料设备必须与原工程相匹配、兼容，采购前需经发包人确认后封样，否则无条件更换。</w:t>
            </w:r>
          </w:p>
          <w:p w14:paraId="713E38A3">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本工程为维修改造项目，施工方应充分考虑夜间施工、材料及设备等垃圾的二次运输，施工单位在投标报价中安排合理的施工组织，相应费用应考虑在投标报价中，结算时不做调整。</w:t>
            </w:r>
          </w:p>
          <w:p w14:paraId="36565A37">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lang w:val="en-US" w:eastAsia="zh-CN"/>
              </w:rPr>
            </w:pPr>
            <w:r>
              <w:rPr>
                <w:rFonts w:hint="eastAsia" w:ascii="仿宋" w:hAnsi="仿宋" w:eastAsia="仿宋" w:cs="仿宋"/>
                <w:b w:val="0"/>
                <w:caps w:val="0"/>
                <w:kern w:val="2"/>
                <w:sz w:val="30"/>
                <w:szCs w:val="30"/>
                <w:lang w:val="en-US" w:eastAsia="zh-CN" w:bidi="ar-SA"/>
              </w:rPr>
              <w:t>检验试验费：是指施工企业按照有关标准规定，对建筑以及材料、构件和建筑安装物进行一般鉴定、检查所发生的费用，包括自设试验室进行试验所耗用的材料等费用。不包括新结构、新材料的试验费，对构件做破坏性试验及其他特殊要求检验试验的费用和建设单位委托检测机构进行检测的费用，对此类检测发生的费用，由建设单位支付。但对施工企业提供的具有合格证明的材料进行检测不合格的，该检测费用由施工企业支付。对上述材料检验试验费未包含部分的费用，结算时应按施工企业缴费凭证据实调整。</w:t>
            </w:r>
          </w:p>
          <w:p w14:paraId="2AE98C9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本工程为维修工程未计取建筑工人实名制费用。</w:t>
            </w:r>
          </w:p>
          <w:p w14:paraId="614C461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b w:val="0"/>
                <w:caps w:val="0"/>
                <w:kern w:val="2"/>
                <w:sz w:val="30"/>
                <w:szCs w:val="30"/>
                <w:lang w:val="en-US" w:eastAsia="zh-CN" w:bidi="ar-SA"/>
              </w:rPr>
              <w:t>本说明未尽事项，以计价规范、工程量计算规范、计价管理办法、招标文件以及有关的法律、法规、建设行政主管部门颁发的文件为准</w:t>
            </w:r>
            <w:r>
              <w:rPr>
                <w:rFonts w:hint="eastAsia" w:ascii="仿宋" w:hAnsi="仿宋" w:eastAsia="仿宋" w:cs="仿宋"/>
                <w:sz w:val="30"/>
                <w:szCs w:val="30"/>
                <w:lang w:val="en-US" w:eastAsia="zh-CN"/>
              </w:rPr>
              <w:t>。</w:t>
            </w:r>
          </w:p>
          <w:p w14:paraId="2FA80C2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附件1：综合单价公示价格表</w:t>
            </w:r>
          </w:p>
          <w:p w14:paraId="4FF45E6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附件2：主要设备材料性能技术参数参考表</w:t>
            </w:r>
          </w:p>
          <w:p w14:paraId="2B1BFCF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附件3：投标报价汇总表</w:t>
            </w:r>
          </w:p>
        </w:tc>
      </w:tr>
    </w:tbl>
    <w:p w14:paraId="51CFE034">
      <w:pPr>
        <w:spacing w:line="100" w:lineRule="exact"/>
        <w:rPr>
          <w:rFonts w:hint="eastAsia"/>
          <w:sz w:val="28"/>
          <w:szCs w:val="28"/>
        </w:rPr>
      </w:pPr>
    </w:p>
    <w:p w14:paraId="608EA026">
      <w:pPr>
        <w:spacing w:line="100" w:lineRule="exact"/>
        <w:rPr>
          <w:rFonts w:hint="eastAsia"/>
          <w:sz w:val="28"/>
          <w:szCs w:val="28"/>
        </w:rPr>
      </w:pPr>
    </w:p>
    <w:p w14:paraId="3352BDA5">
      <w:pPr>
        <w:spacing w:line="100" w:lineRule="exact"/>
        <w:rPr>
          <w:rFonts w:hint="eastAsia"/>
          <w:sz w:val="28"/>
          <w:szCs w:val="28"/>
        </w:rPr>
      </w:pPr>
    </w:p>
    <w:p w14:paraId="7DB95573">
      <w:pPr>
        <w:spacing w:line="100" w:lineRule="exact"/>
        <w:rPr>
          <w:rFonts w:hint="eastAsia"/>
          <w:sz w:val="28"/>
          <w:szCs w:val="28"/>
        </w:rPr>
      </w:pPr>
    </w:p>
    <w:p w14:paraId="026CA4DD">
      <w:pPr>
        <w:spacing w:line="100" w:lineRule="exact"/>
        <w:rPr>
          <w:rFonts w:hint="eastAsia"/>
          <w:sz w:val="28"/>
          <w:szCs w:val="28"/>
        </w:rPr>
      </w:pPr>
    </w:p>
    <w:p w14:paraId="7721149E">
      <w:pPr>
        <w:spacing w:line="100" w:lineRule="exact"/>
        <w:rPr>
          <w:rFonts w:hint="eastAsia"/>
          <w:sz w:val="28"/>
          <w:szCs w:val="28"/>
        </w:rPr>
      </w:pPr>
    </w:p>
    <w:p w14:paraId="222D660F">
      <w:pPr>
        <w:spacing w:line="100" w:lineRule="exact"/>
        <w:rPr>
          <w:rFonts w:hint="eastAsia"/>
          <w:sz w:val="28"/>
          <w:szCs w:val="28"/>
        </w:rPr>
      </w:pPr>
    </w:p>
    <w:p w14:paraId="3121B201">
      <w:pPr>
        <w:spacing w:line="100" w:lineRule="exact"/>
        <w:rPr>
          <w:rFonts w:hint="eastAsia"/>
          <w:sz w:val="28"/>
          <w:szCs w:val="28"/>
        </w:rPr>
      </w:pPr>
    </w:p>
    <w:p w14:paraId="625E6B91">
      <w:pPr>
        <w:spacing w:line="100" w:lineRule="exact"/>
        <w:rPr>
          <w:rFonts w:hint="eastAsia"/>
          <w:sz w:val="28"/>
          <w:szCs w:val="28"/>
        </w:rPr>
      </w:pPr>
    </w:p>
    <w:p w14:paraId="05F50BD6">
      <w:pPr>
        <w:spacing w:line="100" w:lineRule="exact"/>
        <w:rPr>
          <w:rFonts w:hint="eastAsia"/>
          <w:sz w:val="28"/>
          <w:szCs w:val="28"/>
        </w:rPr>
      </w:pPr>
    </w:p>
    <w:p w14:paraId="2137AD75">
      <w:pPr>
        <w:spacing w:line="100" w:lineRule="exact"/>
        <w:rPr>
          <w:rFonts w:hint="eastAsia"/>
          <w:sz w:val="28"/>
          <w:szCs w:val="28"/>
        </w:rPr>
      </w:pPr>
    </w:p>
    <w:p w14:paraId="3FFA229A">
      <w:pPr>
        <w:spacing w:line="100" w:lineRule="exact"/>
        <w:rPr>
          <w:rFonts w:hint="eastAsia"/>
          <w:sz w:val="28"/>
          <w:szCs w:val="28"/>
        </w:rPr>
      </w:pPr>
    </w:p>
    <w:p w14:paraId="41E0059B">
      <w:pPr>
        <w:spacing w:line="100" w:lineRule="exact"/>
        <w:rPr>
          <w:rFonts w:hint="eastAsia"/>
          <w:sz w:val="28"/>
          <w:szCs w:val="28"/>
        </w:rPr>
      </w:pPr>
    </w:p>
    <w:p w14:paraId="3FC91937">
      <w:pPr>
        <w:spacing w:line="100" w:lineRule="exact"/>
        <w:rPr>
          <w:rFonts w:hint="eastAsia"/>
          <w:sz w:val="28"/>
          <w:szCs w:val="28"/>
        </w:rPr>
      </w:pPr>
    </w:p>
    <w:p w14:paraId="63EAEC32">
      <w:pPr>
        <w:spacing w:line="100" w:lineRule="exact"/>
        <w:rPr>
          <w:rFonts w:hint="eastAsia"/>
          <w:sz w:val="28"/>
          <w:szCs w:val="28"/>
        </w:rPr>
      </w:pPr>
    </w:p>
    <w:p w14:paraId="06DB600B">
      <w:pPr>
        <w:spacing w:line="100" w:lineRule="exact"/>
        <w:rPr>
          <w:rFonts w:hint="eastAsia"/>
          <w:sz w:val="28"/>
          <w:szCs w:val="28"/>
        </w:rPr>
      </w:pPr>
    </w:p>
    <w:p w14:paraId="28669A12">
      <w:pPr>
        <w:spacing w:line="100" w:lineRule="exact"/>
        <w:rPr>
          <w:rFonts w:hint="eastAsia"/>
          <w:sz w:val="28"/>
          <w:szCs w:val="28"/>
          <w:lang w:val="en-US" w:eastAsia="zh-CN"/>
        </w:rPr>
      </w:pPr>
    </w:p>
    <w:p w14:paraId="792C5FC7">
      <w:pPr>
        <w:spacing w:line="100" w:lineRule="exact"/>
        <w:rPr>
          <w:rFonts w:hint="eastAsia"/>
          <w:sz w:val="28"/>
          <w:szCs w:val="28"/>
          <w:lang w:val="en-US" w:eastAsia="zh-CN"/>
        </w:rPr>
      </w:pPr>
    </w:p>
    <w:p w14:paraId="7ED2AFF6">
      <w:pPr>
        <w:spacing w:line="100" w:lineRule="exact"/>
        <w:rPr>
          <w:rFonts w:hint="eastAsia"/>
          <w:sz w:val="28"/>
          <w:szCs w:val="28"/>
          <w:lang w:val="en-US" w:eastAsia="zh-CN"/>
        </w:rPr>
      </w:pPr>
    </w:p>
    <w:p w14:paraId="44F844F3">
      <w:pPr>
        <w:spacing w:line="100" w:lineRule="exact"/>
        <w:rPr>
          <w:rFonts w:hint="eastAsia"/>
          <w:sz w:val="28"/>
          <w:szCs w:val="28"/>
          <w:lang w:val="en-US" w:eastAsia="zh-CN"/>
        </w:rPr>
      </w:pPr>
    </w:p>
    <w:p w14:paraId="54AB4ACB">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7F27C8FD">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159C0152">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0D0DA922">
      <w:pPr>
        <w:keepNext w:val="0"/>
        <w:keepLines w:val="0"/>
        <w:widowControl/>
        <w:suppressLineNumbers w:val="0"/>
        <w:jc w:val="left"/>
        <w:textAlignment w:val="center"/>
        <w:rPr>
          <w:rFonts w:hint="default"/>
          <w:sz w:val="28"/>
          <w:szCs w:val="28"/>
          <w:lang w:val="en-US" w:eastAsia="zh-CN"/>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附件1</w:t>
      </w:r>
    </w:p>
    <w:p w14:paraId="07C759ED">
      <w:pPr>
        <w:spacing w:line="100" w:lineRule="exact"/>
        <w:rPr>
          <w:rFonts w:hint="eastAsia"/>
          <w:sz w:val="28"/>
          <w:szCs w:val="28"/>
        </w:rPr>
      </w:pPr>
    </w:p>
    <w:p w14:paraId="5B8DEC43">
      <w:pPr>
        <w:pBdr>
          <w:top w:val="none" w:color="auto" w:sz="0" w:space="0"/>
          <w:left w:val="none" w:color="auto" w:sz="0" w:space="0"/>
          <w:bottom w:val="none" w:color="auto" w:sz="0" w:space="0"/>
          <w:right w:val="none" w:color="auto" w:sz="0" w:space="0"/>
          <w:between w:val="none" w:color="auto" w:sz="0" w:space="0"/>
        </w:pBdr>
        <w:spacing w:line="100" w:lineRule="exact"/>
        <w:rPr>
          <w:rFonts w:hint="eastAsia"/>
          <w:sz w:val="28"/>
          <w:szCs w:val="28"/>
        </w:rPr>
      </w:pPr>
    </w:p>
    <w:tbl>
      <w:tblPr>
        <w:tblStyle w:val="9"/>
        <w:tblW w:w="8812"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600"/>
        <w:gridCol w:w="2867"/>
        <w:gridCol w:w="800"/>
        <w:gridCol w:w="1413"/>
        <w:gridCol w:w="1187"/>
      </w:tblGrid>
      <w:tr w14:paraId="704E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2" w:type="dxa"/>
            <w:gridSpan w:val="6"/>
            <w:tcBorders>
              <w:top w:val="nil"/>
              <w:left w:val="nil"/>
              <w:bottom w:val="nil"/>
              <w:right w:val="nil"/>
            </w:tcBorders>
            <w:noWrap w:val="0"/>
            <w:vAlign w:val="top"/>
          </w:tcPr>
          <w:p w14:paraId="4419910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综合单价公示价格表</w:t>
            </w:r>
          </w:p>
        </w:tc>
      </w:tr>
      <w:tr w14:paraId="51C6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9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70710C">
            <w:pPr>
              <w:pStyle w:val="11"/>
              <w:widowControl w:val="0"/>
              <w:numPr>
                <w:ilvl w:val="0"/>
                <w:numId w:val="0"/>
              </w:numPr>
              <w:spacing w:before="301" w:line="221"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序号</w:t>
            </w:r>
          </w:p>
        </w:tc>
        <w:tc>
          <w:tcPr>
            <w:tcW w:w="1600" w:type="dxa"/>
            <w:tcBorders>
              <w:top w:val="single" w:color="auto" w:sz="4" w:space="0"/>
              <w:left w:val="single" w:color="auto" w:sz="4" w:space="0"/>
              <w:bottom w:val="single" w:color="auto" w:sz="4" w:space="0"/>
            </w:tcBorders>
            <w:shd w:val="clear" w:color="auto" w:fill="auto"/>
            <w:noWrap w:val="0"/>
            <w:vAlign w:val="center"/>
          </w:tcPr>
          <w:p w14:paraId="0A853820">
            <w:pPr>
              <w:pStyle w:val="11"/>
              <w:widowControl w:val="0"/>
              <w:numPr>
                <w:ilvl w:val="0"/>
                <w:numId w:val="0"/>
              </w:numPr>
              <w:spacing w:before="303" w:line="221" w:lineRule="auto"/>
              <w:ind w:left="0" w:leftChars="0" w:firstLine="0" w:firstLineChars="0"/>
              <w:jc w:val="center"/>
              <w:rPr>
                <w:rFonts w:hint="default"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名称</w:t>
            </w:r>
          </w:p>
        </w:tc>
        <w:tc>
          <w:tcPr>
            <w:tcW w:w="2867" w:type="dxa"/>
            <w:shd w:val="clear" w:color="auto" w:fill="auto"/>
            <w:noWrap w:val="0"/>
            <w:vAlign w:val="center"/>
          </w:tcPr>
          <w:p w14:paraId="1497C0DB">
            <w:pPr>
              <w:pStyle w:val="11"/>
              <w:widowControl w:val="0"/>
              <w:numPr>
                <w:ilvl w:val="0"/>
                <w:numId w:val="0"/>
              </w:numPr>
              <w:spacing w:before="299" w:line="219"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规格型号</w:t>
            </w:r>
          </w:p>
        </w:tc>
        <w:tc>
          <w:tcPr>
            <w:tcW w:w="800" w:type="dxa"/>
            <w:shd w:val="clear" w:color="auto" w:fill="auto"/>
            <w:noWrap w:val="0"/>
            <w:vAlign w:val="center"/>
          </w:tcPr>
          <w:p w14:paraId="33EBF6A0">
            <w:pPr>
              <w:pStyle w:val="11"/>
              <w:widowControl w:val="0"/>
              <w:numPr>
                <w:ilvl w:val="0"/>
                <w:numId w:val="0"/>
              </w:numPr>
              <w:spacing w:before="300" w:line="220"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单位</w:t>
            </w:r>
          </w:p>
        </w:tc>
        <w:tc>
          <w:tcPr>
            <w:tcW w:w="1413" w:type="dxa"/>
            <w:shd w:val="clear" w:color="auto" w:fill="auto"/>
            <w:noWrap w:val="0"/>
            <w:vAlign w:val="center"/>
          </w:tcPr>
          <w:p w14:paraId="04C6CB6C">
            <w:pPr>
              <w:pStyle w:val="11"/>
              <w:widowControl w:val="0"/>
              <w:numPr>
                <w:ilvl w:val="0"/>
                <w:numId w:val="0"/>
              </w:numPr>
              <w:spacing w:before="110" w:line="219" w:lineRule="auto"/>
              <w:ind w:leftChars="0"/>
              <w:jc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不含税市场价</w:t>
            </w:r>
          </w:p>
        </w:tc>
        <w:tc>
          <w:tcPr>
            <w:tcW w:w="1187" w:type="dxa"/>
            <w:shd w:val="clear" w:color="auto" w:fill="auto"/>
            <w:noWrap w:val="0"/>
            <w:vAlign w:val="center"/>
          </w:tcPr>
          <w:p w14:paraId="4FF5D088">
            <w:pPr>
              <w:pStyle w:val="11"/>
              <w:widowControl w:val="0"/>
              <w:numPr>
                <w:ilvl w:val="0"/>
                <w:numId w:val="0"/>
              </w:numPr>
              <w:spacing w:before="78" w:line="221" w:lineRule="auto"/>
              <w:ind w:left="0" w:leftChars="0" w:firstLine="0" w:firstLineChars="0"/>
              <w:jc w:val="center"/>
              <w:rPr>
                <w:rFonts w:hint="eastAsia" w:ascii="仿宋" w:hAnsi="仿宋" w:eastAsia="仿宋" w:cs="仿宋"/>
                <w:b/>
                <w:bCs/>
                <w:i w:val="0"/>
                <w:iCs w:val="0"/>
                <w:color w:val="000000" w:themeColor="text1"/>
                <w:kern w:val="0"/>
                <w:sz w:val="36"/>
                <w:szCs w:val="36"/>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备注</w:t>
            </w:r>
          </w:p>
        </w:tc>
      </w:tr>
      <w:tr w14:paraId="139D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1E4A2B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600" w:type="dxa"/>
            <w:tcBorders>
              <w:top w:val="single" w:color="auto" w:sz="4" w:space="0"/>
              <w:left w:val="single" w:color="auto" w:sz="4" w:space="0"/>
              <w:bottom w:val="single" w:color="auto" w:sz="4" w:space="0"/>
            </w:tcBorders>
            <w:noWrap w:val="0"/>
            <w:vAlign w:val="center"/>
          </w:tcPr>
          <w:p w14:paraId="065EB28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金属栏杆</w:t>
            </w:r>
          </w:p>
        </w:tc>
        <w:tc>
          <w:tcPr>
            <w:tcW w:w="2867" w:type="dxa"/>
            <w:noWrap w:val="0"/>
            <w:vAlign w:val="top"/>
          </w:tcPr>
          <w:p w14:paraId="15698707">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1.栏杆材料种类、规格:镀锌方钢，立柱100*100*4mm，横向栅栏40*40*2.5mm，中间竖向栅栏20*20*1.5mm</w:t>
            </w:r>
          </w:p>
          <w:p w14:paraId="623DCCD6">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2.栏杆高度：2m</w:t>
            </w:r>
          </w:p>
          <w:p w14:paraId="204A3E7D">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3.颜色：立柱和横向栅栏为天蓝色防锈漆，中间竖向栅栏为白色防锈漆</w:t>
            </w:r>
          </w:p>
        </w:tc>
        <w:tc>
          <w:tcPr>
            <w:tcW w:w="800" w:type="dxa"/>
            <w:noWrap w:val="0"/>
            <w:vAlign w:val="center"/>
          </w:tcPr>
          <w:p w14:paraId="4C4F7D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zh-CN" w:bidi="ar"/>
              </w:rPr>
              <w:t>m</w:t>
            </w:r>
          </w:p>
        </w:tc>
        <w:tc>
          <w:tcPr>
            <w:tcW w:w="1413" w:type="dxa"/>
            <w:noWrap w:val="0"/>
            <w:vAlign w:val="center"/>
          </w:tcPr>
          <w:p w14:paraId="3EC1F9D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310</w:t>
            </w:r>
          </w:p>
        </w:tc>
        <w:tc>
          <w:tcPr>
            <w:tcW w:w="1187" w:type="dxa"/>
            <w:noWrap w:val="0"/>
            <w:vAlign w:val="center"/>
          </w:tcPr>
          <w:p w14:paraId="5E52CC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r>
    </w:tbl>
    <w:p w14:paraId="176C70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sectPr>
          <w:pgSz w:w="11906" w:h="16838"/>
          <w:pgMar w:top="1440" w:right="1803" w:bottom="1440" w:left="1803" w:header="851" w:footer="992" w:gutter="0"/>
          <w:cols w:space="0" w:num="1"/>
          <w:rtlGutter w:val="0"/>
          <w:docGrid w:type="lines" w:linePitch="319" w:charSpace="0"/>
        </w:sectPr>
      </w:pPr>
      <w:r>
        <w:rPr>
          <w:rFonts w:hint="eastAsia" w:ascii="仿宋" w:hAnsi="仿宋" w:eastAsia="仿宋" w:cs="仿宋"/>
          <w:sz w:val="24"/>
          <w:szCs w:val="24"/>
        </w:rPr>
        <w:t>备注：主要材料设备的投标报价与此表中公示的材料价和设备价格的正偏差不得超过5%，否则中标后发包人可根据公示价格选择材料、设备的品牌及档次标准。采购标准及参数需要以图纸及清单所提标准为基准，不得低于该使用标准）</w:t>
      </w:r>
    </w:p>
    <w:tbl>
      <w:tblPr>
        <w:tblStyle w:val="8"/>
        <w:tblW w:w="48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00"/>
      </w:tblGrid>
      <w:tr w14:paraId="45423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1" w:hRule="atLeast"/>
        </w:trPr>
        <w:tc>
          <w:tcPr>
            <w:tcW w:w="5000" w:type="pct"/>
            <w:tcBorders>
              <w:top w:val="nil"/>
              <w:left w:val="nil"/>
              <w:bottom w:val="nil"/>
              <w:right w:val="nil"/>
            </w:tcBorders>
            <w:shd w:val="clear" w:color="auto" w:fill="auto"/>
            <w:noWrap/>
            <w:vAlign w:val="center"/>
          </w:tcPr>
          <w:p w14:paraId="23984B07">
            <w:pPr>
              <w:keepNext w:val="0"/>
              <w:keepLines w:val="0"/>
              <w:widowControl/>
              <w:suppressLineNumbers w:val="0"/>
              <w:jc w:val="left"/>
              <w:textAlignment w:val="center"/>
              <w:rPr>
                <w:rFonts w:hint="default"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附件2</w:t>
            </w:r>
          </w:p>
          <w:p w14:paraId="27C4B560">
            <w:pPr>
              <w:keepNext w:val="0"/>
              <w:keepLines w:val="0"/>
              <w:widowControl/>
              <w:suppressLineNumbers w:val="0"/>
              <w:jc w:val="center"/>
              <w:textAlignment w:val="center"/>
              <w:rPr>
                <w:rFonts w:ascii="仿宋" w:hAnsi="仿宋" w:eastAsia="仿宋" w:cs="仿宋"/>
                <w:b/>
                <w:bCs/>
                <w:i w:val="0"/>
                <w:iCs w:val="0"/>
                <w:color w:val="000000" w:themeColor="text1"/>
                <w:sz w:val="36"/>
                <w:szCs w:val="36"/>
                <w:u w:val="none"/>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主要设备材料性能技术参数参考表</w:t>
            </w:r>
          </w:p>
        </w:tc>
      </w:tr>
      <w:tr w14:paraId="31651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6" w:hRule="atLeast"/>
        </w:trPr>
        <w:tc>
          <w:tcPr>
            <w:tcW w:w="5000" w:type="pct"/>
            <w:tcBorders>
              <w:top w:val="nil"/>
              <w:left w:val="nil"/>
              <w:bottom w:val="nil"/>
              <w:right w:val="nil"/>
            </w:tcBorders>
            <w:shd w:val="clear" w:color="auto" w:fill="auto"/>
            <w:noWrap/>
            <w:vAlign w:val="center"/>
          </w:tcPr>
          <w:tbl>
            <w:tblPr>
              <w:tblStyle w:val="8"/>
              <w:tblpPr w:leftFromText="180" w:rightFromText="180" w:vertAnchor="text" w:horzAnchor="page" w:tblpX="47" w:tblpY="85"/>
              <w:tblOverlap w:val="never"/>
              <w:tblW w:w="81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2"/>
              <w:gridCol w:w="1248"/>
              <w:gridCol w:w="1726"/>
              <w:gridCol w:w="605"/>
              <w:gridCol w:w="929"/>
              <w:gridCol w:w="1507"/>
              <w:gridCol w:w="1640"/>
            </w:tblGrid>
            <w:tr w14:paraId="5F822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4"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EF41">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序号</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572D">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材料名称</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1A1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规格型号</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281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单位</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4D58">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价格类型</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2896">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参考品牌</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2A5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预算价格（不含税，含运费）</w:t>
                  </w:r>
                </w:p>
              </w:tc>
            </w:tr>
            <w:tr w14:paraId="1048F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2BD3">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28EAB">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SBS改性沥青防水卷材</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2562">
                  <w:pPr>
                    <w:jc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3mm；4mm;3mm带岩片:4mm带岩片</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424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m2</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8D6AB">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D8D15">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东方雨虹、科顺、卓宝</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7FCD">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1BD4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35D5">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5D7CE">
                  <w:pPr>
                    <w:pStyle w:val="7"/>
                    <w:keepNext w:val="0"/>
                    <w:keepLines w:val="0"/>
                    <w:widowControl/>
                    <w:suppressLineNumbers w:val="0"/>
                    <w:spacing w:before="0" w:beforeAutospacing="0" w:after="0" w:afterAutospacing="0"/>
                    <w:ind w:left="0" w:leftChars="0" w:right="0" w:rightChars="0" w:firstLine="0" w:firstLineChars="0"/>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全球带云台彩色摄像机</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868D">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CF0B">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套</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A3DF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B535">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康海威视、宇视、大华</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E43A">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3E98A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211C">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E1BA">
                  <w:pPr>
                    <w:pStyle w:val="7"/>
                    <w:keepNext w:val="0"/>
                    <w:keepLines w:val="0"/>
                    <w:widowControl/>
                    <w:suppressLineNumbers w:val="0"/>
                    <w:spacing w:before="0" w:beforeAutospacing="0" w:after="0" w:afterAutospacing="0"/>
                    <w:ind w:left="0" w:leftChars="0" w:right="0" w:rightChars="0" w:firstLine="0" w:firstLineChars="0"/>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循环水泵</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D1264">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流量20l/s,扬程15m,功率2.2kw</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B169F">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95C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2D573">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南方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华鲁</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凯泉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901C">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75C21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0F0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6D65">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控制箱（厂家配套）</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9C25">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箱体尺寸600*800*250mm</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DED6">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66FE2">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57128">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南方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华鲁</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凯泉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1C9A0">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57B1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E0AF">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C4C4">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HDEP双壁波纹管</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E297">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DE300</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9EEA">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33041">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CF23">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中财、伟星、联塑</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7CEA">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5C41E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FAA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3BC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HDEP双壁波纹管</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8620">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DE200</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CA99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79BC">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ADA8">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中财、伟星、联塑</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77A3">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07DF5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7"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8E3E">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FE10">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电力电缆WDZ-YJY</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D54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具体规格型号详见图纸及工程量清单。</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ED3B">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69CD">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5AA8">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鑫万蒙、扬子、津达</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9A08">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bl>
          <w:p w14:paraId="7AA4FECC">
            <w:pPr>
              <w:rPr>
                <w:rFonts w:hint="eastAsia" w:ascii="仿宋" w:hAnsi="仿宋" w:eastAsia="仿宋" w:cs="仿宋"/>
                <w:b w:val="0"/>
                <w:bCs w:val="0"/>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lang w:val="en-US" w:eastAsia="zh-CN" w:bidi="ar-SA"/>
                <w14:textFill>
                  <w14:solidFill>
                    <w14:schemeClr w14:val="tx1"/>
                  </w14:solidFill>
                </w14:textFill>
              </w:rPr>
              <w:t>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p w14:paraId="40C22F86">
            <w:pPr>
              <w:keepNext w:val="0"/>
              <w:keepLines w:val="0"/>
              <w:widowControl/>
              <w:suppressLineNumbers w:val="0"/>
              <w:jc w:val="both"/>
              <w:textAlignment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p>
          <w:p w14:paraId="5516ACB3">
            <w:pPr>
              <w:keepNext w:val="0"/>
              <w:keepLines w:val="0"/>
              <w:widowControl/>
              <w:suppressLineNumbers w:val="0"/>
              <w:jc w:val="both"/>
              <w:textAlignment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p>
        </w:tc>
      </w:tr>
    </w:tbl>
    <w:p w14:paraId="1BD9A2DD">
      <w:pPr>
        <w:rPr>
          <w:rFonts w:hint="eastAsia" w:ascii="仿宋" w:hAnsi="仿宋" w:eastAsia="仿宋" w:cs="仿宋"/>
          <w:b w:val="0"/>
          <w:bCs w:val="0"/>
          <w:color w:val="000000" w:themeColor="text1"/>
          <w:kern w:val="2"/>
          <w:sz w:val="28"/>
          <w:szCs w:val="28"/>
          <w:lang w:val="en-US" w:eastAsia="zh-CN" w:bidi="ar-SA"/>
          <w14:textFill>
            <w14:solidFill>
              <w14:schemeClr w14:val="tx1"/>
            </w14:solidFill>
          </w14:textFill>
        </w:rPr>
        <w:sectPr>
          <w:pgSz w:w="11906" w:h="16838"/>
          <w:pgMar w:top="1440" w:right="1803" w:bottom="1440" w:left="1803" w:header="851" w:footer="992" w:gutter="0"/>
          <w:cols w:space="0" w:num="1"/>
          <w:rtlGutter w:val="0"/>
          <w:docGrid w:type="lines" w:linePitch="319" w:charSpace="0"/>
        </w:sectPr>
      </w:pPr>
    </w:p>
    <w:p w14:paraId="11F72FEC">
      <w:pPr>
        <w:pStyle w:val="7"/>
        <w:keepNext w:val="0"/>
        <w:keepLines w:val="0"/>
        <w:widowControl/>
        <w:suppressLineNumbers w:val="0"/>
        <w:spacing w:before="0" w:beforeAutospacing="0" w:after="0" w:afterAutospacing="0"/>
        <w:ind w:right="0"/>
        <w:jc w:val="left"/>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附件3</w:t>
      </w:r>
    </w:p>
    <w:p w14:paraId="73A08C65">
      <w:pPr>
        <w:pStyle w:val="7"/>
        <w:keepNext w:val="0"/>
        <w:keepLines w:val="0"/>
        <w:widowControl/>
        <w:suppressLineNumbers w:val="0"/>
        <w:spacing w:before="0" w:beforeAutospacing="0" w:after="0" w:afterAutospacing="0"/>
        <w:ind w:right="0"/>
        <w:jc w:val="center"/>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汇总表</w:t>
      </w:r>
    </w:p>
    <w:p w14:paraId="7678885D">
      <w:pPr>
        <w:pStyle w:val="7"/>
        <w:keepNext w:val="0"/>
        <w:keepLines w:val="0"/>
        <w:widowControl/>
        <w:suppressLineNumbers w:val="0"/>
        <w:spacing w:before="0" w:beforeAutospacing="0" w:after="0" w:afterAutospacing="0"/>
        <w:ind w:right="0"/>
        <w:jc w:val="left"/>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工程名称：鄂尔多斯市文化和旅游局2025年局属单位安全隐患维修工程（图书馆、博物馆、青铜器博物馆、革命历史博物馆）</w:t>
      </w:r>
    </w:p>
    <w:tbl>
      <w:tblPr>
        <w:tblStyle w:val="8"/>
        <w:tblW w:w="839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2"/>
        <w:gridCol w:w="4773"/>
        <w:gridCol w:w="2744"/>
      </w:tblGrid>
      <w:tr w14:paraId="1172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14:paraId="6235A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477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5E4C2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单位工程名称</w:t>
            </w:r>
          </w:p>
        </w:tc>
        <w:tc>
          <w:tcPr>
            <w:tcW w:w="274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26F57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金额（元）</w:t>
            </w:r>
          </w:p>
        </w:tc>
      </w:tr>
      <w:tr w14:paraId="2D876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14:paraId="010CB863">
            <w:pPr>
              <w:jc w:val="center"/>
              <w:rPr>
                <w:rFonts w:hint="eastAsia" w:ascii="仿宋" w:hAnsi="仿宋" w:eastAsia="仿宋" w:cs="仿宋"/>
                <w:i w:val="0"/>
                <w:iCs w:val="0"/>
                <w:color w:val="000000"/>
                <w:sz w:val="24"/>
                <w:szCs w:val="24"/>
                <w:u w:val="none"/>
              </w:rPr>
            </w:pPr>
          </w:p>
        </w:tc>
        <w:tc>
          <w:tcPr>
            <w:tcW w:w="477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459BE898">
            <w:pPr>
              <w:jc w:val="center"/>
              <w:rPr>
                <w:rFonts w:hint="eastAsia" w:ascii="仿宋" w:hAnsi="仿宋" w:eastAsia="仿宋" w:cs="仿宋"/>
                <w:i w:val="0"/>
                <w:iCs w:val="0"/>
                <w:color w:val="000000"/>
                <w:sz w:val="24"/>
                <w:szCs w:val="24"/>
                <w:u w:val="none"/>
              </w:rPr>
            </w:pPr>
          </w:p>
        </w:tc>
        <w:tc>
          <w:tcPr>
            <w:tcW w:w="274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13A3ED6F">
            <w:pPr>
              <w:jc w:val="center"/>
              <w:rPr>
                <w:rFonts w:hint="eastAsia" w:ascii="仿宋" w:hAnsi="仿宋" w:eastAsia="仿宋" w:cs="仿宋"/>
                <w:i w:val="0"/>
                <w:iCs w:val="0"/>
                <w:color w:val="000000"/>
                <w:sz w:val="24"/>
                <w:szCs w:val="24"/>
                <w:u w:val="none"/>
              </w:rPr>
            </w:pPr>
          </w:p>
        </w:tc>
      </w:tr>
      <w:tr w14:paraId="494A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BE4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F9F53">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EBCA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4230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D617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EBD32">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67BF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FB7F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E66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6ABD0">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图书馆-外网工程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8D57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6B57B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86B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A33DA2">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图书馆-外网土方工程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55D6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9EF1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45B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31408">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博物馆-电气工程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48C82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4D882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E6BB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C3D7AF">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青铜器博物馆-建筑拆除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98EE5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3C39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56B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8C900">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青铜器博物馆-建筑新做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51AE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2588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367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1E8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革命历史博物馆-建筑拆除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7C36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10A8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3E9EA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34F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革命历史博物馆-建筑新做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5BAA34">
            <w:pPr>
              <w:keepNext w:val="0"/>
              <w:keepLines w:val="0"/>
              <w:widowControl/>
              <w:suppressLineNumbers w:val="0"/>
              <w:jc w:val="center"/>
              <w:textAlignment w:val="center"/>
              <w:rPr>
                <w:rFonts w:hint="eastAsia" w:ascii="仿宋" w:hAnsi="仿宋" w:eastAsia="仿宋" w:cs="仿宋"/>
                <w:color w:val="auto"/>
                <w:kern w:val="2"/>
                <w:sz w:val="24"/>
                <w:szCs w:val="24"/>
                <w:highlight w:val="none"/>
                <w:lang w:val="en-US" w:eastAsia="zh-CN" w:bidi="ar-SA"/>
              </w:rPr>
            </w:pPr>
          </w:p>
        </w:tc>
      </w:tr>
      <w:tr w14:paraId="40BF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150D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A8B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革命历史博物馆-电气工程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12BAC">
            <w:pPr>
              <w:keepNext w:val="0"/>
              <w:keepLines w:val="0"/>
              <w:widowControl/>
              <w:suppressLineNumbers w:val="0"/>
              <w:jc w:val="center"/>
              <w:textAlignment w:val="center"/>
              <w:rPr>
                <w:rFonts w:hint="eastAsia" w:ascii="仿宋" w:hAnsi="仿宋" w:eastAsia="仿宋" w:cs="仿宋"/>
                <w:color w:val="auto"/>
                <w:kern w:val="2"/>
                <w:sz w:val="24"/>
                <w:szCs w:val="24"/>
                <w:highlight w:val="none"/>
                <w:lang w:val="en-US" w:eastAsia="zh-CN" w:bidi="ar-SA"/>
              </w:rPr>
            </w:pPr>
          </w:p>
        </w:tc>
      </w:tr>
      <w:tr w14:paraId="702D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6FBB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DF7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暂列金（含税）</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0E542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463534.93</w:t>
            </w:r>
          </w:p>
        </w:tc>
      </w:tr>
      <w:tr w14:paraId="3211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655"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14:paraId="29511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74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178923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bl>
    <w:p w14:paraId="13A57F76">
      <w:pPr>
        <w:rPr>
          <w:rFonts w:hint="eastAsia" w:ascii="仿宋" w:hAnsi="仿宋" w:eastAsia="仿宋" w:cs="仿宋"/>
          <w:b w:val="0"/>
          <w:bCs w:val="0"/>
          <w:color w:val="000000" w:themeColor="text1"/>
          <w:kern w:val="2"/>
          <w:sz w:val="28"/>
          <w:szCs w:val="28"/>
          <w:lang w:val="en-US" w:eastAsia="zh-CN" w:bidi="ar-SA"/>
          <w14:textFill>
            <w14:solidFill>
              <w14:schemeClr w14:val="tx1"/>
            </w14:solidFill>
          </w14:textFill>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D17B6"/>
    <w:multiLevelType w:val="singleLevel"/>
    <w:tmpl w:val="98DD17B6"/>
    <w:lvl w:ilvl="0" w:tentative="0">
      <w:start w:val="1"/>
      <w:numFmt w:val="decimal"/>
      <w:suff w:val="nothing"/>
      <w:lvlText w:val="%1、"/>
      <w:lvlJc w:val="left"/>
      <w:rPr>
        <w:rFonts w:hint="default" w:ascii="仿宋" w:hAnsi="仿宋" w:eastAsia="仿宋" w:cs="仿宋"/>
        <w:b w:val="0"/>
        <w:bCs w:val="0"/>
      </w:rPr>
    </w:lvl>
  </w:abstractNum>
  <w:abstractNum w:abstractNumId="1">
    <w:nsid w:val="E050D702"/>
    <w:multiLevelType w:val="singleLevel"/>
    <w:tmpl w:val="E050D702"/>
    <w:lvl w:ilvl="0" w:tentative="0">
      <w:start w:val="1"/>
      <w:numFmt w:val="decimal"/>
      <w:suff w:val="nothing"/>
      <w:lvlText w:val="%1"/>
      <w:lvlJc w:val="left"/>
      <w:pPr>
        <w:tabs>
          <w:tab w:val="left" w:pos="0"/>
        </w:tabs>
      </w:pPr>
      <w:rPr>
        <w:rFonts w:hint="default" w:ascii="仿宋" w:hAnsi="仿宋" w:eastAsia="仿宋" w:cs="仿宋_GB231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1M2I3NTFiOGJlNmFmYTRiOTY5MGFhZjJkNjE4OGIifQ=="/>
  </w:docVars>
  <w:rsids>
    <w:rsidRoot w:val="4A505918"/>
    <w:rsid w:val="04E73DC1"/>
    <w:rsid w:val="05636C00"/>
    <w:rsid w:val="0910060C"/>
    <w:rsid w:val="0AA52DEC"/>
    <w:rsid w:val="0B806F19"/>
    <w:rsid w:val="11823686"/>
    <w:rsid w:val="11CC3F93"/>
    <w:rsid w:val="1479770B"/>
    <w:rsid w:val="1CCB51C3"/>
    <w:rsid w:val="1D04257E"/>
    <w:rsid w:val="261631EE"/>
    <w:rsid w:val="26EC2F93"/>
    <w:rsid w:val="274D53AA"/>
    <w:rsid w:val="283F190B"/>
    <w:rsid w:val="28520641"/>
    <w:rsid w:val="2F815E05"/>
    <w:rsid w:val="2FEF4C1A"/>
    <w:rsid w:val="341D4E0B"/>
    <w:rsid w:val="346D06AE"/>
    <w:rsid w:val="34B22E01"/>
    <w:rsid w:val="376412BA"/>
    <w:rsid w:val="3CAF1523"/>
    <w:rsid w:val="3F046F30"/>
    <w:rsid w:val="3F6034C8"/>
    <w:rsid w:val="41B56C08"/>
    <w:rsid w:val="42402E61"/>
    <w:rsid w:val="42616032"/>
    <w:rsid w:val="42B810D7"/>
    <w:rsid w:val="43F042CD"/>
    <w:rsid w:val="4419456C"/>
    <w:rsid w:val="46C712A9"/>
    <w:rsid w:val="496857E0"/>
    <w:rsid w:val="4A505918"/>
    <w:rsid w:val="4B881B82"/>
    <w:rsid w:val="4F1418C5"/>
    <w:rsid w:val="4F8C772F"/>
    <w:rsid w:val="50D66E54"/>
    <w:rsid w:val="53277E51"/>
    <w:rsid w:val="536110D4"/>
    <w:rsid w:val="59AA2C98"/>
    <w:rsid w:val="5CA75558"/>
    <w:rsid w:val="5E325E43"/>
    <w:rsid w:val="61421664"/>
    <w:rsid w:val="63835399"/>
    <w:rsid w:val="66430FEE"/>
    <w:rsid w:val="688064D5"/>
    <w:rsid w:val="701A7A0C"/>
    <w:rsid w:val="70EC72CE"/>
    <w:rsid w:val="78456708"/>
    <w:rsid w:val="7B074BF2"/>
    <w:rsid w:val="7E242258"/>
    <w:rsid w:val="7E3B7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eastAsia="仿宋_GB2312" w:cs="Times New Roman"/>
      <w:sz w:val="32"/>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spacing w:before="120" w:after="120"/>
      <w:jc w:val="left"/>
    </w:pPr>
    <w:rPr>
      <w:b/>
      <w:caps/>
      <w:sz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2265</Words>
  <Characters>2459</Characters>
  <Lines>0</Lines>
  <Paragraphs>0</Paragraphs>
  <TotalTime>7</TotalTime>
  <ScaleCrop>false</ScaleCrop>
  <LinksUpToDate>false</LinksUpToDate>
  <CharactersWithSpaces>2459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2024-07-05T10:29:00Z</dcterms:created>
  <dc:creator>白云霞</dc:creator>
  <cp:lastModifiedBy>立flag什么的还是算了</cp:lastModifiedBy>
  <dcterms:modified xsi:type="dcterms:W3CDTF">2025-07-09T10:14:04Z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200874E05344495F837834A952E89E88_13</vt:lpwstr>
  </property>
  <property fmtid="{D5CDD505-2E9C-101B-9397-08002B2CF9AE}" pid="4" name="KSOTemplateDocerSaveRecord">
    <vt:lpwstr>eyJoZGlkIjoiMTEyN2E4NjdhNmY0NzI3NWM3N2ViMzFhYjA5OTdkNTkiLCJ1c2VySWQiOiIzODQwNjU3ODgifQ==</vt:lpwstr>
  </property>
</Properties>
</file>