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61CF3">
      <w:pPr>
        <w:pStyle w:val="14"/>
        <w:ind w:firstLine="482" w:firstLineChars="200"/>
        <w:rPr>
          <w:rFonts w:ascii="宋体" w:hAnsi="宋体"/>
          <w:b/>
          <w:color w:val="000000" w:themeColor="text1"/>
          <w:sz w:val="24"/>
          <w14:textFill>
            <w14:solidFill>
              <w14:schemeClr w14:val="tx1"/>
            </w14:solidFill>
          </w14:textFill>
        </w:rPr>
      </w:pPr>
    </w:p>
    <w:p w14:paraId="4183835B">
      <w:pPr>
        <w:pStyle w:val="14"/>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 xml:space="preserve">                                           编号：    </w:t>
      </w:r>
    </w:p>
    <w:p w14:paraId="35023D20">
      <w:pPr>
        <w:pStyle w:val="14"/>
        <w:ind w:firstLine="420" w:firstLineChars="200"/>
        <w:rPr>
          <w:rFonts w:ascii="宋体" w:hAnsi="宋体"/>
          <w:color w:val="000000" w:themeColor="text1"/>
          <w14:textFill>
            <w14:solidFill>
              <w14:schemeClr w14:val="tx1"/>
            </w14:solidFill>
          </w14:textFill>
        </w:rPr>
      </w:pPr>
    </w:p>
    <w:p w14:paraId="3EC03519">
      <w:pPr>
        <w:pStyle w:val="14"/>
        <w:ind w:firstLine="880" w:firstLineChars="200"/>
        <w:rPr>
          <w:rFonts w:ascii="宋体" w:hAnsi="宋体"/>
          <w:color w:val="000000" w:themeColor="text1"/>
          <w:sz w:val="44"/>
          <w:szCs w:val="44"/>
          <w14:textFill>
            <w14:solidFill>
              <w14:schemeClr w14:val="tx1"/>
            </w14:solidFill>
          </w14:textFill>
        </w:rPr>
      </w:pPr>
    </w:p>
    <w:p w14:paraId="057CA579">
      <w:pPr>
        <w:pStyle w:val="14"/>
        <w:ind w:firstLine="883" w:firstLineChars="200"/>
        <w:rPr>
          <w:rFonts w:ascii="宋体" w:hAnsi="宋体"/>
          <w:b/>
          <w:color w:val="000000" w:themeColor="text1"/>
          <w:sz w:val="44"/>
          <w:szCs w:val="44"/>
          <w14:textFill>
            <w14:solidFill>
              <w14:schemeClr w14:val="tx1"/>
            </w14:solidFill>
          </w14:textFill>
        </w:rPr>
      </w:pPr>
    </w:p>
    <w:p w14:paraId="5831A198">
      <w:pPr>
        <w:pStyle w:val="14"/>
        <w:ind w:firstLine="883" w:firstLineChars="200"/>
        <w:jc w:val="center"/>
        <w:rPr>
          <w:rFonts w:ascii="宋体" w:hAnsi="宋体"/>
          <w:b/>
          <w:color w:val="000000" w:themeColor="text1"/>
          <w:sz w:val="44"/>
          <w:szCs w:val="44"/>
          <w14:textFill>
            <w14:solidFill>
              <w14:schemeClr w14:val="tx1"/>
            </w14:solidFill>
          </w14:textFill>
        </w:rPr>
      </w:pPr>
    </w:p>
    <w:p w14:paraId="3713CCFB">
      <w:pPr>
        <w:pStyle w:val="14"/>
        <w:ind w:firstLine="883" w:firstLineChars="200"/>
        <w:jc w:val="center"/>
        <w:rPr>
          <w:rFonts w:ascii="宋体" w:hAnsi="宋体"/>
          <w:b/>
          <w:color w:val="000000" w:themeColor="text1"/>
          <w:sz w:val="44"/>
          <w:szCs w:val="44"/>
          <w14:textFill>
            <w14:solidFill>
              <w14:schemeClr w14:val="tx1"/>
            </w14:solidFill>
          </w14:textFill>
        </w:rPr>
      </w:pPr>
    </w:p>
    <w:p w14:paraId="175279AF">
      <w:pPr>
        <w:widowControl/>
        <w:ind w:firstLine="1928" w:firstLineChars="400"/>
        <w:rPr>
          <w:rFonts w:ascii="宋体" w:hAnsi="宋体"/>
          <w:b/>
          <w:color w:val="000000" w:themeColor="text1"/>
          <w:sz w:val="48"/>
          <w:szCs w:val="48"/>
          <w14:textFill>
            <w14:solidFill>
              <w14:schemeClr w14:val="tx1"/>
            </w14:solidFill>
          </w14:textFill>
        </w:rPr>
      </w:pPr>
      <w:r>
        <w:rPr>
          <w:rFonts w:hint="eastAsia" w:ascii="宋体" w:hAnsi="宋体"/>
          <w:b/>
          <w:color w:val="000000" w:themeColor="text1"/>
          <w:sz w:val="48"/>
          <w:szCs w:val="48"/>
          <w14:textFill>
            <w14:solidFill>
              <w14:schemeClr w14:val="tx1"/>
            </w14:solidFill>
          </w14:textFill>
        </w:rPr>
        <w:t>XXXXX项目施工采购合同</w:t>
      </w:r>
    </w:p>
    <w:p w14:paraId="49F91BAE">
      <w:pPr>
        <w:pStyle w:val="14"/>
        <w:ind w:firstLine="880" w:firstLineChars="200"/>
        <w:rPr>
          <w:rFonts w:ascii="宋体" w:hAnsi="宋体"/>
          <w:color w:val="000000" w:themeColor="text1"/>
          <w:sz w:val="44"/>
          <w:szCs w:val="44"/>
          <w14:textFill>
            <w14:solidFill>
              <w14:schemeClr w14:val="tx1"/>
            </w14:solidFill>
          </w14:textFill>
        </w:rPr>
      </w:pPr>
    </w:p>
    <w:p w14:paraId="1CA0EA78">
      <w:pPr>
        <w:pStyle w:val="14"/>
        <w:ind w:firstLine="880" w:firstLineChars="200"/>
        <w:rPr>
          <w:rFonts w:ascii="宋体" w:hAnsi="宋体"/>
          <w:color w:val="000000" w:themeColor="text1"/>
          <w:sz w:val="44"/>
          <w:szCs w:val="44"/>
          <w14:textFill>
            <w14:solidFill>
              <w14:schemeClr w14:val="tx1"/>
            </w14:solidFill>
          </w14:textFill>
        </w:rPr>
      </w:pPr>
    </w:p>
    <w:p w14:paraId="7D48FFDF">
      <w:pPr>
        <w:pStyle w:val="14"/>
        <w:ind w:firstLine="880" w:firstLineChars="200"/>
        <w:rPr>
          <w:rFonts w:ascii="宋体" w:hAnsi="宋体"/>
          <w:color w:val="000000" w:themeColor="text1"/>
          <w:sz w:val="44"/>
          <w:szCs w:val="44"/>
          <w14:textFill>
            <w14:solidFill>
              <w14:schemeClr w14:val="tx1"/>
            </w14:solidFill>
          </w14:textFill>
        </w:rPr>
      </w:pPr>
    </w:p>
    <w:p w14:paraId="4E667027">
      <w:pPr>
        <w:pStyle w:val="14"/>
        <w:ind w:firstLine="880" w:firstLineChars="200"/>
        <w:rPr>
          <w:rFonts w:ascii="宋体" w:hAnsi="宋体"/>
          <w:color w:val="000000" w:themeColor="text1"/>
          <w:sz w:val="44"/>
          <w:szCs w:val="44"/>
          <w14:textFill>
            <w14:solidFill>
              <w14:schemeClr w14:val="tx1"/>
            </w14:solidFill>
          </w14:textFill>
        </w:rPr>
      </w:pPr>
    </w:p>
    <w:p w14:paraId="68012D16">
      <w:pPr>
        <w:pStyle w:val="14"/>
        <w:ind w:firstLine="880" w:firstLineChars="200"/>
        <w:rPr>
          <w:rFonts w:ascii="宋体" w:hAnsi="宋体"/>
          <w:color w:val="000000" w:themeColor="text1"/>
          <w:sz w:val="44"/>
          <w:szCs w:val="44"/>
          <w14:textFill>
            <w14:solidFill>
              <w14:schemeClr w14:val="tx1"/>
            </w14:solidFill>
          </w14:textFill>
        </w:rPr>
      </w:pPr>
    </w:p>
    <w:p w14:paraId="1D5D6F3F">
      <w:pPr>
        <w:pStyle w:val="14"/>
        <w:ind w:firstLine="880" w:firstLineChars="200"/>
        <w:rPr>
          <w:rFonts w:ascii="宋体" w:hAnsi="宋体"/>
          <w:color w:val="000000" w:themeColor="text1"/>
          <w:sz w:val="44"/>
          <w:szCs w:val="44"/>
          <w14:textFill>
            <w14:solidFill>
              <w14:schemeClr w14:val="tx1"/>
            </w14:solidFill>
          </w14:textFill>
        </w:rPr>
      </w:pPr>
    </w:p>
    <w:p w14:paraId="119C548A">
      <w:pPr>
        <w:pStyle w:val="14"/>
        <w:ind w:firstLine="880" w:firstLineChars="200"/>
        <w:rPr>
          <w:rFonts w:ascii="宋体" w:hAnsi="宋体"/>
          <w:color w:val="000000" w:themeColor="text1"/>
          <w:sz w:val="44"/>
          <w:szCs w:val="44"/>
          <w14:textFill>
            <w14:solidFill>
              <w14:schemeClr w14:val="tx1"/>
            </w14:solidFill>
          </w14:textFill>
        </w:rPr>
      </w:pPr>
    </w:p>
    <w:p w14:paraId="32E84D7A">
      <w:pPr>
        <w:adjustRightInd w:val="0"/>
        <w:snapToGrid w:val="0"/>
        <w:spacing w:line="360" w:lineRule="auto"/>
        <w:ind w:firstLine="640" w:firstLineChars="200"/>
        <w:rPr>
          <w:rFonts w:ascii="仿宋_GB2312" w:eastAsia="仿宋_GB2312"/>
          <w:color w:val="000000" w:themeColor="text1"/>
          <w:sz w:val="32"/>
          <w14:textFill>
            <w14:solidFill>
              <w14:schemeClr w14:val="tx1"/>
            </w14:solidFill>
          </w14:textFill>
        </w:rPr>
      </w:pPr>
    </w:p>
    <w:p w14:paraId="0C952E10">
      <w:pPr>
        <w:pStyle w:val="14"/>
        <w:spacing w:line="360" w:lineRule="auto"/>
        <w:ind w:firstLine="602" w:firstLineChars="200"/>
        <w:rPr>
          <w:rFonts w:ascii="宋体" w:hAnsi="宋体"/>
          <w:b/>
          <w:color w:val="000000" w:themeColor="text1"/>
          <w:sz w:val="30"/>
          <w:szCs w:val="30"/>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发包人</w:t>
      </w:r>
      <w:r>
        <w:rPr>
          <w:rFonts w:hint="eastAsia"/>
          <w:b/>
          <w:color w:val="000000" w:themeColor="text1"/>
          <w:sz w:val="30"/>
          <w:szCs w:val="30"/>
          <w14:textFill>
            <w14:solidFill>
              <w14:schemeClr w14:val="tx1"/>
            </w14:solidFill>
          </w14:textFill>
        </w:rPr>
        <w:t>（全称）：</w:t>
      </w:r>
      <w:r>
        <w:rPr>
          <w:rFonts w:hint="eastAsia" w:ascii="宋体" w:hAnsi="宋体"/>
          <w:b/>
          <w:color w:val="000000" w:themeColor="text1"/>
          <w:sz w:val="30"/>
          <w:szCs w:val="30"/>
          <w14:textFill>
            <w14:solidFill>
              <w14:schemeClr w14:val="tx1"/>
            </w14:solidFill>
          </w14:textFill>
        </w:rPr>
        <w:t>鄂尔多斯市政府投资项目代建中心</w:t>
      </w:r>
    </w:p>
    <w:p w14:paraId="57688BA6">
      <w:pPr>
        <w:ind w:firstLine="602" w:firstLineChars="200"/>
        <w:rPr>
          <w:rFonts w:hint="default" w:ascii="宋体" w:hAnsi="宋体" w:eastAsia="宋体"/>
          <w:b/>
          <w:color w:val="000000" w:themeColor="text1"/>
          <w:sz w:val="30"/>
          <w:szCs w:val="30"/>
          <w:lang w:val="en-US" w:eastAsia="zh-CN"/>
          <w14:textFill>
            <w14:solidFill>
              <w14:schemeClr w14:val="tx1"/>
            </w14:solidFill>
          </w14:textFill>
        </w:rPr>
      </w:pPr>
      <w:permStart w:id="0" w:edGrp="everyone"/>
      <w:r>
        <w:rPr>
          <w:rFonts w:hint="eastAsia" w:ascii="宋体" w:hAnsi="宋体"/>
          <w:b/>
          <w:color w:val="000000" w:themeColor="text1"/>
          <w:sz w:val="30"/>
          <w:szCs w:val="30"/>
          <w14:textFill>
            <w14:solidFill>
              <w14:schemeClr w14:val="tx1"/>
            </w14:solidFill>
          </w14:textFill>
        </w:rPr>
        <w:t xml:space="preserve">承包人（全称）： </w:t>
      </w:r>
      <w:r>
        <w:rPr>
          <w:rFonts w:hint="eastAsia" w:ascii="宋体" w:hAnsi="宋体"/>
          <w:b/>
          <w:color w:val="000000" w:themeColor="text1"/>
          <w:sz w:val="30"/>
          <w:szCs w:val="30"/>
          <w:lang w:val="en-US" w:eastAsia="zh-CN"/>
          <w14:textFill>
            <w14:solidFill>
              <w14:schemeClr w14:val="tx1"/>
            </w14:solidFill>
          </w14:textFill>
        </w:rPr>
        <w:t xml:space="preserve">                             </w:t>
      </w:r>
    </w:p>
    <w:permEnd w:id="0"/>
    <w:p w14:paraId="52DB420E">
      <w:pPr>
        <w:pStyle w:val="8"/>
        <w:spacing w:before="0" w:beforeAutospacing="0" w:after="0" w:afterAutospacing="0" w:line="360" w:lineRule="auto"/>
        <w:ind w:firstLine="602" w:firstLineChars="200"/>
        <w:jc w:val="both"/>
        <w:rPr>
          <w:rFonts w:ascii="黑体" w:eastAsia="黑体"/>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合同签订日期：  年   月   日</w:t>
      </w:r>
    </w:p>
    <w:p w14:paraId="6385B87C">
      <w:pPr>
        <w:widowControl/>
        <w:jc w:val="left"/>
        <w:rPr>
          <w:color w:val="000000" w:themeColor="text1"/>
          <w14:textFill>
            <w14:solidFill>
              <w14:schemeClr w14:val="tx1"/>
            </w14:solidFill>
          </w14:textFill>
        </w:rPr>
      </w:pPr>
      <w:r>
        <w:rPr>
          <w:rFonts w:ascii="仿宋_GB2312" w:eastAsia="仿宋_GB2312"/>
          <w:b/>
          <w:color w:val="000000" w:themeColor="text1"/>
          <w:sz w:val="44"/>
          <w:szCs w:val="44"/>
          <w14:textFill>
            <w14:solidFill>
              <w14:schemeClr w14:val="tx1"/>
            </w14:solidFill>
          </w14:textFill>
        </w:rPr>
        <w:br w:type="page"/>
      </w:r>
      <w:r>
        <w:rPr>
          <w:rFonts w:hint="eastAsia" w:ascii="仿宋_GB2312" w:eastAsia="仿宋_GB2312"/>
          <w:b/>
          <w:color w:val="000000" w:themeColor="text1"/>
          <w:sz w:val="44"/>
          <w:szCs w:val="44"/>
          <w14:textFill>
            <w14:solidFill>
              <w14:schemeClr w14:val="tx1"/>
            </w14:solidFill>
          </w14:textFill>
        </w:rPr>
        <w:t xml:space="preserve">             </w:t>
      </w:r>
      <w:r>
        <w:rPr>
          <w:rFonts w:hint="eastAsia" w:ascii="宋体" w:hAnsi="宋体" w:cs="宋体"/>
          <w:b/>
          <w:bCs/>
          <w:color w:val="000000" w:themeColor="text1"/>
          <w:kern w:val="0"/>
          <w:sz w:val="43"/>
          <w:szCs w:val="43"/>
          <w:lang w:bidi="ar"/>
          <w14:textFill>
            <w14:solidFill>
              <w14:schemeClr w14:val="tx1"/>
            </w14:solidFill>
          </w14:textFill>
        </w:rPr>
        <w:t>政府采购</w:t>
      </w:r>
      <w:r>
        <w:rPr>
          <w:rFonts w:hint="eastAsia" w:ascii="宋体" w:hAnsi="宋体" w:cs="宋体"/>
          <w:b/>
          <w:bCs/>
          <w:color w:val="000000" w:themeColor="text1"/>
          <w:kern w:val="0"/>
          <w:sz w:val="43"/>
          <w:szCs w:val="43"/>
          <w:lang w:eastAsia="zh-CN" w:bidi="ar"/>
          <w14:textFill>
            <w14:solidFill>
              <w14:schemeClr w14:val="tx1"/>
            </w14:solidFill>
          </w14:textFill>
        </w:rPr>
        <w:t>施工</w:t>
      </w:r>
      <w:r>
        <w:rPr>
          <w:rFonts w:hint="eastAsia" w:ascii="宋体" w:hAnsi="宋体" w:cs="宋体"/>
          <w:b/>
          <w:bCs/>
          <w:color w:val="000000" w:themeColor="text1"/>
          <w:kern w:val="0"/>
          <w:sz w:val="43"/>
          <w:szCs w:val="43"/>
          <w:lang w:bidi="ar"/>
          <w14:textFill>
            <w14:solidFill>
              <w14:schemeClr w14:val="tx1"/>
            </w14:solidFill>
          </w14:textFill>
        </w:rPr>
        <w:t xml:space="preserve">合同 </w:t>
      </w:r>
    </w:p>
    <w:p w14:paraId="4ED660E7">
      <w:pPr>
        <w:spacing w:line="360" w:lineRule="auto"/>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甲方：（采购人名称）：鄂尔多斯市政府投资项目代建中心</w:t>
      </w:r>
    </w:p>
    <w:p w14:paraId="18F728EA">
      <w:pPr>
        <w:spacing w:line="360" w:lineRule="auto"/>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地址（详细地址）：鄂尔多斯市康巴什区</w:t>
      </w:r>
    </w:p>
    <w:p w14:paraId="66825591">
      <w:pPr>
        <w:spacing w:line="360" w:lineRule="auto"/>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乙方：（中标人名称）： </w:t>
      </w:r>
    </w:p>
    <w:p w14:paraId="025C628B">
      <w:pPr>
        <w:widowControl/>
        <w:spacing w:line="360" w:lineRule="auto"/>
        <w:ind w:left="2168" w:hanging="2168" w:hangingChars="900"/>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地址（详细地址）：</w:t>
      </w:r>
      <w:permStart w:id="1" w:edGrp="everyone"/>
      <w:r>
        <w:rPr>
          <w:rFonts w:hint="eastAsia" w:ascii="宋体" w:hAnsi="宋体" w:cs="宋体"/>
          <w:b/>
          <w:color w:val="000000" w:themeColor="text1"/>
          <w:sz w:val="24"/>
          <w:szCs w:val="24"/>
          <w14:textFill>
            <w14:solidFill>
              <w14:schemeClr w14:val="tx1"/>
            </w14:solidFill>
          </w14:textFill>
        </w:rPr>
        <w:t xml:space="preserve">  </w:t>
      </w:r>
    </w:p>
    <w:permEnd w:id="1"/>
    <w:p w14:paraId="6E29787A">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根据《中华人民共和国政府采购法》《中华人民共和国政府采购法实施条例》《中华人民共和国民法典》《中华人民共和国建筑法》等相关法律法规，甲、乙双方就</w:t>
      </w:r>
      <w:r>
        <w:rPr>
          <w:rFonts w:hint="eastAsia" w:ascii="宋体" w:hAnsi="宋体" w:cs="宋体"/>
          <w:color w:val="000000" w:themeColor="text1"/>
          <w:kern w:val="0"/>
          <w:sz w:val="24"/>
          <w:szCs w:val="24"/>
          <w:u w:val="single"/>
          <w14:textFill>
            <w14:solidFill>
              <w14:schemeClr w14:val="tx1"/>
            </w14:solidFill>
          </w14:textFill>
        </w:rPr>
        <w:t xml:space="preserve"> </w:t>
      </w:r>
      <w:r>
        <w:rPr>
          <w:rFonts w:hint="eastAsia" w:ascii="宋体" w:hAnsi="宋体" w:cs="宋体"/>
          <w:b/>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（政府采购项目批准书编号</w:t>
      </w:r>
      <w:r>
        <w:rPr>
          <w:rFonts w:hint="eastAsia" w:ascii="宋体" w:hAnsi="宋体" w:cs="宋体"/>
          <w:b/>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，经平等自愿协商一致达成合同如下：</w:t>
      </w:r>
    </w:p>
    <w:p w14:paraId="71916499">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一、合同文件</w:t>
      </w:r>
    </w:p>
    <w:p w14:paraId="13466516">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本合同所附下列文件是构成本合同不可分割的部分：</w:t>
      </w:r>
    </w:p>
    <w:p w14:paraId="42D655BA">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1、合同格式以及合同条款</w:t>
      </w:r>
    </w:p>
    <w:p w14:paraId="37022AC3">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2、中标结果公告及中标通知书</w:t>
      </w:r>
    </w:p>
    <w:p w14:paraId="554F7FDE">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3、招标文件</w:t>
      </w:r>
    </w:p>
    <w:p w14:paraId="22A5C3DD">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4、投标文件</w:t>
      </w:r>
    </w:p>
    <w:p w14:paraId="03877B0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5、变更合同</w:t>
      </w:r>
    </w:p>
    <w:p w14:paraId="57E360BB">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二、本合同所提供的标的物、数量及规格等详见中标结果公告及后附清单。</w:t>
      </w:r>
    </w:p>
    <w:p w14:paraId="3A29A240">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三、合同金额</w:t>
      </w:r>
    </w:p>
    <w:p w14:paraId="1C65EBB4">
      <w:pPr>
        <w:widowControl/>
        <w:ind w:firstLine="480" w:firstLineChars="200"/>
        <w:jc w:val="left"/>
        <w:rPr>
          <w:rFonts w:ascii="宋体" w:hAnsi="宋体"/>
          <w:b/>
          <w:bCs/>
          <w:color w:val="000000" w:themeColor="text1"/>
          <w:sz w:val="24"/>
          <w:szCs w:val="24"/>
          <w:u w:val="single"/>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合同金额为人民币</w:t>
      </w:r>
      <w:r>
        <w:rPr>
          <w:rFonts w:hint="eastAsia" w:ascii="宋体" w:hAnsi="宋体"/>
          <w:b/>
          <w:bCs/>
          <w:color w:val="000000" w:themeColor="text1"/>
          <w:sz w:val="24"/>
          <w:szCs w:val="24"/>
          <w:u w:val="single"/>
          <w14:textFill>
            <w14:solidFill>
              <w14:schemeClr w14:val="tx1"/>
            </w14:solidFill>
          </w14:textFill>
        </w:rPr>
        <w:t xml:space="preserve">     </w:t>
      </w:r>
      <w:r>
        <w:rPr>
          <w:rFonts w:hint="eastAsia" w:ascii="宋体" w:hAnsi="宋体"/>
          <w:b/>
          <w:bCs/>
          <w:color w:val="000000" w:themeColor="text1"/>
          <w:sz w:val="24"/>
          <w:szCs w:val="24"/>
          <w14:textFill>
            <w14:solidFill>
              <w14:schemeClr w14:val="tx1"/>
            </w14:solidFill>
          </w14:textFill>
        </w:rPr>
        <w:t>元</w:t>
      </w:r>
      <w:r>
        <w:rPr>
          <w:rFonts w:hint="eastAsia" w:ascii="宋体" w:hAnsi="宋体" w:cs="宋体"/>
          <w:color w:val="000000" w:themeColor="text1"/>
          <w:kern w:val="0"/>
          <w:sz w:val="24"/>
          <w:szCs w:val="24"/>
          <w14:textFill>
            <w14:solidFill>
              <w14:schemeClr w14:val="tx1"/>
            </w14:solidFill>
          </w14:textFill>
        </w:rPr>
        <w:t>，大写：</w:t>
      </w:r>
      <w:r>
        <w:rPr>
          <w:rFonts w:hint="eastAsia" w:ascii="宋体" w:hAnsi="宋体"/>
          <w:b/>
          <w:bCs/>
          <w:color w:val="000000" w:themeColor="text1"/>
          <w:sz w:val="24"/>
          <w:szCs w:val="24"/>
          <w:u w:val="single"/>
          <w14:textFill>
            <w14:solidFill>
              <w14:schemeClr w14:val="tx1"/>
            </w14:solidFill>
          </w14:textFill>
        </w:rPr>
        <w:t xml:space="preserve">        人民币。</w:t>
      </w:r>
    </w:p>
    <w:p w14:paraId="1EFAB419">
      <w:pPr>
        <w:widowControl/>
        <w:numPr>
          <w:ilvl w:val="0"/>
          <w:numId w:val="1"/>
        </w:numPr>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付款方式及时间</w:t>
      </w:r>
    </w:p>
    <w:p w14:paraId="73E1F62E">
      <w:pPr>
        <w:pStyle w:val="2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1、预付款的支付</w:t>
      </w:r>
    </w:p>
    <w:p w14:paraId="5EC91717">
      <w:pPr>
        <w:widowControl/>
        <w:spacing w:line="360" w:lineRule="auto"/>
        <w:ind w:firstLine="482" w:firstLineChars="200"/>
        <w:jc w:val="left"/>
        <w:rPr>
          <w:rFonts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14:textFill>
            <w14:solidFill>
              <w14:schemeClr w14:val="tx1"/>
            </w14:solidFill>
          </w14:textFill>
        </w:rPr>
        <w:t>预付款支付：</w:t>
      </w:r>
      <w:r>
        <w:rPr>
          <w:rFonts w:hint="eastAsia" w:ascii="宋体" w:hAnsi="宋体"/>
          <w:b/>
          <w:bCs/>
          <w:color w:val="000000" w:themeColor="text1"/>
          <w:sz w:val="24"/>
          <w:u w:val="single"/>
          <w14:textFill>
            <w14:solidFill>
              <w14:schemeClr w14:val="tx1"/>
            </w14:solidFill>
          </w14:textFill>
        </w:rPr>
        <w:t xml:space="preserve">              </w:t>
      </w:r>
    </w:p>
    <w:p w14:paraId="2AE74038">
      <w:pPr>
        <w:widowControl/>
        <w:spacing w:line="360" w:lineRule="auto"/>
        <w:ind w:firstLine="482" w:firstLineChars="200"/>
        <w:jc w:val="left"/>
        <w:rPr>
          <w:rFonts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14:textFill>
            <w14:solidFill>
              <w14:schemeClr w14:val="tx1"/>
            </w14:solidFill>
          </w14:textFill>
        </w:rPr>
        <w:t>预付款扣回：</w:t>
      </w:r>
      <w:r>
        <w:rPr>
          <w:rFonts w:hint="eastAsia" w:ascii="宋体" w:hAnsi="宋体"/>
          <w:b/>
          <w:bCs/>
          <w:color w:val="000000" w:themeColor="text1"/>
          <w:sz w:val="24"/>
          <w:u w:val="single"/>
          <w14:textFill>
            <w14:solidFill>
              <w14:schemeClr w14:val="tx1"/>
            </w14:solidFill>
          </w14:textFill>
        </w:rPr>
        <w:t xml:space="preserve">            </w:t>
      </w:r>
    </w:p>
    <w:p w14:paraId="301ED915">
      <w:pPr>
        <w:pStyle w:val="2"/>
        <w:ind w:left="0" w:leftChars="0" w:firstLine="472" w:firstLineChars="200"/>
        <w:rPr>
          <w:rFonts w:eastAsia="宋体"/>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2、工程进度款</w:t>
      </w:r>
    </w:p>
    <w:p w14:paraId="7C8B2001">
      <w:pPr>
        <w:widowControl/>
        <w:spacing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采购人支付进度款的约定：</w:t>
      </w:r>
      <w:r>
        <w:rPr>
          <w:rFonts w:hint="eastAsia" w:ascii="宋体" w:hAnsi="宋体"/>
          <w:b/>
          <w:bCs/>
          <w:color w:val="000000" w:themeColor="text1"/>
          <w:sz w:val="24"/>
          <w:u w:val="single"/>
          <w:lang w:val="en-US" w:eastAsia="zh-CN"/>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w:t>
      </w:r>
    </w:p>
    <w:p w14:paraId="5C72CCB7">
      <w:pPr>
        <w:widowControl/>
        <w:spacing w:line="360" w:lineRule="auto"/>
        <w:ind w:firstLine="482" w:firstLineChars="200"/>
        <w:jc w:val="left"/>
        <w:rPr>
          <w:rFonts w:cs="宋体"/>
          <w:b/>
          <w:bCs/>
          <w:color w:val="000000" w:themeColor="text1"/>
          <w:kern w:val="0"/>
          <w:sz w:val="24"/>
          <w:szCs w:val="24"/>
          <w14:textFill>
            <w14:solidFill>
              <w14:schemeClr w14:val="tx1"/>
            </w14:solidFill>
          </w14:textFill>
        </w:rPr>
      </w:pPr>
      <w:r>
        <w:rPr>
          <w:rFonts w:cs="宋体"/>
          <w:b/>
          <w:bCs/>
          <w:color w:val="000000" w:themeColor="text1"/>
          <w:kern w:val="0"/>
          <w:sz w:val="24"/>
          <w:szCs w:val="24"/>
          <w14:textFill>
            <w14:solidFill>
              <w14:schemeClr w14:val="tx1"/>
            </w14:solidFill>
          </w14:textFill>
        </w:rPr>
        <w:t>注：付款前提供符合财政支付要求的发票。</w:t>
      </w:r>
    </w:p>
    <w:p w14:paraId="66A06DB6">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五、交货安装</w:t>
      </w:r>
    </w:p>
    <w:p w14:paraId="069B2EF5">
      <w:pPr>
        <w:widowControl/>
        <w:ind w:firstLine="482" w:firstLineChars="200"/>
        <w:jc w:val="left"/>
        <w:rPr>
          <w:rFonts w:ascii="宋体" w:hAnsi="宋体" w:cs="宋体"/>
          <w:b/>
          <w:bCs/>
          <w:color w:val="000000" w:themeColor="text1"/>
          <w:kern w:val="0"/>
          <w:sz w:val="24"/>
          <w:szCs w:val="24"/>
          <w:u w:val="single"/>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交货时间：</w:t>
      </w:r>
      <w:r>
        <w:rPr>
          <w:rFonts w:hint="eastAsia" w:ascii="宋体" w:hAnsi="宋体" w:cs="宋体"/>
          <w:b/>
          <w:bCs/>
          <w:color w:val="000000" w:themeColor="text1"/>
          <w:kern w:val="0"/>
          <w:sz w:val="24"/>
          <w:szCs w:val="24"/>
          <w:u w:val="single"/>
          <w14:textFill>
            <w14:solidFill>
              <w14:schemeClr w14:val="tx1"/>
            </w14:solidFill>
          </w14:textFill>
        </w:rPr>
        <w:t xml:space="preserve">          。</w:t>
      </w:r>
    </w:p>
    <w:p w14:paraId="745D6BFE">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交货地点：</w:t>
      </w:r>
      <w:r>
        <w:rPr>
          <w:rFonts w:hint="eastAsia" w:ascii="宋体" w:hAnsi="宋体" w:cs="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s="宋体"/>
          <w:color w:val="000000" w:themeColor="text1"/>
          <w:kern w:val="0"/>
          <w:sz w:val="24"/>
          <w:szCs w:val="24"/>
          <w:u w:val="single"/>
          <w14:textFill>
            <w14:solidFill>
              <w14:schemeClr w14:val="tx1"/>
            </w14:solidFill>
          </w14:textFill>
        </w:rPr>
        <w:t>。</w:t>
      </w:r>
    </w:p>
    <w:p w14:paraId="75A8D81C">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六、质量</w:t>
      </w:r>
    </w:p>
    <w:p w14:paraId="6FB97D98">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乙方提供的标的物应符合国家质量验收标准的合格工程，且能够提供相关权威部门出具的产品质量检测报告；提供的相关服务符合国家（或行业）规定标准。</w:t>
      </w:r>
    </w:p>
    <w:p w14:paraId="5A8A291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七、包装</w:t>
      </w:r>
    </w:p>
    <w:p w14:paraId="5E85C6A1">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标的物包装应按照国家或者行业主管部门的技术规定执行，国家或业务主管部门无技术规定的，应当按双方约定采取足以保护标的物安全、完好的包装方式。</w:t>
      </w:r>
    </w:p>
    <w:p w14:paraId="026FF0C1">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八、运输要求</w:t>
      </w:r>
    </w:p>
    <w:p w14:paraId="6A966BED">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（一）运输方式及线路：</w:t>
      </w:r>
      <w:r>
        <w:rPr>
          <w:rFonts w:hint="eastAsia" w:ascii="宋体" w:hAnsi="宋体" w:cs="宋体"/>
          <w:color w:val="000000" w:themeColor="text1"/>
          <w:kern w:val="0"/>
          <w:sz w:val="24"/>
          <w:szCs w:val="24"/>
          <w:u w:val="single"/>
          <w14:textFill>
            <w14:solidFill>
              <w14:schemeClr w14:val="tx1"/>
            </w14:solidFill>
          </w14:textFill>
        </w:rPr>
        <w:t>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w:t>
      </w:r>
    </w:p>
    <w:p w14:paraId="349C651D">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（二）运输及相关费用由乙方承担。</w:t>
      </w:r>
    </w:p>
    <w:p w14:paraId="6575EF7C">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九、知识产权</w:t>
      </w:r>
    </w:p>
    <w:p w14:paraId="3F08B9A8">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乙方应保证甲方在中国境内使用标的物或标的物的任何一部分时，免受第三方提出的侵犯其知识产权的诉讼。</w:t>
      </w:r>
    </w:p>
    <w:p w14:paraId="58498583">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十、验收</w:t>
      </w:r>
    </w:p>
    <w:p w14:paraId="53A56A60">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（一）乙方将标的物送达至甲方指定的地点后，由甲乙双方及第三方（如有）一同验收并签字确认。</w:t>
      </w:r>
    </w:p>
    <w:p w14:paraId="5CC46BCD">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（二）对标的物的质量问题，甲方应在发现后向乙方提出书面异议，乙方在接到书面异议后，应当在</w:t>
      </w:r>
      <w:r>
        <w:rPr>
          <w:rFonts w:hint="eastAsia" w:ascii="宋体" w:hAnsi="宋体" w:cs="宋体"/>
          <w:color w:val="000000" w:themeColor="text1"/>
          <w:kern w:val="0"/>
          <w:sz w:val="24"/>
          <w:szCs w:val="24"/>
          <w:u w:val="single"/>
          <w14:textFill>
            <w14:solidFill>
              <w14:schemeClr w14:val="tx1"/>
            </w14:solidFill>
          </w14:textFill>
        </w:rPr>
        <w:t xml:space="preserve"> 3 </w:t>
      </w:r>
      <w:r>
        <w:rPr>
          <w:rFonts w:hint="eastAsia" w:ascii="宋体" w:hAnsi="宋体" w:cs="宋体"/>
          <w:color w:val="000000" w:themeColor="text1"/>
          <w:kern w:val="0"/>
          <w:sz w:val="24"/>
          <w:szCs w:val="24"/>
          <w14:textFill>
            <w14:solidFill>
              <w14:schemeClr w14:val="tx1"/>
            </w14:solidFill>
          </w14:textFill>
        </w:rPr>
        <w:t>日内负责处理。如果乙方在投标文件及谈判过程中做出的书面说明及承诺中，有明确质量保证期的，适用质量保证期。</w:t>
      </w:r>
    </w:p>
    <w:p w14:paraId="73C0D33E">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（三）经双方共同验收，标的物达不到质量或规格要求的，甲方可以拒收，并可解除合同且不承担任何法律责任。</w:t>
      </w:r>
    </w:p>
    <w:p w14:paraId="68052260">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十一、售后服务</w:t>
      </w:r>
    </w:p>
    <w:p w14:paraId="2CBF326D">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（一）乙方应按招标文件、投标文件及乙方在谈判过程中做出的书面说明或承诺提供及时、快速、优质的售后服务。</w:t>
      </w:r>
    </w:p>
    <w:p w14:paraId="70C3FBCE">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（二）其他售后服务内容：</w:t>
      </w:r>
      <w:r>
        <w:rPr>
          <w:rFonts w:hint="eastAsia" w:ascii="宋体" w:hAnsi="宋体" w:cs="宋体"/>
          <w:color w:val="000000" w:themeColor="text1"/>
          <w:kern w:val="0"/>
          <w:sz w:val="24"/>
          <w:szCs w:val="24"/>
          <w:u w:val="single"/>
          <w14:textFill>
            <w14:solidFill>
              <w14:schemeClr w14:val="tx1"/>
            </w14:solidFill>
          </w14:textFill>
        </w:rPr>
        <w:t>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xml:space="preserve">  </w:t>
      </w:r>
    </w:p>
    <w:p w14:paraId="6CE98E5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十二、违约条款</w:t>
      </w:r>
    </w:p>
    <w:p w14:paraId="3959367E">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（一）乙方逾期交付标的物、甲方逾期付款，按日承担违约部分合同金额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的违约金。</w:t>
      </w:r>
    </w:p>
    <w:p w14:paraId="528B50B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（二）其他违约责任以相关法律法规规定为准，无相关规定的，双方协商解决。</w:t>
      </w:r>
    </w:p>
    <w:p w14:paraId="54836D20">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十三、不可抗力条款</w:t>
      </w:r>
    </w:p>
    <w:p w14:paraId="22C46858">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因不可抗力致使一方不能及时或完全履行合同的，应及时通知另一方，双方互不承担责任，并在</w:t>
      </w:r>
      <w:r>
        <w:rPr>
          <w:rFonts w:hint="eastAsia" w:ascii="宋体" w:hAnsi="宋体" w:cs="宋体"/>
          <w:color w:val="000000" w:themeColor="text1"/>
          <w:kern w:val="0"/>
          <w:sz w:val="24"/>
          <w:szCs w:val="24"/>
          <w:u w:val="single"/>
          <w14:textFill>
            <w14:solidFill>
              <w14:schemeClr w14:val="tx1"/>
            </w14:solidFill>
          </w14:textFill>
        </w:rPr>
        <w:t> 3 </w:t>
      </w:r>
      <w:r>
        <w:rPr>
          <w:rFonts w:hint="eastAsia" w:ascii="宋体" w:hAnsi="宋体" w:cs="宋体"/>
          <w:color w:val="000000" w:themeColor="text1"/>
          <w:kern w:val="0"/>
          <w:sz w:val="24"/>
          <w:szCs w:val="24"/>
          <w14:textFill>
            <w14:solidFill>
              <w14:schemeClr w14:val="tx1"/>
            </w14:solidFill>
          </w14:textFill>
        </w:rPr>
        <w:t>天内提供有关不可抗力的相关证明。合同未履行部分是否继续履行、如何履行等问题，双方协商解决。</w:t>
      </w:r>
    </w:p>
    <w:p w14:paraId="70C93670">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十四、争议的解决方式</w:t>
      </w:r>
    </w:p>
    <w:p w14:paraId="2ACC839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合同发生纠纷时，双方应协商解决，协商不成可以采用下列第</w:t>
      </w:r>
      <w:r>
        <w:rPr>
          <w:rFonts w:hint="eastAsia" w:ascii="宋体" w:hAnsi="宋体" w:cs="宋体"/>
          <w:color w:val="000000" w:themeColor="text1"/>
          <w:kern w:val="0"/>
          <w:sz w:val="24"/>
          <w:szCs w:val="24"/>
          <w:u w:val="single"/>
          <w14:textFill>
            <w14:solidFill>
              <w14:schemeClr w14:val="tx1"/>
            </w14:solidFill>
          </w14:textFill>
        </w:rPr>
        <w:t>二</w:t>
      </w:r>
      <w:r>
        <w:rPr>
          <w:rFonts w:hint="eastAsia" w:ascii="宋体" w:hAnsi="宋体" w:cs="宋体"/>
          <w:color w:val="000000" w:themeColor="text1"/>
          <w:kern w:val="0"/>
          <w:sz w:val="24"/>
          <w:szCs w:val="24"/>
          <w14:textFill>
            <w14:solidFill>
              <w14:schemeClr w14:val="tx1"/>
            </w14:solidFill>
          </w14:textFill>
        </w:rPr>
        <w:t>种方式方式解决：</w:t>
      </w:r>
    </w:p>
    <w:p w14:paraId="39CC6359">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（一）提交</w:t>
      </w:r>
      <w:r>
        <w:rPr>
          <w:rFonts w:hint="eastAsia" w:ascii="宋体" w:hAnsi="宋体" w:cs="宋体"/>
          <w:color w:val="000000" w:themeColor="text1"/>
          <w:kern w:val="0"/>
          <w:sz w:val="24"/>
          <w:szCs w:val="24"/>
          <w:u w:val="single"/>
          <w14:textFill>
            <w14:solidFill>
              <w14:schemeClr w14:val="tx1"/>
            </w14:solidFill>
          </w14:textFill>
        </w:rPr>
        <w:t>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w:t>
      </w:r>
      <w:r>
        <w:rPr>
          <w:rFonts w:hint="eastAsia" w:ascii="宋体" w:hAnsi="宋体" w:cs="宋体"/>
          <w:color w:val="000000" w:themeColor="text1"/>
          <w:kern w:val="0"/>
          <w:sz w:val="24"/>
          <w:szCs w:val="24"/>
          <w14:textFill>
            <w14:solidFill>
              <w14:schemeClr w14:val="tx1"/>
            </w14:solidFill>
          </w14:textFill>
        </w:rPr>
        <w:t>仲裁委员会仲裁。</w:t>
      </w:r>
    </w:p>
    <w:p w14:paraId="420A1FC1">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（二）向</w:t>
      </w:r>
      <w:r>
        <w:rPr>
          <w:rFonts w:hint="eastAsia" w:ascii="宋体" w:hAnsi="宋体" w:cs="宋体"/>
          <w:color w:val="000000" w:themeColor="text1"/>
          <w:kern w:val="0"/>
          <w:sz w:val="24"/>
          <w:szCs w:val="24"/>
          <w:u w:val="single"/>
          <w14:textFill>
            <w14:solidFill>
              <w14:schemeClr w14:val="tx1"/>
            </w14:solidFill>
          </w14:textFill>
        </w:rPr>
        <w:t>项目所在地</w:t>
      </w:r>
      <w:r>
        <w:rPr>
          <w:rFonts w:hint="eastAsia" w:ascii="宋体" w:hAnsi="宋体" w:cs="宋体"/>
          <w:color w:val="000000" w:themeColor="text1"/>
          <w:kern w:val="0"/>
          <w:sz w:val="24"/>
          <w:szCs w:val="24"/>
          <w14:textFill>
            <w14:solidFill>
              <w14:schemeClr w14:val="tx1"/>
            </w14:solidFill>
          </w14:textFill>
        </w:rPr>
        <w:t xml:space="preserve">人民法院起诉。           </w:t>
      </w:r>
    </w:p>
    <w:p w14:paraId="332C5D0A">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十五、合同保存</w:t>
      </w:r>
    </w:p>
    <w:p w14:paraId="3965306F">
      <w:pPr>
        <w:widowControl/>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合同文本一式七份，采购单位四份、供应商三份，自双方签订之日起生效。</w:t>
      </w:r>
    </w:p>
    <w:p w14:paraId="77C95CC7">
      <w:pPr>
        <w:widowControl/>
        <w:numPr>
          <w:ilvl w:val="0"/>
          <w:numId w:val="2"/>
        </w:numPr>
        <w:spacing w:line="360" w:lineRule="auto"/>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合同未尽事宜，双方另行签订补充协议，补充协议是合同的组成部分。</w:t>
      </w:r>
    </w:p>
    <w:p w14:paraId="4728676F">
      <w:pPr>
        <w:spacing w:line="360" w:lineRule="auto"/>
        <w:ind w:left="1687" w:hanging="1687" w:hangingChars="700"/>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甲方：(章) 鄂尔多斯市政府投资              乙方：(章)             </w:t>
      </w:r>
    </w:p>
    <w:p w14:paraId="7796197C">
      <w:pPr>
        <w:spacing w:line="360" w:lineRule="auto"/>
        <w:ind w:left="1684" w:leftChars="687" w:hanging="241" w:hangingChars="100"/>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项目代建中心                        </w:t>
      </w:r>
    </w:p>
    <w:p w14:paraId="2F2C3E1A">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法定代表人或其授权委托人：                  法定代表人或其授权委托人：</w:t>
      </w:r>
    </w:p>
    <w:p w14:paraId="082D8350">
      <w:pPr>
        <w:spacing w:line="360" w:lineRule="auto"/>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（签字）                                   （签字）</w:t>
      </w:r>
    </w:p>
    <w:p w14:paraId="118CF2CE">
      <w:pPr>
        <w:spacing w:line="360" w:lineRule="auto"/>
        <w:ind w:left="5040" w:hanging="5040" w:hangingChars="2100"/>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地址：</w:t>
      </w:r>
      <w:r>
        <w:rPr>
          <w:rFonts w:hint="eastAsia" w:ascii="宋体" w:hAnsi="宋体" w:cs="宋体"/>
          <w:color w:val="000000" w:themeColor="text1"/>
          <w:sz w:val="24"/>
          <w:szCs w:val="24"/>
          <w:u w:val="single"/>
          <w14:textFill>
            <w14:solidFill>
              <w14:schemeClr w14:val="tx1"/>
            </w14:solidFill>
          </w14:textFill>
        </w:rPr>
        <w:t>鄂尔多斯市康巴什区</w:t>
      </w:r>
      <w:r>
        <w:rPr>
          <w:rFonts w:hint="eastAsia" w:ascii="宋体" w:hAnsi="宋体" w:cs="宋体"/>
          <w:color w:val="000000" w:themeColor="text1"/>
          <w:sz w:val="24"/>
          <w:szCs w:val="24"/>
          <w14:textFill>
            <w14:solidFill>
              <w14:schemeClr w14:val="tx1"/>
            </w14:solidFill>
          </w14:textFill>
        </w:rPr>
        <w:t xml:space="preserve">                    地址：</w:t>
      </w:r>
      <w:r>
        <w:rPr>
          <w:rFonts w:hint="eastAsia" w:ascii="宋体" w:hAnsi="宋体" w:cs="宋体"/>
          <w:color w:val="000000" w:themeColor="text1"/>
          <w:sz w:val="24"/>
          <w:szCs w:val="24"/>
          <w:u w:val="single"/>
          <w14:textFill>
            <w14:solidFill>
              <w14:schemeClr w14:val="tx1"/>
            </w14:solidFill>
          </w14:textFill>
        </w:rPr>
        <w:t xml:space="preserve">       </w:t>
      </w:r>
    </w:p>
    <w:p w14:paraId="5E98DC39">
      <w:pPr>
        <w:spacing w:line="360" w:lineRule="auto"/>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邮政编码：</w:t>
      </w:r>
      <w:r>
        <w:rPr>
          <w:rFonts w:hint="eastAsia" w:ascii="宋体" w:hAnsi="宋体" w:cs="宋体"/>
          <w:color w:val="000000" w:themeColor="text1"/>
          <w:sz w:val="24"/>
          <w:szCs w:val="24"/>
          <w:u w:val="single"/>
          <w14:textFill>
            <w14:solidFill>
              <w14:schemeClr w14:val="tx1"/>
            </w14:solidFill>
          </w14:textFill>
        </w:rPr>
        <w:t>017000</w:t>
      </w:r>
      <w:r>
        <w:rPr>
          <w:rFonts w:hint="eastAsia" w:ascii="宋体" w:hAnsi="宋体" w:cs="宋体"/>
          <w:color w:val="000000" w:themeColor="text1"/>
          <w:sz w:val="24"/>
          <w:szCs w:val="24"/>
          <w14:textFill>
            <w14:solidFill>
              <w14:schemeClr w14:val="tx1"/>
            </w14:solidFill>
          </w14:textFill>
        </w:rPr>
        <w:t xml:space="preserve">                            邮政编码：</w:t>
      </w:r>
      <w:r>
        <w:rPr>
          <w:rFonts w:hint="eastAsia" w:ascii="宋体" w:hAnsi="宋体" w:cs="宋体"/>
          <w:color w:val="000000" w:themeColor="text1"/>
          <w:sz w:val="24"/>
          <w:szCs w:val="24"/>
          <w:u w:val="single"/>
          <w14:textFill>
            <w14:solidFill>
              <w14:schemeClr w14:val="tx1"/>
            </w14:solidFill>
          </w14:textFill>
        </w:rPr>
        <w:t xml:space="preserve"> </w:t>
      </w:r>
    </w:p>
    <w:p w14:paraId="6280D904">
      <w:pPr>
        <w:spacing w:line="360" w:lineRule="auto"/>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w:t>
      </w:r>
      <w:r>
        <w:rPr>
          <w:rFonts w:hint="eastAsia" w:ascii="宋体" w:hAnsi="宋体" w:cs="宋体"/>
          <w:color w:val="000000" w:themeColor="text1"/>
          <w:sz w:val="24"/>
          <w:szCs w:val="24"/>
          <w:u w:val="single"/>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法定代表人：</w:t>
      </w:r>
      <w:r>
        <w:rPr>
          <w:rFonts w:hint="eastAsia" w:ascii="宋体" w:hAnsi="宋体" w:cs="宋体"/>
          <w:color w:val="000000" w:themeColor="text1"/>
          <w:sz w:val="24"/>
          <w:szCs w:val="24"/>
          <w:u w:val="single"/>
          <w14:textFill>
            <w14:solidFill>
              <w14:schemeClr w14:val="tx1"/>
            </w14:solidFill>
          </w14:textFill>
        </w:rPr>
        <w:t xml:space="preserve"> </w:t>
      </w:r>
    </w:p>
    <w:p w14:paraId="79CCCE33">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授权委托人：</w:t>
      </w:r>
      <w:r>
        <w:rPr>
          <w:rFonts w:hint="eastAsia" w:ascii="宋体" w:hAnsi="宋体" w:cs="宋体"/>
          <w:color w:val="000000" w:themeColor="text1"/>
          <w:sz w:val="24"/>
          <w:szCs w:val="24"/>
          <w:u w:val="single"/>
          <w:lang w:val="en-US"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授权委托人：</w:t>
      </w:r>
      <w:r>
        <w:rPr>
          <w:rFonts w:hint="eastAsia" w:ascii="宋体" w:hAnsi="宋体" w:cs="宋体"/>
          <w:color w:val="000000" w:themeColor="text1"/>
          <w:sz w:val="24"/>
          <w:szCs w:val="24"/>
          <w:u w:val="single"/>
          <w14:textFill>
            <w14:solidFill>
              <w14:schemeClr w14:val="tx1"/>
            </w14:solidFill>
          </w14:textFill>
        </w:rPr>
        <w:t xml:space="preserve"> </w:t>
      </w:r>
    </w:p>
    <w:p w14:paraId="423B3409">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w:t>
      </w:r>
      <w:r>
        <w:rPr>
          <w:rFonts w:hint="eastAsia" w:ascii="宋体" w:hAnsi="宋体" w:cs="宋体"/>
          <w:color w:val="000000" w:themeColor="text1"/>
          <w:sz w:val="24"/>
          <w:szCs w:val="24"/>
          <w:u w:val="single"/>
          <w14:textFill>
            <w14:solidFill>
              <w14:schemeClr w14:val="tx1"/>
            </w14:solidFill>
          </w14:textFill>
        </w:rPr>
        <w:t>0477-8583191</w:t>
      </w:r>
      <w:r>
        <w:rPr>
          <w:rFonts w:hint="eastAsia" w:ascii="宋体" w:hAnsi="宋体" w:cs="宋体"/>
          <w:color w:val="000000" w:themeColor="text1"/>
          <w:sz w:val="24"/>
          <w:szCs w:val="24"/>
          <w14:textFill>
            <w14:solidFill>
              <w14:schemeClr w14:val="tx1"/>
            </w14:solidFill>
          </w14:textFill>
        </w:rPr>
        <w:t xml:space="preserve">                          电话：</w:t>
      </w:r>
      <w:r>
        <w:rPr>
          <w:rFonts w:hint="eastAsia" w:ascii="宋体" w:hAnsi="宋体" w:cs="宋体"/>
          <w:color w:val="000000" w:themeColor="text1"/>
          <w:sz w:val="24"/>
          <w:szCs w:val="24"/>
          <w:u w:val="single"/>
          <w14:textFill>
            <w14:solidFill>
              <w14:schemeClr w14:val="tx1"/>
            </w14:solidFill>
          </w14:textFill>
        </w:rPr>
        <w:t xml:space="preserve">  </w:t>
      </w:r>
    </w:p>
    <w:p w14:paraId="12EA28C0">
      <w:pPr>
        <w:spacing w:line="360" w:lineRule="auto"/>
        <w:ind w:left="5760" w:hanging="5760" w:hangingChars="2400"/>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开户银行：</w:t>
      </w:r>
      <w:r>
        <w:rPr>
          <w:rFonts w:hint="eastAsia" w:ascii="宋体" w:hAnsi="宋体" w:cs="宋体"/>
          <w:color w:val="000000" w:themeColor="text1"/>
          <w:sz w:val="24"/>
          <w:szCs w:val="24"/>
          <w:u w:val="single"/>
          <w14:textFill>
            <w14:solidFill>
              <w14:schemeClr w14:val="tx1"/>
            </w14:solidFill>
          </w14:textFill>
        </w:rPr>
        <w:t>鄂尔多斯银行东胜支行</w:t>
      </w:r>
      <w:r>
        <w:rPr>
          <w:rFonts w:hint="eastAsia" w:ascii="宋体" w:hAnsi="宋体" w:cs="宋体"/>
          <w:color w:val="000000" w:themeColor="text1"/>
          <w:sz w:val="24"/>
          <w:szCs w:val="24"/>
          <w14:textFill>
            <w14:solidFill>
              <w14:schemeClr w14:val="tx1"/>
            </w14:solidFill>
          </w14:textFill>
        </w:rPr>
        <w:t xml:space="preserve">              开户银行：</w:t>
      </w:r>
      <w:r>
        <w:rPr>
          <w:rFonts w:hint="eastAsia" w:ascii="宋体" w:hAnsi="宋体" w:cs="宋体"/>
          <w:color w:val="000000" w:themeColor="text1"/>
          <w:sz w:val="24"/>
          <w:szCs w:val="24"/>
          <w:u w:val="single"/>
          <w14:textFill>
            <w14:solidFill>
              <w14:schemeClr w14:val="tx1"/>
            </w14:solidFill>
          </w14:textFill>
        </w:rPr>
        <w:t xml:space="preserve"> </w:t>
      </w:r>
    </w:p>
    <w:p w14:paraId="4E76ED05">
      <w:pPr>
        <w:spacing w:line="360" w:lineRule="auto"/>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账号：</w:t>
      </w:r>
      <w:r>
        <w:rPr>
          <w:rFonts w:hint="eastAsia" w:ascii="宋体" w:hAnsi="宋体" w:cs="宋体"/>
          <w:color w:val="000000" w:themeColor="text1"/>
          <w:sz w:val="24"/>
          <w:szCs w:val="24"/>
          <w:u w:val="single"/>
          <w14:textFill>
            <w14:solidFill>
              <w14:schemeClr w14:val="tx1"/>
            </w14:solidFill>
          </w14:textFill>
        </w:rPr>
        <w:t xml:space="preserve">047701012000050359  </w:t>
      </w:r>
      <w:r>
        <w:rPr>
          <w:rFonts w:hint="eastAsia" w:ascii="宋体" w:hAnsi="宋体" w:cs="宋体"/>
          <w:color w:val="000000" w:themeColor="text1"/>
          <w:sz w:val="24"/>
          <w:szCs w:val="24"/>
          <w14:textFill>
            <w14:solidFill>
              <w14:schemeClr w14:val="tx1"/>
            </w14:solidFill>
          </w14:textFill>
        </w:rPr>
        <w:t xml:space="preserve">                  账号：</w:t>
      </w:r>
      <w:r>
        <w:rPr>
          <w:rFonts w:hint="eastAsia" w:ascii="宋体" w:hAnsi="宋体" w:cs="宋体"/>
          <w:color w:val="000000" w:themeColor="text1"/>
          <w:sz w:val="24"/>
          <w:szCs w:val="24"/>
          <w:u w:val="single"/>
          <w14:textFill>
            <w14:solidFill>
              <w14:schemeClr w14:val="tx1"/>
            </w14:solidFill>
          </w14:textFill>
        </w:rPr>
        <w:t xml:space="preserve"> </w:t>
      </w:r>
    </w:p>
    <w:p w14:paraId="6CF0D118">
      <w:pPr>
        <w:widowControl/>
        <w:jc w:val="left"/>
        <w:rPr>
          <w:rFonts w:ascii="宋体" w:hAnsi="宋体" w:cs="宋体"/>
          <w:b/>
          <w:bCs/>
          <w:color w:val="000000" w:themeColor="text1"/>
          <w:kern w:val="0"/>
          <w:sz w:val="24"/>
          <w:szCs w:val="24"/>
          <w:lang w:bidi="ar"/>
          <w14:textFill>
            <w14:solidFill>
              <w14:schemeClr w14:val="tx1"/>
            </w14:solidFill>
          </w14:textFill>
        </w:rPr>
      </w:pPr>
    </w:p>
    <w:p w14:paraId="10A6CC75">
      <w:pPr>
        <w:widowControl/>
        <w:jc w:val="left"/>
        <w:rPr>
          <w:rFonts w:ascii="宋体" w:hAnsi="宋体" w:cs="宋体"/>
          <w:b/>
          <w:bCs/>
          <w:color w:val="000000" w:themeColor="text1"/>
          <w:kern w:val="0"/>
          <w:sz w:val="24"/>
          <w:szCs w:val="24"/>
          <w:lang w:bidi="ar"/>
          <w14:textFill>
            <w14:solidFill>
              <w14:schemeClr w14:val="tx1"/>
            </w14:solidFill>
          </w14:textFill>
        </w:rPr>
      </w:pPr>
    </w:p>
    <w:p w14:paraId="047065DD">
      <w:pPr>
        <w:widowControl/>
        <w:jc w:val="left"/>
        <w:rPr>
          <w:rFonts w:ascii="宋体" w:hAnsi="宋体" w:cs="宋体"/>
          <w:b/>
          <w:bCs/>
          <w:color w:val="000000" w:themeColor="text1"/>
          <w:kern w:val="0"/>
          <w:sz w:val="24"/>
          <w:szCs w:val="24"/>
          <w:lang w:bidi="ar"/>
          <w14:textFill>
            <w14:solidFill>
              <w14:schemeClr w14:val="tx1"/>
            </w14:solidFill>
          </w14:textFill>
        </w:rPr>
      </w:pPr>
    </w:p>
    <w:p w14:paraId="79045938">
      <w:pPr>
        <w:widowControl/>
        <w:jc w:val="left"/>
        <w:rPr>
          <w:rFonts w:ascii="宋体" w:hAnsi="宋体" w:cs="宋体"/>
          <w:b/>
          <w:bCs/>
          <w:color w:val="000000" w:themeColor="text1"/>
          <w:kern w:val="0"/>
          <w:sz w:val="24"/>
          <w:szCs w:val="24"/>
          <w:lang w:bidi="ar"/>
          <w14:textFill>
            <w14:solidFill>
              <w14:schemeClr w14:val="tx1"/>
            </w14:solidFill>
          </w14:textFill>
        </w:rPr>
      </w:pPr>
    </w:p>
    <w:p w14:paraId="1C3431D4">
      <w:pPr>
        <w:widowControl/>
        <w:ind w:firstLine="4176" w:firstLineChars="1300"/>
        <w:jc w:val="left"/>
        <w:rPr>
          <w:rFonts w:ascii="宋体" w:hAnsi="宋体" w:cs="宋体"/>
          <w:b/>
          <w:bCs/>
          <w:color w:val="000000" w:themeColor="text1"/>
          <w:kern w:val="0"/>
          <w:sz w:val="32"/>
          <w:szCs w:val="32"/>
          <w:lang w:bidi="ar"/>
          <w14:textFill>
            <w14:solidFill>
              <w14:schemeClr w14:val="tx1"/>
            </w14:solidFill>
          </w14:textFill>
        </w:rPr>
      </w:pPr>
    </w:p>
    <w:p w14:paraId="67591CB1">
      <w:pPr>
        <w:widowControl/>
        <w:ind w:firstLine="4176" w:firstLineChars="1300"/>
        <w:jc w:val="left"/>
        <w:rPr>
          <w:rFonts w:ascii="宋体" w:hAnsi="宋体" w:cs="宋体"/>
          <w:b/>
          <w:bCs/>
          <w:color w:val="000000" w:themeColor="text1"/>
          <w:kern w:val="0"/>
          <w:sz w:val="32"/>
          <w:szCs w:val="32"/>
          <w:lang w:bidi="ar"/>
          <w14:textFill>
            <w14:solidFill>
              <w14:schemeClr w14:val="tx1"/>
            </w14:solidFill>
          </w14:textFill>
        </w:rPr>
      </w:pPr>
    </w:p>
    <w:p w14:paraId="30FF8B57">
      <w:pPr>
        <w:widowControl/>
        <w:ind w:firstLine="4176" w:firstLineChars="1300"/>
        <w:jc w:val="left"/>
        <w:rPr>
          <w:rFonts w:ascii="宋体" w:hAnsi="宋体" w:cs="宋体"/>
          <w:b/>
          <w:bCs/>
          <w:color w:val="000000" w:themeColor="text1"/>
          <w:kern w:val="0"/>
          <w:sz w:val="32"/>
          <w:szCs w:val="32"/>
          <w:lang w:bidi="ar"/>
          <w14:textFill>
            <w14:solidFill>
              <w14:schemeClr w14:val="tx1"/>
            </w14:solidFill>
          </w14:textFill>
        </w:rPr>
      </w:pPr>
    </w:p>
    <w:p w14:paraId="316905B3">
      <w:pPr>
        <w:widowControl/>
        <w:ind w:firstLine="4176" w:firstLineChars="1300"/>
        <w:jc w:val="left"/>
        <w:rPr>
          <w:rFonts w:ascii="宋体" w:hAnsi="宋体" w:cs="宋体"/>
          <w:b/>
          <w:bCs/>
          <w:color w:val="000000" w:themeColor="text1"/>
          <w:kern w:val="0"/>
          <w:sz w:val="32"/>
          <w:szCs w:val="32"/>
          <w:lang w:bidi="ar"/>
          <w14:textFill>
            <w14:solidFill>
              <w14:schemeClr w14:val="tx1"/>
            </w14:solidFill>
          </w14:textFill>
        </w:rPr>
      </w:pPr>
    </w:p>
    <w:p w14:paraId="726ECC72">
      <w:pPr>
        <w:widowControl/>
        <w:ind w:firstLine="3213" w:firstLineChars="1000"/>
        <w:jc w:val="left"/>
        <w:rPr>
          <w:rFonts w:ascii="黑体" w:hAnsi="黑体" w:eastAsia="黑体"/>
          <w:b/>
          <w:bCs/>
          <w:color w:val="000000" w:themeColor="text1"/>
          <w:sz w:val="36"/>
          <w:szCs w:val="36"/>
          <w14:textFill>
            <w14:solidFill>
              <w14:schemeClr w14:val="tx1"/>
            </w14:solidFill>
          </w14:textFill>
        </w:rPr>
      </w:pPr>
      <w:r>
        <w:rPr>
          <w:rFonts w:hint="eastAsia" w:ascii="宋体" w:hAnsi="宋体" w:cs="宋体"/>
          <w:b/>
          <w:bCs/>
          <w:color w:val="000000" w:themeColor="text1"/>
          <w:kern w:val="0"/>
          <w:sz w:val="32"/>
          <w:szCs w:val="32"/>
          <w:lang w:bidi="ar"/>
          <w14:textFill>
            <w14:solidFill>
              <w14:schemeClr w14:val="tx1"/>
            </w14:solidFill>
          </w14:textFill>
        </w:rPr>
        <w:t>合同补充条款</w:t>
      </w:r>
    </w:p>
    <w:p w14:paraId="6E014F8F">
      <w:pPr>
        <w:adjustRightInd w:val="0"/>
        <w:spacing w:line="360" w:lineRule="auto"/>
        <w:ind w:firstLine="482" w:firstLineChars="200"/>
        <w:rPr>
          <w:rFonts w:ascii="宋体" w:hAnsi="宋体"/>
          <w:b/>
          <w:color w:val="000000" w:themeColor="text1"/>
          <w:sz w:val="24"/>
          <w:u w:val="single"/>
          <w14:textFill>
            <w14:solidFill>
              <w14:schemeClr w14:val="tx1"/>
            </w14:solidFill>
          </w14:textFill>
        </w:rPr>
      </w:pPr>
      <w:r>
        <w:rPr>
          <w:rFonts w:hint="eastAsia" w:ascii="宋体" w:hAnsi="宋体"/>
          <w:b/>
          <w:color w:val="000000" w:themeColor="text1"/>
          <w:sz w:val="24"/>
          <w14:textFill>
            <w14:solidFill>
              <w14:schemeClr w14:val="tx1"/>
            </w14:solidFill>
          </w14:textFill>
        </w:rPr>
        <w:t>发包人：</w:t>
      </w:r>
      <w:r>
        <w:rPr>
          <w:rFonts w:hint="eastAsia" w:ascii="宋体" w:hAnsi="宋体"/>
          <w:b/>
          <w:color w:val="000000" w:themeColor="text1"/>
          <w:sz w:val="24"/>
          <w:u w:val="single"/>
          <w14:textFill>
            <w14:solidFill>
              <w14:schemeClr w14:val="tx1"/>
            </w14:solidFill>
          </w14:textFill>
        </w:rPr>
        <w:t>鄂尔多斯市政府投资项目代建中心</w:t>
      </w:r>
    </w:p>
    <w:p w14:paraId="7043F779">
      <w:pPr>
        <w:pStyle w:val="14"/>
        <w:spacing w:line="360" w:lineRule="auto"/>
        <w:ind w:firstLine="482" w:firstLineChars="200"/>
        <w:rPr>
          <w:rFonts w:ascii="宋体" w:hAnsi="宋体"/>
          <w:b/>
          <w:color w:val="000000" w:themeColor="text1"/>
          <w:sz w:val="24"/>
          <w:u w:val="single"/>
          <w14:textFill>
            <w14:solidFill>
              <w14:schemeClr w14:val="tx1"/>
            </w14:solidFill>
          </w14:textFill>
        </w:rPr>
      </w:pPr>
      <w:permStart w:id="2" w:edGrp="everyone"/>
      <w:r>
        <w:rPr>
          <w:rFonts w:hint="eastAsia"/>
          <w:b/>
          <w:color w:val="000000" w:themeColor="text1"/>
          <w:sz w:val="24"/>
          <w14:textFill>
            <w14:solidFill>
              <w14:schemeClr w14:val="tx1"/>
            </w14:solidFill>
          </w14:textFill>
        </w:rPr>
        <w:t>承包人：</w:t>
      </w:r>
      <w:r>
        <w:rPr>
          <w:rFonts w:hint="eastAsia" w:ascii="宋体" w:hAnsi="宋体"/>
          <w:b/>
          <w:color w:val="000000" w:themeColor="text1"/>
          <w:sz w:val="24"/>
          <w:u w:val="single"/>
          <w14:textFill>
            <w14:solidFill>
              <w14:schemeClr w14:val="tx1"/>
            </w14:solidFill>
          </w14:textFill>
        </w:rPr>
        <w:t xml:space="preserve"> </w:t>
      </w:r>
    </w:p>
    <w:permEnd w:id="2"/>
    <w:p w14:paraId="6DC14055">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根据《中华人民共和国民法典》《中华人民共和国建筑法》及有关法律规定，遵循平等、自愿、公平和诚实信用的原则，双方就</w:t>
      </w:r>
      <w:r>
        <w:rPr>
          <w:rFonts w:hint="eastAsia" w:ascii="宋体" w:hAnsi="宋体" w:cs="MingLiU_HKSCS"/>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施</w:t>
      </w:r>
      <w:r>
        <w:rPr>
          <w:rFonts w:hint="eastAsia" w:ascii="宋体" w:hAnsi="宋体"/>
          <w:color w:val="000000" w:themeColor="text1"/>
          <w:spacing w:val="-2"/>
          <w:sz w:val="24"/>
          <w:szCs w:val="24"/>
          <w14:textFill>
            <w14:solidFill>
              <w14:schemeClr w14:val="tx1"/>
            </w14:solidFill>
          </w14:textFill>
        </w:rPr>
        <w:t>工</w:t>
      </w:r>
      <w:r>
        <w:rPr>
          <w:rFonts w:hint="eastAsia" w:ascii="宋体" w:hAnsi="宋体"/>
          <w:color w:val="000000" w:themeColor="text1"/>
          <w:sz w:val="24"/>
          <w:szCs w:val="24"/>
          <w14:textFill>
            <w14:solidFill>
              <w14:schemeClr w14:val="tx1"/>
            </w14:solidFill>
          </w14:textFill>
        </w:rPr>
        <w:t>及有关事项协商一致，共同达成如下协议：</w:t>
      </w:r>
    </w:p>
    <w:p w14:paraId="72CE0EE8">
      <w:pPr>
        <w:pStyle w:val="14"/>
        <w:spacing w:line="360" w:lineRule="auto"/>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一、工程概况</w:t>
      </w:r>
    </w:p>
    <w:p w14:paraId="5F1C4E55">
      <w:pPr>
        <w:pStyle w:val="14"/>
        <w:spacing w:line="360" w:lineRule="auto"/>
        <w:ind w:firstLine="480" w:firstLineChars="200"/>
        <w:rPr>
          <w:rFonts w:ascii="宋体" w:hAnsi="宋体"/>
          <w:color w:val="000000" w:themeColor="text1"/>
          <w:spacing w:val="-2"/>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1、工程名称：</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MingLiU_HKSCS"/>
          <w:color w:val="000000" w:themeColor="text1"/>
          <w:sz w:val="24"/>
          <w:szCs w:val="24"/>
          <w:u w:val="single"/>
          <w14:textFill>
            <w14:solidFill>
              <w14:schemeClr w14:val="tx1"/>
            </w14:solidFill>
          </w14:textFill>
        </w:rPr>
        <w:t xml:space="preserve">  </w:t>
      </w:r>
    </w:p>
    <w:p w14:paraId="6795F7B5">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2、工程地点：</w:t>
      </w:r>
      <w:r>
        <w:rPr>
          <w:rFonts w:hint="eastAsia" w:ascii="宋体" w:hAnsi="宋体" w:cs="MingLiU_HKSCS"/>
          <w:color w:val="000000" w:themeColor="text1"/>
          <w:sz w:val="24"/>
          <w:szCs w:val="24"/>
          <w:u w:val="single"/>
          <w14:textFill>
            <w14:solidFill>
              <w14:schemeClr w14:val="tx1"/>
            </w14:solidFill>
          </w14:textFill>
        </w:rPr>
        <w:t xml:space="preserve">鄂尔多斯市康巴什区 </w:t>
      </w:r>
    </w:p>
    <w:p w14:paraId="53ADE0F8">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3、资金来源：</w:t>
      </w:r>
      <w:r>
        <w:rPr>
          <w:rFonts w:hint="eastAsia" w:ascii="宋体" w:hAnsi="宋体"/>
          <w:color w:val="000000" w:themeColor="text1"/>
          <w:sz w:val="24"/>
          <w:szCs w:val="24"/>
          <w:u w:val="single"/>
          <w14:textFill>
            <w14:solidFill>
              <w14:schemeClr w14:val="tx1"/>
            </w14:solidFill>
          </w14:textFill>
        </w:rPr>
        <w:t>政府投资</w:t>
      </w:r>
    </w:p>
    <w:p w14:paraId="62B304C9">
      <w:pPr>
        <w:widowControl/>
        <w:spacing w:line="360" w:lineRule="auto"/>
        <w:ind w:firstLine="480" w:firstLineChars="200"/>
        <w:jc w:val="left"/>
        <w:rPr>
          <w:rFonts w:ascii="宋体" w:hAnsi="宋体" w:cs="MingLiU_HKSCS"/>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4、工程内容：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，具体内容详见本项目《工程量清单》及《施工图纸》</w:t>
      </w:r>
    </w:p>
    <w:p w14:paraId="06B717CE">
      <w:pPr>
        <w:widowControl/>
        <w:spacing w:line="360" w:lineRule="auto"/>
        <w:ind w:firstLine="480" w:firstLineChars="200"/>
        <w:jc w:val="left"/>
        <w:rPr>
          <w:rFonts w:ascii="宋体" w:hAnsi="宋体" w:cs="MingLiU_HKSCS"/>
          <w:color w:val="000000" w:themeColor="text1"/>
          <w:sz w:val="24"/>
          <w:szCs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5、工程承包范围：</w:t>
      </w:r>
      <w:r>
        <w:rPr>
          <w:rFonts w:hint="eastAsia" w:ascii="宋体" w:hAnsi="宋体"/>
          <w:color w:val="000000" w:themeColor="text1"/>
          <w:sz w:val="24"/>
          <w:szCs w:val="24"/>
          <w:u w:val="single"/>
          <w14:textFill>
            <w14:solidFill>
              <w14:schemeClr w14:val="tx1"/>
            </w14:solidFill>
          </w14:textFill>
        </w:rPr>
        <w:t>《工程量清单》及《施工图纸》</w:t>
      </w:r>
      <w:r>
        <w:rPr>
          <w:rFonts w:hint="eastAsia" w:ascii="宋体" w:hAnsi="宋体" w:cs="宋体"/>
          <w:color w:val="000000" w:themeColor="text1"/>
          <w:kern w:val="0"/>
          <w:sz w:val="24"/>
          <w:szCs w:val="24"/>
          <w:u w:val="single"/>
          <w:lang w:bidi="ar"/>
          <w14:textFill>
            <w14:solidFill>
              <w14:schemeClr w14:val="tx1"/>
            </w14:solidFill>
          </w14:textFill>
        </w:rPr>
        <w:t xml:space="preserve">及说明包括的全部施工内容 </w:t>
      </w:r>
    </w:p>
    <w:p w14:paraId="63929D41">
      <w:pPr>
        <w:pStyle w:val="14"/>
        <w:spacing w:line="360" w:lineRule="auto"/>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二、合同工期</w:t>
      </w:r>
    </w:p>
    <w:p w14:paraId="615FEF5F">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r>
        <w:rPr>
          <w:rFonts w:hint="eastAsia" w:ascii="宋体" w:hAnsi="宋体" w:cs="宋体"/>
          <w:color w:val="000000" w:themeColor="text1"/>
          <w:kern w:val="0"/>
          <w:sz w:val="24"/>
          <w:szCs w:val="24"/>
          <w:lang w:bidi="ar"/>
          <w14:textFill>
            <w14:solidFill>
              <w14:schemeClr w14:val="tx1"/>
            </w14:solidFill>
          </w14:textFill>
        </w:rPr>
        <w:t>工期总日历天数</w:t>
      </w:r>
      <w:r>
        <w:rPr>
          <w:rFonts w:hint="eastAsia" w:ascii="宋体" w:hAnsi="宋体" w:cs="宋体"/>
          <w:color w:val="000000" w:themeColor="text1"/>
          <w:kern w:val="0"/>
          <w:sz w:val="24"/>
          <w:szCs w:val="24"/>
          <w:u w:val="single"/>
          <w:lang w:bidi="ar"/>
          <w14:textFill>
            <w14:solidFill>
              <w14:schemeClr w14:val="tx1"/>
            </w14:solidFill>
          </w14:textFill>
        </w:rPr>
        <w:t xml:space="preserve">：       </w:t>
      </w:r>
      <w:r>
        <w:rPr>
          <w:rFonts w:hint="eastAsia" w:ascii="宋体" w:hAnsi="宋体" w:cs="宋体"/>
          <w:color w:val="000000" w:themeColor="text1"/>
          <w:kern w:val="0"/>
          <w:sz w:val="24"/>
          <w:szCs w:val="24"/>
          <w:lang w:bidi="ar"/>
          <w14:textFill>
            <w14:solidFill>
              <w14:schemeClr w14:val="tx1"/>
            </w14:solidFill>
          </w14:textFill>
        </w:rPr>
        <w:t>日前完工并通过验收，自监理人发出的开工通知中载明的开工日期起算。</w:t>
      </w:r>
    </w:p>
    <w:p w14:paraId="17ECECD3">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双方在确定上述工期时，已充分考虑了运输路况、停水、停电、节假日、高低温天气、新冠疫情等各种因素，除出现以下情况：①人力不可抗拒因素；②重大设计变更或变更施工图而不能继续施工且经甲方书面同意；③施工过程中如因甲方原因造成工期延误或停工；工期相应顺延，工期顺延须乙方及时提交书面确认文件，经甲方书面确认方可，否则工期不予顺延。</w:t>
      </w:r>
      <w:bookmarkStart w:id="15" w:name="_GoBack"/>
      <w:bookmarkEnd w:id="15"/>
    </w:p>
    <w:p w14:paraId="32098926">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w:t>
      </w:r>
      <w:r>
        <w:rPr>
          <w:rFonts w:hint="eastAsia" w:ascii="宋体" w:hAnsi="宋体"/>
          <w:color w:val="000000" w:themeColor="text1"/>
          <w:sz w:val="24"/>
          <w14:textFill>
            <w14:solidFill>
              <w14:schemeClr w14:val="tx1"/>
            </w14:solidFill>
          </w14:textFill>
        </w:rPr>
        <w:t>、竣工验收要求：具备送电条件，并向发包人提供有关全部资料文件（包括审批手续、施工、送电、设备等资料）,符合工程所在地建设行政主管部门或城市建设档案管理机构有关竣工资料的要求，并在工程竣工验收前完成工程施工资料备案</w:t>
      </w:r>
    </w:p>
    <w:p w14:paraId="23599CAA">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、因发包人原因造成工期提前或顺延：经发包人书面确认后，可提前或延后送电，同时工期顺延；除工期顺延外发包人不承担任何违约或赔偿责任。</w:t>
      </w:r>
    </w:p>
    <w:p w14:paraId="53F7B3F5">
      <w:pPr>
        <w:pStyle w:val="14"/>
        <w:spacing w:line="360" w:lineRule="auto"/>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三、质量标准</w:t>
      </w:r>
    </w:p>
    <w:p w14:paraId="6C3FBC35">
      <w:pPr>
        <w:widowControl/>
        <w:spacing w:line="360" w:lineRule="auto"/>
        <w:ind w:firstLine="480" w:firstLineChars="200"/>
        <w:jc w:val="left"/>
        <w:rPr>
          <w:rFonts w:ascii="宋体" w:hAnsi="宋体" w:cs="宋体"/>
          <w:color w:val="000000" w:themeColor="text1"/>
          <w:kern w:val="0"/>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工程质量符合标准：</w:t>
      </w:r>
      <w:r>
        <w:rPr>
          <w:rFonts w:hint="eastAsia" w:ascii="宋体" w:hAnsi="宋体" w:cs="宋体"/>
          <w:color w:val="000000" w:themeColor="text1"/>
          <w:kern w:val="0"/>
          <w:sz w:val="24"/>
          <w:u w:val="single"/>
          <w14:textFill>
            <w14:solidFill>
              <w14:schemeClr w14:val="tx1"/>
            </w14:solidFill>
          </w14:textFill>
        </w:rPr>
        <w:t>严格按设计图纸要求和国家颁发的电力安装工程施工及验收规范进行施工</w:t>
      </w:r>
      <w:r>
        <w:rPr>
          <w:rFonts w:hint="eastAsia" w:ascii="宋体" w:hAnsi="宋体" w:cs="宋体"/>
          <w:color w:val="000000" w:themeColor="text1"/>
          <w:kern w:val="0"/>
          <w:sz w:val="24"/>
          <w:u w:val="single"/>
          <w:lang w:val="en-US" w:eastAsia="zh-CN"/>
          <w14:textFill>
            <w14:solidFill>
              <w14:schemeClr w14:val="tx1"/>
            </w14:solidFill>
          </w14:textFill>
        </w:rPr>
        <w:t>,</w:t>
      </w:r>
      <w:r>
        <w:rPr>
          <w:rFonts w:hint="eastAsia" w:cs="宋体" w:asciiTheme="minorEastAsia" w:hAnsiTheme="minorEastAsia"/>
          <w:color w:val="000000" w:themeColor="text1"/>
          <w:sz w:val="24"/>
          <w:szCs w:val="24"/>
          <w:u w:val="single"/>
          <w:lang w:eastAsia="zh-CN"/>
          <w14:textFill>
            <w14:solidFill>
              <w14:schemeClr w14:val="tx1"/>
            </w14:solidFill>
          </w14:textFill>
        </w:rPr>
        <w:t>符合国家及行业质量验收标准的合格工程</w:t>
      </w:r>
      <w:r>
        <w:rPr>
          <w:rFonts w:hint="eastAsia" w:ascii="宋体" w:hAnsi="宋体" w:cs="宋体"/>
          <w:color w:val="000000" w:themeColor="text1"/>
          <w:kern w:val="0"/>
          <w:sz w:val="24"/>
          <w:u w:val="single"/>
          <w14:textFill>
            <w14:solidFill>
              <w14:schemeClr w14:val="tx1"/>
            </w14:solidFill>
          </w14:textFill>
        </w:rPr>
        <w:t>。</w:t>
      </w:r>
    </w:p>
    <w:p w14:paraId="3C1BA709">
      <w:pPr>
        <w:pStyle w:val="14"/>
        <w:spacing w:line="360" w:lineRule="auto"/>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四、签约合同价与合同价格形式</w:t>
      </w:r>
      <w:r>
        <w:rPr>
          <w:rFonts w:ascii="宋体" w:hAnsi="宋体"/>
          <w:b/>
          <w:color w:val="000000" w:themeColor="text1"/>
          <w:sz w:val="24"/>
          <w:szCs w:val="24"/>
          <w14:textFill>
            <w14:solidFill>
              <w14:schemeClr w14:val="tx1"/>
            </w14:solidFill>
          </w14:textFill>
        </w:rPr>
        <w:tab/>
      </w:r>
    </w:p>
    <w:p w14:paraId="3F6CFD52">
      <w:pPr>
        <w:pStyle w:val="14"/>
        <w:spacing w:line="360" w:lineRule="auto"/>
        <w:ind w:firstLine="482" w:firstLineChars="200"/>
        <w:rPr>
          <w:rFonts w:hint="eastAsia" w:ascii="宋体" w:hAnsi="宋体"/>
          <w:b/>
          <w:bCs/>
          <w:color w:val="000000" w:themeColor="text1"/>
          <w:sz w:val="24"/>
          <w:szCs w:val="24"/>
          <w:u w:val="single"/>
          <w14:textFill>
            <w14:solidFill>
              <w14:schemeClr w14:val="tx1"/>
            </w14:solidFill>
          </w14:textFill>
        </w:rPr>
      </w:pPr>
      <w:permStart w:id="3" w:edGrp="everyone"/>
      <w:r>
        <w:rPr>
          <w:rFonts w:ascii="宋体" w:hAnsi="宋体"/>
          <w:b/>
          <w:color w:val="000000" w:themeColor="text1"/>
          <w:sz w:val="24"/>
          <w:szCs w:val="24"/>
          <w14:textFill>
            <w14:solidFill>
              <w14:schemeClr w14:val="tx1"/>
            </w14:solidFill>
          </w14:textFill>
        </w:rPr>
        <w:t>1</w:t>
      </w:r>
      <w:r>
        <w:rPr>
          <w:rFonts w:hint="eastAsia" w:ascii="宋体" w:hAnsi="宋体"/>
          <w:b/>
          <w:color w:val="000000" w:themeColor="text1"/>
          <w:sz w:val="24"/>
          <w:szCs w:val="24"/>
          <w14:textFill>
            <w14:solidFill>
              <w14:schemeClr w14:val="tx1"/>
            </w14:solidFill>
          </w14:textFill>
        </w:rPr>
        <w:t>、签约合同价为：人民币（大写）</w:t>
      </w:r>
      <w:r>
        <w:rPr>
          <w:rFonts w:hint="eastAsia" w:ascii="宋体" w:hAnsi="宋体"/>
          <w:b/>
          <w:bCs/>
          <w:color w:val="000000" w:themeColor="text1"/>
          <w:sz w:val="24"/>
          <w:szCs w:val="24"/>
          <w:u w:val="single"/>
          <w14:textFill>
            <w14:solidFill>
              <w14:schemeClr w14:val="tx1"/>
            </w14:solidFill>
          </w14:textFill>
        </w:rPr>
        <w:t xml:space="preserve">       (¥      元)；</w:t>
      </w:r>
    </w:p>
    <w:p w14:paraId="7646FBD4">
      <w:pPr>
        <w:pStyle w:val="14"/>
        <w:spacing w:line="360" w:lineRule="auto"/>
        <w:ind w:firstLine="482" w:firstLineChars="200"/>
        <w:rPr>
          <w:rFonts w:hint="eastAsia" w:ascii="宋体" w:hAnsi="宋体" w:eastAsia="宋体"/>
          <w:b/>
          <w:bCs/>
          <w:color w:val="000000" w:themeColor="text1"/>
          <w:sz w:val="24"/>
          <w:szCs w:val="24"/>
          <w:u w:val="none"/>
          <w:lang w:eastAsia="zh-CN"/>
          <w14:textFill>
            <w14:solidFill>
              <w14:schemeClr w14:val="tx1"/>
            </w14:solidFill>
          </w14:textFill>
        </w:rPr>
      </w:pPr>
      <w:r>
        <w:rPr>
          <w:rFonts w:hint="eastAsia" w:ascii="宋体" w:hAnsi="宋体"/>
          <w:b/>
          <w:bCs/>
          <w:color w:val="000000" w:themeColor="text1"/>
          <w:sz w:val="24"/>
          <w:szCs w:val="24"/>
          <w:u w:val="none"/>
          <w:lang w:eastAsia="zh-CN"/>
          <w14:textFill>
            <w14:solidFill>
              <w14:schemeClr w14:val="tx1"/>
            </w14:solidFill>
          </w14:textFill>
        </w:rPr>
        <w:t>其中：</w:t>
      </w:r>
    </w:p>
    <w:p w14:paraId="71A6FE7A">
      <w:pPr>
        <w:widowControl/>
        <w:spacing w:line="360" w:lineRule="auto"/>
        <w:ind w:firstLine="482" w:firstLineChars="200"/>
        <w:jc w:val="left"/>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（1）安全文明施工费： </w:t>
      </w:r>
    </w:p>
    <w:p w14:paraId="47976D48">
      <w:pPr>
        <w:widowControl/>
        <w:spacing w:line="360" w:lineRule="auto"/>
        <w:ind w:firstLine="482" w:firstLineChars="200"/>
        <w:jc w:val="left"/>
        <w:rPr>
          <w:rFonts w:hint="eastAsia" w:ascii="宋体" w:hAnsi="宋体"/>
          <w:b/>
          <w:color w:val="000000" w:themeColor="text1"/>
          <w:sz w:val="24"/>
          <w:szCs w:val="24"/>
          <w:u w:val="single"/>
          <w14:textFill>
            <w14:solidFill>
              <w14:schemeClr w14:val="tx1"/>
            </w14:solidFill>
          </w14:textFill>
        </w:rPr>
      </w:pPr>
      <w:r>
        <w:rPr>
          <w:rFonts w:hint="eastAsia" w:ascii="宋体" w:hAnsi="宋体"/>
          <w:b/>
          <w:color w:val="000000" w:themeColor="text1"/>
          <w:sz w:val="24"/>
          <w:szCs w:val="24"/>
          <w:u w:val="single"/>
          <w14:textFill>
            <w14:solidFill>
              <w14:schemeClr w14:val="tx1"/>
            </w14:solidFill>
          </w14:textFill>
        </w:rPr>
        <w:t>人民币（大写）    (¥      元)；</w:t>
      </w:r>
    </w:p>
    <w:p w14:paraId="0DE5FE16">
      <w:pPr>
        <w:widowControl/>
        <w:spacing w:line="360" w:lineRule="auto"/>
        <w:ind w:firstLine="482" w:firstLineChars="200"/>
        <w:jc w:val="left"/>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lang w:val="en-US" w:eastAsia="zh-CN"/>
          <w14:textFill>
            <w14:solidFill>
              <w14:schemeClr w14:val="tx1"/>
            </w14:solidFill>
          </w14:textFill>
        </w:rPr>
        <w:t>2</w:t>
      </w:r>
      <w:r>
        <w:rPr>
          <w:rFonts w:hint="eastAsia"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lang w:eastAsia="zh-CN"/>
          <w14:textFill>
            <w14:solidFill>
              <w14:schemeClr w14:val="tx1"/>
            </w14:solidFill>
          </w14:textFill>
        </w:rPr>
        <w:t>暂列金额</w:t>
      </w:r>
      <w:r>
        <w:rPr>
          <w:rFonts w:hint="eastAsia" w:ascii="宋体" w:hAnsi="宋体"/>
          <w:b/>
          <w:color w:val="000000" w:themeColor="text1"/>
          <w:sz w:val="24"/>
          <w:szCs w:val="24"/>
          <w14:textFill>
            <w14:solidFill>
              <w14:schemeClr w14:val="tx1"/>
            </w14:solidFill>
          </w14:textFill>
        </w:rPr>
        <w:t xml:space="preserve">： </w:t>
      </w:r>
    </w:p>
    <w:p w14:paraId="77B60DE5">
      <w:pPr>
        <w:widowControl/>
        <w:spacing w:line="360" w:lineRule="auto"/>
        <w:ind w:firstLine="482" w:firstLineChars="200"/>
        <w:jc w:val="left"/>
        <w:rPr>
          <w:rFonts w:hint="eastAsia" w:eastAsia="宋体"/>
          <w:color w:val="000000" w:themeColor="text1"/>
          <w:lang w:eastAsia="zh-CN"/>
          <w14:textFill>
            <w14:solidFill>
              <w14:schemeClr w14:val="tx1"/>
            </w14:solidFill>
          </w14:textFill>
        </w:rPr>
      </w:pPr>
      <w:r>
        <w:rPr>
          <w:rFonts w:hint="eastAsia" w:ascii="宋体" w:hAnsi="宋体"/>
          <w:b/>
          <w:color w:val="000000" w:themeColor="text1"/>
          <w:sz w:val="24"/>
          <w:szCs w:val="24"/>
          <w:u w:val="single"/>
          <w14:textFill>
            <w14:solidFill>
              <w14:schemeClr w14:val="tx1"/>
            </w14:solidFill>
          </w14:textFill>
        </w:rPr>
        <w:t>人民币（大写）    (¥      元)；</w:t>
      </w:r>
    </w:p>
    <w:permEnd w:id="3"/>
    <w:p w14:paraId="59CAAA1B">
      <w:pPr>
        <w:adjustRightInd w:val="0"/>
        <w:snapToGrid w:val="0"/>
        <w:spacing w:line="360" w:lineRule="auto"/>
        <w:ind w:firstLine="482" w:firstLineChars="200"/>
        <w:rPr>
          <w:rFonts w:ascii="宋体" w:hAnsi="宋体"/>
          <w:color w:val="000000" w:themeColor="text1"/>
          <w:sz w:val="24"/>
          <w:u w:val="single"/>
          <w14:textFill>
            <w14:solidFill>
              <w14:schemeClr w14:val="tx1"/>
            </w14:solidFill>
          </w14:textFill>
        </w:rPr>
      </w:pPr>
      <w:r>
        <w:rPr>
          <w:rFonts w:hint="eastAsia" w:ascii="宋体" w:hAnsi="宋体"/>
          <w:b/>
          <w:bCs/>
          <w:color w:val="000000" w:themeColor="text1"/>
          <w:sz w:val="24"/>
          <w14:textFill>
            <w14:solidFill>
              <w14:schemeClr w14:val="tx1"/>
            </w14:solidFill>
          </w14:textFill>
        </w:rPr>
        <w:t>2、合同价格形式</w:t>
      </w:r>
      <w:r>
        <w:rPr>
          <w:rFonts w:hint="eastAsia" w:ascii="宋体" w:hAnsi="宋体"/>
          <w:b/>
          <w:color w:val="000000" w:themeColor="text1"/>
          <w:sz w:val="24"/>
          <w14:textFill>
            <w14:solidFill>
              <w14:schemeClr w14:val="tx1"/>
            </w14:solidFill>
          </w14:textFill>
        </w:rPr>
        <w:t>：</w:t>
      </w:r>
      <w:r>
        <w:rPr>
          <w:rFonts w:hint="eastAsia" w:ascii="宋体" w:hAnsi="宋体"/>
          <w:b/>
          <w:color w:val="000000" w:themeColor="text1"/>
          <w:sz w:val="24"/>
          <w:u w:val="single"/>
          <w:lang w:eastAsia="zh-CN"/>
          <w14:textFill>
            <w14:solidFill>
              <w14:schemeClr w14:val="tx1"/>
            </w14:solidFill>
          </w14:textFill>
        </w:rPr>
        <w:t>以图纸为准的</w:t>
      </w:r>
      <w:r>
        <w:rPr>
          <w:rFonts w:hint="eastAsia" w:ascii="宋体" w:hAnsi="宋体"/>
          <w:b/>
          <w:bCs/>
          <w:color w:val="000000" w:themeColor="text1"/>
          <w:sz w:val="24"/>
          <w:szCs w:val="24"/>
          <w:u w:val="single"/>
          <w14:textFill>
            <w14:solidFill>
              <w14:schemeClr w14:val="tx1"/>
            </w14:solidFill>
          </w14:textFill>
        </w:rPr>
        <w:t>固定总价</w:t>
      </w:r>
      <w:r>
        <w:rPr>
          <w:rFonts w:hint="eastAsia" w:ascii="宋体" w:hAnsi="宋体"/>
          <w:b/>
          <w:bCs/>
          <w:color w:val="000000" w:themeColor="text1"/>
          <w:sz w:val="24"/>
          <w:szCs w:val="24"/>
          <w:u w:val="single"/>
          <w:lang w:eastAsia="zh-CN"/>
          <w14:textFill>
            <w14:solidFill>
              <w14:schemeClr w14:val="tx1"/>
            </w14:solidFill>
          </w14:textFill>
        </w:rPr>
        <w:t>合同</w:t>
      </w:r>
      <w:r>
        <w:rPr>
          <w:rFonts w:hint="eastAsia" w:ascii="宋体" w:hAnsi="宋体"/>
          <w:b/>
          <w:bCs/>
          <w:color w:val="000000" w:themeColor="text1"/>
          <w:sz w:val="24"/>
          <w:szCs w:val="24"/>
          <w:u w:val="single"/>
          <w14:textFill>
            <w14:solidFill>
              <w14:schemeClr w14:val="tx1"/>
            </w14:solidFill>
          </w14:textFill>
        </w:rPr>
        <w:t>，合同价中包括但不限于由于场地的限制所产生的材料设备的二次倒运、垂直运输、材料堆放、夜间施工、雨季施工、粉尘噪音防护、垃圾清运、污水排放、向使用单位提供各专业设备、系统上岗培训、系统调试、按照建设行政主管部门要求采用的技术和措施、各项税费以及根据甲方要求完成信息化管理等承包人为完成本合同项下义务所需的一切费用及合同包含的所有风险、责任等各项费用。对于未按施工图纸及工程量清单内容和数量完成的，经发包人书面审核后，相应扣减。本工程必须以审计单位审计结果作为最终结算的依据。</w:t>
      </w:r>
    </w:p>
    <w:p w14:paraId="0B5511EB">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五、工程价款支付方式</w:t>
      </w:r>
    </w:p>
    <w:p w14:paraId="6666538E">
      <w:pPr>
        <w:pStyle w:val="2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1、预付款的支付</w:t>
      </w:r>
    </w:p>
    <w:p w14:paraId="01D6C93D">
      <w:pPr>
        <w:widowControl/>
        <w:spacing w:line="360" w:lineRule="auto"/>
        <w:ind w:firstLine="482" w:firstLineChars="200"/>
        <w:jc w:val="left"/>
        <w:rPr>
          <w:rFonts w:ascii="宋体" w:hAnsi="宋体"/>
          <w:b/>
          <w:bCs/>
          <w:color w:val="000000" w:themeColor="text1"/>
          <w:sz w:val="24"/>
          <w:u w:val="single"/>
          <w14:textFill>
            <w14:solidFill>
              <w14:schemeClr w14:val="tx1"/>
            </w14:solidFill>
          </w14:textFill>
        </w:rPr>
      </w:pPr>
      <w:permStart w:id="4" w:edGrp="everyone"/>
      <w:r>
        <w:rPr>
          <w:rFonts w:hint="eastAsia" w:ascii="宋体" w:hAnsi="宋体"/>
          <w:b/>
          <w:bCs/>
          <w:color w:val="000000" w:themeColor="text1"/>
          <w:sz w:val="24"/>
          <w14:textFill>
            <w14:solidFill>
              <w14:schemeClr w14:val="tx1"/>
            </w14:solidFill>
          </w14:textFill>
        </w:rPr>
        <w:t>(1)预付款支付：</w:t>
      </w:r>
      <w:r>
        <w:rPr>
          <w:rFonts w:hint="eastAsia" w:ascii="宋体" w:hAnsi="宋体"/>
          <w:b/>
          <w:bCs/>
          <w:color w:val="000000" w:themeColor="text1"/>
          <w:sz w:val="24"/>
          <w:u w:val="single"/>
          <w14:textFill>
            <w14:solidFill>
              <w14:schemeClr w14:val="tx1"/>
            </w14:solidFill>
          </w14:textFill>
        </w:rPr>
        <w:t xml:space="preserve"> </w:t>
      </w:r>
    </w:p>
    <w:p w14:paraId="3658CDFC">
      <w:pPr>
        <w:widowControl/>
        <w:spacing w:line="360" w:lineRule="auto"/>
        <w:ind w:firstLine="482" w:firstLineChars="200"/>
        <w:jc w:val="left"/>
        <w:rPr>
          <w:rFonts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14:textFill>
            <w14:solidFill>
              <w14:schemeClr w14:val="tx1"/>
            </w14:solidFill>
          </w14:textFill>
        </w:rPr>
        <w:t>(2)预付款扣回：</w:t>
      </w:r>
      <w:r>
        <w:rPr>
          <w:rFonts w:hint="eastAsia" w:ascii="宋体" w:hAnsi="宋体"/>
          <w:b/>
          <w:bCs/>
          <w:color w:val="000000" w:themeColor="text1"/>
          <w:sz w:val="24"/>
          <w:u w:val="single"/>
          <w14:textFill>
            <w14:solidFill>
              <w14:schemeClr w14:val="tx1"/>
            </w14:solidFill>
          </w14:textFill>
        </w:rPr>
        <w:t xml:space="preserve">  。</w:t>
      </w:r>
    </w:p>
    <w:permEnd w:id="4"/>
    <w:p w14:paraId="581706CA">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2、工程进度款审核程序及支付方式</w:t>
      </w:r>
    </w:p>
    <w:p w14:paraId="28134507">
      <w:pPr>
        <w:pStyle w:val="20"/>
        <w:spacing w:line="360" w:lineRule="auto"/>
        <w:ind w:firstLine="480" w:firstLineChars="200"/>
        <w:rPr>
          <w:rFonts w:ascii="宋体" w:hAnsi="宋体"/>
          <w:color w:val="auto"/>
          <w:sz w:val="24"/>
          <w:szCs w:val="24"/>
          <w:highlight w:val="none"/>
          <w:u w:val="single"/>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）监理人审查并报送发包人的期限</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向监理人报送已完成的工程量报告，并附进度付款申请单、已完成工程量报表和有关资料；监理人应在当日完成对承包人提交的工程量报表的审核并返还承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CDB333A">
      <w:pPr>
        <w:pStyle w:val="2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（2）发包人完成审批并支付进度款的期限：</w:t>
      </w:r>
      <w:r>
        <w:rPr>
          <w:rFonts w:ascii="宋体" w:hAnsi="宋体" w:cs="Calibri"/>
          <w:color w:val="auto"/>
          <w:sz w:val="24"/>
          <w:szCs w:val="24"/>
          <w:highlight w:val="none"/>
          <w:u w:val="single"/>
        </w:rPr>
        <w:t>①</w:t>
      </w:r>
      <w:r>
        <w:rPr>
          <w:rFonts w:hint="eastAsia" w:ascii="宋体" w:hAnsi="宋体"/>
          <w:color w:val="auto"/>
          <w:sz w:val="24"/>
          <w:szCs w:val="24"/>
          <w:highlight w:val="none"/>
          <w:u w:val="single"/>
        </w:rPr>
        <w:t>承包人必须将经监理单位和工程管理科或工程设备科（项目现场代表和项目组长）审核确认后的工程进度款审核资料（及电子版）报</w:t>
      </w:r>
      <w:r>
        <w:rPr>
          <w:rFonts w:hint="eastAsia" w:ascii="宋体" w:hAnsi="宋体"/>
          <w:color w:val="auto"/>
          <w:sz w:val="24"/>
          <w:szCs w:val="24"/>
          <w:highlight w:val="none"/>
          <w:u w:val="single"/>
          <w:lang w:eastAsia="zh-CN"/>
        </w:rPr>
        <w:t>跟踪审计单位</w:t>
      </w:r>
      <w:r>
        <w:rPr>
          <w:rFonts w:hint="eastAsia" w:ascii="宋体" w:hAnsi="宋体"/>
          <w:color w:val="auto"/>
          <w:sz w:val="24"/>
          <w:szCs w:val="24"/>
          <w:highlight w:val="none"/>
          <w:u w:val="single"/>
        </w:rPr>
        <w:t>审核，逾期将不予受理，由此造成当月进度款不能支付的，其责任由施工单位自负。</w:t>
      </w:r>
      <w:r>
        <w:rPr>
          <w:rFonts w:ascii="宋体" w:hAnsi="宋体" w:cs="Calibri"/>
          <w:color w:val="auto"/>
          <w:sz w:val="24"/>
          <w:szCs w:val="24"/>
          <w:highlight w:val="none"/>
          <w:u w:val="single"/>
        </w:rPr>
        <w:t>②</w:t>
      </w:r>
      <w:r>
        <w:rPr>
          <w:rFonts w:hint="eastAsia" w:ascii="宋体" w:hAnsi="宋体"/>
          <w:color w:val="auto"/>
          <w:sz w:val="24"/>
          <w:szCs w:val="24"/>
          <w:highlight w:val="none"/>
          <w:u w:val="single"/>
        </w:rPr>
        <w:t>跟踪审计单位审核完成后，经项目组组长签字确认，报计划财务科。</w:t>
      </w:r>
      <w:r>
        <w:rPr>
          <w:rFonts w:ascii="宋体" w:hAnsi="宋体" w:cs="Calibri"/>
          <w:color w:val="auto"/>
          <w:sz w:val="24"/>
          <w:szCs w:val="24"/>
          <w:highlight w:val="none"/>
          <w:u w:val="single"/>
        </w:rPr>
        <w:t>③</w:t>
      </w:r>
      <w:r>
        <w:rPr>
          <w:rFonts w:hint="eastAsia" w:ascii="宋体" w:hAnsi="宋体" w:cs="Calibri"/>
          <w:color w:val="auto"/>
          <w:sz w:val="24"/>
          <w:szCs w:val="24"/>
          <w:highlight w:val="none"/>
          <w:u w:val="single"/>
        </w:rPr>
        <w:t>由计划财务科提交中心党组会同意后</w:t>
      </w:r>
      <w:r>
        <w:rPr>
          <w:rFonts w:hint="eastAsia" w:ascii="宋体" w:hAnsi="宋体" w:cs="Calibri"/>
          <w:color w:val="auto"/>
          <w:sz w:val="24"/>
          <w:szCs w:val="24"/>
          <w:highlight w:val="none"/>
          <w:u w:val="single"/>
          <w:lang w:eastAsia="zh-CN"/>
        </w:rPr>
        <w:t>，</w:t>
      </w:r>
      <w:r>
        <w:rPr>
          <w:rFonts w:hint="eastAsia" w:ascii="宋体" w:hAnsi="宋体"/>
          <w:color w:val="auto"/>
          <w:sz w:val="24"/>
          <w:szCs w:val="24"/>
          <w:highlight w:val="none"/>
          <w:u w:val="single"/>
        </w:rPr>
        <w:t>审核完成的产值及有关资料经市公共资源交易中心公示后，按财政主管部门相关规定支付</w:t>
      </w:r>
      <w:r>
        <w:rPr>
          <w:rFonts w:hint="eastAsia" w:ascii="宋体" w:hAnsi="宋体"/>
          <w:color w:val="auto"/>
          <w:sz w:val="24"/>
          <w:szCs w:val="24"/>
          <w:highlight w:val="none"/>
        </w:rPr>
        <w:t>。</w:t>
      </w:r>
    </w:p>
    <w:p w14:paraId="6B1D0985">
      <w:pPr>
        <w:adjustRightInd w:val="0"/>
        <w:snapToGrid w:val="0"/>
        <w:spacing w:line="360" w:lineRule="auto"/>
        <w:ind w:firstLine="480" w:firstLineChars="200"/>
        <w:rPr>
          <w:rFonts w:ascii="宋体" w:hAnsi="宋体"/>
          <w:b/>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b w:val="0"/>
          <w:bCs w:val="0"/>
          <w:color w:val="000000" w:themeColor="text1"/>
          <w:sz w:val="24"/>
          <w:szCs w:val="24"/>
          <w14:textFill>
            <w14:solidFill>
              <w14:schemeClr w14:val="tx1"/>
            </w14:solidFill>
          </w14:textFill>
        </w:rPr>
        <w:t>发包人支付进度款的约定：</w:t>
      </w:r>
    </w:p>
    <w:p w14:paraId="04527CD2">
      <w:pPr>
        <w:widowControl/>
        <w:spacing w:line="360" w:lineRule="auto"/>
        <w:ind w:firstLine="482" w:firstLineChars="200"/>
        <w:jc w:val="left"/>
        <w:rPr>
          <w:rFonts w:ascii="宋体" w:hAnsi="宋体"/>
          <w:b/>
          <w:bCs/>
          <w:color w:val="000000" w:themeColor="text1"/>
          <w:sz w:val="24"/>
          <w:szCs w:val="24"/>
          <w:u w:val="single"/>
          <w14:textFill>
            <w14:solidFill>
              <w14:schemeClr w14:val="tx1"/>
            </w14:solidFill>
          </w14:textFill>
        </w:rPr>
      </w:pPr>
      <w:permStart w:id="5" w:edGrp="everyone"/>
      <w:r>
        <w:rPr>
          <w:rFonts w:hint="eastAsia" w:ascii="宋体" w:hAnsi="宋体"/>
          <w:b/>
          <w:bCs/>
          <w:color w:val="000000" w:themeColor="text1"/>
          <w:sz w:val="24"/>
          <w:szCs w:val="24"/>
          <w14:textFill>
            <w14:solidFill>
              <w14:schemeClr w14:val="tx1"/>
            </w14:solidFill>
          </w14:textFill>
        </w:rPr>
        <w:t>①</w:t>
      </w:r>
      <w:r>
        <w:rPr>
          <w:rFonts w:hint="eastAsia" w:ascii="宋体" w:hAnsi="宋体"/>
          <w:b/>
          <w:bCs/>
          <w:color w:val="000000" w:themeColor="text1"/>
          <w:sz w:val="24"/>
          <w:u w:val="none"/>
          <w14:textFill>
            <w14:solidFill>
              <w14:schemeClr w14:val="tx1"/>
            </w14:solidFill>
          </w14:textFill>
        </w:rPr>
        <w:t>采购人支付进度款的约定</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u w:val="single"/>
          <w:lang w:val="en-US" w:eastAsia="zh-CN"/>
          <w14:textFill>
            <w14:solidFill>
              <w14:schemeClr w14:val="tx1"/>
            </w14:solidFill>
          </w14:textFill>
        </w:rPr>
        <w:t xml:space="preserve">                                  </w:t>
      </w:r>
      <w:r>
        <w:rPr>
          <w:rFonts w:hint="eastAsia" w:ascii="宋体" w:hAnsi="宋体"/>
          <w:b/>
          <w:bCs/>
          <w:color w:val="000000" w:themeColor="text1"/>
          <w:sz w:val="24"/>
          <w:u w:val="single"/>
          <w14:textFill>
            <w14:solidFill>
              <w14:schemeClr w14:val="tx1"/>
            </w14:solidFill>
          </w14:textFill>
        </w:rPr>
        <w:t>。</w:t>
      </w:r>
      <w:permEnd w:id="5"/>
    </w:p>
    <w:p w14:paraId="78F7E2EC">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②付款时承包人应先行向发包人开具发票（该发票应为合格发票，如发包人发现是假发票或套票的，有权顺延支付相应款项）。否则，发包人有权拒绝付款，并不承担任何逾期付款的违约责任，且承包人不得据此迟延或不履行本合同约定的各项义务。</w:t>
      </w:r>
    </w:p>
    <w:p w14:paraId="48D30294">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付款至97%时，承包人应向发包人开具工程款全额发票。承包人必须按照投标承诺和合同约定的时间验收送电，如发包人因资金不到位，不能按时支付工程款时，承包人不得以此为由推后验收送电时间。所有付款均应执行财政支付程序，在财政向发包人拨款后，发包人向承包人支付款项。如财政迟延拨款导致发包人付款迟延的，不视为发包人违约。</w:t>
      </w:r>
    </w:p>
    <w:p w14:paraId="7C9DC053">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④施工中发现不合格项目时，承包人必须及时进行整改，同时把整改措施以书面形式报发包人存档备查。不合格项目整改工作应在当月申请进度款之前完成，并由发包人复查通过，否则相应工程款顺延至下月拨付。不合格项目不计入当月完成工作总量内，即不能申报支付进度款。</w:t>
      </w:r>
    </w:p>
    <w:p w14:paraId="4CD7FC20">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关于安全文明施工费支付比例和支付期限的约定：</w:t>
      </w:r>
      <w:r>
        <w:rPr>
          <w:rFonts w:hint="eastAsia" w:ascii="宋体" w:hAnsi="宋体"/>
          <w:b/>
          <w:bCs/>
          <w:color w:val="000000" w:themeColor="text1"/>
          <w:sz w:val="24"/>
          <w:szCs w:val="24"/>
          <w:u w:val="single"/>
          <w14:textFill>
            <w14:solidFill>
              <w14:schemeClr w14:val="tx1"/>
            </w14:solidFill>
          </w14:textFill>
        </w:rPr>
        <w:t>发包人在开工后28天内全额支付安全文明施工费，安全文明施工费以合同约定为准。</w:t>
      </w:r>
    </w:p>
    <w:p w14:paraId="314C91BF">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permStart w:id="6" w:edGrp="everyone"/>
      <w:r>
        <w:rPr>
          <w:rFonts w:hint="eastAsia" w:ascii="宋体" w:hAnsi="宋体"/>
          <w:color w:val="000000" w:themeColor="text1"/>
          <w:sz w:val="24"/>
          <w14:textFill>
            <w14:solidFill>
              <w14:schemeClr w14:val="tx1"/>
            </w14:solidFill>
          </w14:textFill>
        </w:rPr>
        <w:t>4、</w:t>
      </w:r>
      <w:r>
        <w:rPr>
          <w:rFonts w:ascii="宋体" w:hAnsi="宋体"/>
          <w:color w:val="000000" w:themeColor="text1"/>
          <w:sz w:val="24"/>
          <w14:textFill>
            <w14:solidFill>
              <w14:schemeClr w14:val="tx1"/>
            </w14:solidFill>
          </w14:textFill>
        </w:rPr>
        <w:t>承包人指定的收款账户：</w:t>
      </w:r>
    </w:p>
    <w:p w14:paraId="214C37CC">
      <w:pPr>
        <w:adjustRightInd w:val="0"/>
        <w:snapToGrid w:val="0"/>
        <w:spacing w:line="360" w:lineRule="auto"/>
        <w:ind w:firstLine="480" w:firstLineChars="200"/>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户  名：</w:t>
      </w:r>
      <w:r>
        <w:rPr>
          <w:rFonts w:hint="eastAsia" w:ascii="宋体" w:hAnsi="宋体"/>
          <w:color w:val="000000" w:themeColor="text1"/>
          <w:sz w:val="24"/>
          <w:u w:val="single"/>
          <w14:textFill>
            <w14:solidFill>
              <w14:schemeClr w14:val="tx1"/>
            </w14:solidFill>
          </w14:textFill>
        </w:rPr>
        <w:t xml:space="preserve">     </w:t>
      </w:r>
    </w:p>
    <w:p w14:paraId="7C8537C9">
      <w:pPr>
        <w:adjustRightInd w:val="0"/>
        <w:snapToGrid w:val="0"/>
        <w:spacing w:line="360" w:lineRule="auto"/>
        <w:ind w:firstLine="480" w:firstLineChars="200"/>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开户行：</w:t>
      </w:r>
      <w:r>
        <w:rPr>
          <w:rFonts w:hint="eastAsia" w:ascii="宋体" w:hAnsi="宋体"/>
          <w:color w:val="000000" w:themeColor="text1"/>
          <w:sz w:val="24"/>
          <w:u w:val="single"/>
          <w14:textFill>
            <w14:solidFill>
              <w14:schemeClr w14:val="tx1"/>
            </w14:solidFill>
          </w14:textFill>
        </w:rPr>
        <w:t xml:space="preserve">  </w:t>
      </w:r>
    </w:p>
    <w:p w14:paraId="2B992A6B">
      <w:pPr>
        <w:adjustRightInd w:val="0"/>
        <w:snapToGrid w:val="0"/>
        <w:spacing w:line="360" w:lineRule="auto"/>
        <w:ind w:firstLine="480" w:firstLineChars="200"/>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账  号：</w:t>
      </w:r>
      <w:r>
        <w:rPr>
          <w:rFonts w:hint="eastAsia" w:ascii="宋体" w:hAnsi="宋体"/>
          <w:color w:val="000000" w:themeColor="text1"/>
          <w:sz w:val="24"/>
          <w:u w:val="single"/>
          <w14:textFill>
            <w14:solidFill>
              <w14:schemeClr w14:val="tx1"/>
            </w14:solidFill>
          </w14:textFill>
        </w:rPr>
        <w:t xml:space="preserve">       </w:t>
      </w:r>
    </w:p>
    <w:permEnd w:id="6"/>
    <w:p w14:paraId="26194C04">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以上账户信息如有变动，承包人应在变更后三日内书面通知发包人。否则，发包人向该账户付款，视为已经履行付款义务。如承包人账户被注销，则发包人有权拒绝付款，直至承包人向发包人提供了新的合法有效的收款账户。</w:t>
      </w:r>
    </w:p>
    <w:p w14:paraId="4282AB93">
      <w:pPr>
        <w:spacing w:line="360" w:lineRule="auto"/>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六、变更</w:t>
      </w:r>
    </w:p>
    <w:p w14:paraId="212E6F66">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关于变更的范围的约定：</w:t>
      </w:r>
      <w:r>
        <w:rPr>
          <w:rFonts w:hint="eastAsia" w:ascii="宋体" w:hAnsi="宋体"/>
          <w:color w:val="000000" w:themeColor="text1"/>
          <w:sz w:val="24"/>
          <w:szCs w:val="24"/>
          <w:u w:val="single"/>
          <w14:textFill>
            <w14:solidFill>
              <w14:schemeClr w14:val="tx1"/>
            </w14:solidFill>
          </w14:textFill>
        </w:rPr>
        <w:t>本工程原则上不允许变更，如在合同履行过程中确需变更时，应经发包人书面审批同意后按相关变更程序执行，否则所有责任由承包人承担。变更范围执行通用条款。</w:t>
      </w:r>
    </w:p>
    <w:p w14:paraId="46F3C909">
      <w:pPr>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变更签批：</w:t>
      </w:r>
      <w:r>
        <w:rPr>
          <w:rFonts w:hint="eastAsia" w:ascii="宋体" w:hAnsi="宋体"/>
          <w:color w:val="000000" w:themeColor="text1"/>
          <w:sz w:val="24"/>
          <w:szCs w:val="24"/>
          <w:u w:val="single"/>
          <w14:textFill>
            <w14:solidFill>
              <w14:schemeClr w14:val="tx1"/>
            </w14:solidFill>
          </w14:textFill>
        </w:rPr>
        <w:t>设计变更须经设计单位、发包人、监理工程师和承包人四方签字确认并盖章后生效，技术洽商或现场签证须经发包人、监理工程师、承包人及跟踪审计四方签字确认并盖章后生效，方可作为结算的依据。补充合同金额不超过主合同总额的10%且补充合同金额与原合同金额之和不超过采购预算金额。未涉及事宜执行《鄂尔多斯市政府投资项目代建中心项目变更管理制度》。</w:t>
      </w:r>
    </w:p>
    <w:p w14:paraId="25B155DA">
      <w:pPr>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3、变更估价原则：</w:t>
      </w:r>
      <w:r>
        <w:rPr>
          <w:rFonts w:hint="eastAsia" w:ascii="宋体" w:hAnsi="宋体"/>
          <w:b/>
          <w:bCs/>
          <w:color w:val="000000" w:themeColor="text1"/>
          <w:sz w:val="24"/>
          <w:szCs w:val="24"/>
          <w:u w:val="single"/>
          <w14:textFill>
            <w14:solidFill>
              <w14:schemeClr w14:val="tx1"/>
            </w14:solidFill>
          </w14:textFill>
        </w:rPr>
        <w:t xml:space="preserve"> 执行二次报价中相同项目的综合单价。</w:t>
      </w:r>
    </w:p>
    <w:p w14:paraId="3B26D3B6">
      <w:pPr>
        <w:adjustRightInd w:val="0"/>
        <w:snapToGrid w:val="0"/>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4、未涉及事宜执行《鄂尔多斯市政府投资项目代建中心项目变更管理制度》。</w:t>
      </w:r>
    </w:p>
    <w:p w14:paraId="717944AD">
      <w:pPr>
        <w:spacing w:line="360" w:lineRule="auto"/>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七、价格调整方式</w:t>
      </w:r>
    </w:p>
    <w:p w14:paraId="6DC04323">
      <w:pPr>
        <w:spacing w:line="360" w:lineRule="auto"/>
        <w:ind w:firstLine="482" w:firstLineChars="200"/>
        <w:rPr>
          <w:b/>
          <w:bCs/>
          <w:color w:val="000000" w:themeColor="text1"/>
          <w:sz w:val="24"/>
          <w:szCs w:val="24"/>
          <w:u w:val="single"/>
          <w14:textFill>
            <w14:solidFill>
              <w14:schemeClr w14:val="tx1"/>
            </w14:solidFill>
          </w14:textFill>
        </w:rPr>
      </w:pPr>
      <w:r>
        <w:rPr>
          <w:rFonts w:hint="eastAsia" w:ascii="宋体" w:hAnsi="宋体"/>
          <w:b/>
          <w:bCs/>
          <w:color w:val="000000" w:themeColor="text1"/>
          <w:sz w:val="24"/>
          <w:szCs w:val="24"/>
          <w:u w:val="single"/>
          <w14:textFill>
            <w14:solidFill>
              <w14:schemeClr w14:val="tx1"/>
            </w14:solidFill>
          </w14:textFill>
        </w:rPr>
        <w:t>根据《中华人民共和国政府采购法》第四十八条规定“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b/>
          <w:bCs/>
          <w:color w:val="000000" w:themeColor="text1"/>
          <w:sz w:val="24"/>
          <w:szCs w:val="24"/>
          <w:u w:val="single"/>
          <w14:textFill>
            <w14:solidFill>
              <w14:schemeClr w14:val="tx1"/>
            </w14:solidFill>
          </w14:textFill>
        </w:rPr>
        <w:t>。</w:t>
      </w:r>
    </w:p>
    <w:p w14:paraId="032A343E">
      <w:pPr>
        <w:spacing w:line="360" w:lineRule="auto"/>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八、履约担保</w:t>
      </w:r>
    </w:p>
    <w:p w14:paraId="4DF39275">
      <w:pPr>
        <w:spacing w:line="360" w:lineRule="auto"/>
        <w:ind w:firstLine="480" w:firstLineChars="200"/>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承包人提供履约担保的形式、金额及期限：</w:t>
      </w:r>
      <w:r>
        <w:rPr>
          <w:rFonts w:hint="eastAsia" w:ascii="宋体" w:hAnsi="宋体"/>
          <w:b/>
          <w:bCs/>
          <w:color w:val="000000" w:themeColor="text1"/>
          <w:sz w:val="24"/>
          <w:szCs w:val="24"/>
          <w:u w:val="single"/>
          <w14:textFill>
            <w14:solidFill>
              <w14:schemeClr w14:val="tx1"/>
            </w14:solidFill>
          </w14:textFill>
        </w:rPr>
        <w:t>形式为银行保函或支票、汇票、本票等非现金形式</w:t>
      </w:r>
      <w:r>
        <w:rPr>
          <w:rFonts w:hint="eastAsia" w:ascii="宋体" w:hAnsi="宋体"/>
          <w:b/>
          <w:bCs/>
          <w:color w:val="000000" w:themeColor="text1"/>
          <w:sz w:val="24"/>
          <w:szCs w:val="24"/>
          <w:u w:val="single"/>
          <w:lang w:eastAsia="zh-CN"/>
          <w14:textFill>
            <w14:solidFill>
              <w14:schemeClr w14:val="tx1"/>
            </w14:solidFill>
          </w14:textFill>
        </w:rPr>
        <w:t>缴纳</w:t>
      </w:r>
      <w:r>
        <w:rPr>
          <w:rFonts w:hint="eastAsia" w:ascii="宋体" w:hAnsi="宋体"/>
          <w:b/>
          <w:bCs/>
          <w:color w:val="000000" w:themeColor="text1"/>
          <w:sz w:val="24"/>
          <w:szCs w:val="24"/>
          <w:u w:val="single"/>
          <w14:textFill>
            <w14:solidFill>
              <w14:schemeClr w14:val="tx1"/>
            </w14:solidFill>
          </w14:textFill>
        </w:rPr>
        <w:t>，金额为中标价的5%，履约担保有效期自本合同生效之日起至竣工验收合格之日止，履约担保期届满后由发包人无息返还</w:t>
      </w:r>
      <w:r>
        <w:rPr>
          <w:rFonts w:hint="eastAsia" w:ascii="宋体" w:hAnsi="宋体"/>
          <w:b/>
          <w:bCs/>
          <w:color w:val="000000" w:themeColor="text1"/>
          <w:sz w:val="24"/>
          <w:szCs w:val="24"/>
          <w14:textFill>
            <w14:solidFill>
              <w14:schemeClr w14:val="tx1"/>
            </w14:solidFill>
          </w14:textFill>
        </w:rPr>
        <w:t>。</w:t>
      </w:r>
    </w:p>
    <w:p w14:paraId="35880A88">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九、双方权利义务</w:t>
      </w:r>
    </w:p>
    <w:p w14:paraId="57697CCD">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（一）发包人权利义务：</w:t>
      </w:r>
    </w:p>
    <w:p w14:paraId="797DEF2A">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1、按时组织施工图纸会审和技术交底工作。</w:t>
      </w:r>
    </w:p>
    <w:p w14:paraId="09A27849">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2、做好开工前的准备工作，协助承包人办理施工许可证及开工报告。</w:t>
      </w:r>
    </w:p>
    <w:p w14:paraId="3DFAA509">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3、开工前负责联系施工驻地水、电源、青苗及占地赔偿。</w:t>
      </w:r>
    </w:p>
    <w:p w14:paraId="0C0DEE8C">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4、负责联系驻现场设计代表与派驻发包人代表及监理人员，对工程施工质量和施工进度进行监督，并配合办理检查验收签证。</w:t>
      </w:r>
    </w:p>
    <w:p w14:paraId="165A8F76">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5、办理施工停电事宜及占地和施工清障。</w:t>
      </w:r>
    </w:p>
    <w:p w14:paraId="1C043033">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6、组织工程竣工验收。</w:t>
      </w:r>
    </w:p>
    <w:p w14:paraId="1016C678">
      <w:pPr>
        <w:pStyle w:val="2"/>
        <w:ind w:left="0" w:leftChars="0" w:firstLine="472" w:firstLineChars="200"/>
        <w:rPr>
          <w:rFonts w:eastAsia="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7、要求承包人进行整改</w:t>
      </w:r>
      <w:r>
        <w:rPr>
          <w:rFonts w:hint="eastAsia" w:ascii="宋体" w:hAnsi="宋体" w:eastAsia="宋体"/>
          <w:color w:val="000000" w:themeColor="text1"/>
          <w14:textFill>
            <w14:solidFill>
              <w14:schemeClr w14:val="tx1"/>
            </w14:solidFill>
          </w14:textFill>
        </w:rPr>
        <w:t>。</w:t>
      </w:r>
    </w:p>
    <w:p w14:paraId="3F5ACE57">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（二）承包人权利义务：</w:t>
      </w:r>
    </w:p>
    <w:p w14:paraId="16E21037">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1、编制本工程施工组织设计，做好施工前的准备工作，精心组织施工。</w:t>
      </w:r>
    </w:p>
    <w:p w14:paraId="06649F4D">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2、严格按施工图纸及验收规范组织施工，确保工程施工质量，每月按要求提供本月完成产值。</w:t>
      </w:r>
    </w:p>
    <w:p w14:paraId="125BF575">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3、对工程所用材料严把质量关，保证使用合格的原材料，半成品、并向发包人提供材料合格证明。</w:t>
      </w:r>
    </w:p>
    <w:p w14:paraId="2D6B788D">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4、严格遵守操作规程，杜绝重大人身死亡事故，做到安全文明施工，否则造成的后果均由承包人承担。</w:t>
      </w:r>
    </w:p>
    <w:p w14:paraId="64E4F39A">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5、办理施工许可证、开工报告及其他项目相关手续及材料。</w:t>
      </w:r>
    </w:p>
    <w:p w14:paraId="11FECF6D">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认真做好施工组织工作，严格执行电力建设安全施工管理的有关规定，认真采取安全防护措施严防事故发生，做到安全施工、文明施工。施工过程中发生的一切安全事故由受托人承担全部责任，并承担因此给发包人造成的包括衍生损失在内的一切损失。</w:t>
      </w:r>
    </w:p>
    <w:p w14:paraId="737BF0B0">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7、认真执行电力建设施工及验收的技术规定、建设工程技术管理有关规定，严格按照施工设计和方案施工，发现设计错漏不得将错就错或擅自修改，应及时向发包方提出变更设计申请。</w:t>
      </w:r>
    </w:p>
    <w:p w14:paraId="778A03B6">
      <w:pPr>
        <w:pStyle w:val="8"/>
        <w:widowControl w:val="0"/>
        <w:tabs>
          <w:tab w:val="left" w:pos="1050"/>
        </w:tabs>
        <w:adjustRightInd w:val="0"/>
        <w:snapToGrid w:val="0"/>
        <w:spacing w:before="0" w:beforeAutospacing="0" w:after="0" w:afterAutospacing="0" w:line="360" w:lineRule="auto"/>
        <w:ind w:firstLine="480" w:firstLineChars="200"/>
        <w:jc w:val="both"/>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8、承包人应采取一切措施负责对施工范围内建筑物、构筑物、地下管线、古树名木的保护，一旦造成损失承包人应承担一切费用。</w:t>
      </w:r>
    </w:p>
    <w:p w14:paraId="6C74DBD0">
      <w:pPr>
        <w:pStyle w:val="8"/>
        <w:widowControl w:val="0"/>
        <w:tabs>
          <w:tab w:val="left" w:pos="1050"/>
        </w:tabs>
        <w:adjustRightInd w:val="0"/>
        <w:snapToGrid w:val="0"/>
        <w:spacing w:before="0" w:beforeAutospacing="0" w:after="0" w:afterAutospacing="0" w:line="360" w:lineRule="auto"/>
        <w:ind w:firstLine="480" w:firstLineChars="200"/>
        <w:jc w:val="both"/>
        <w:rPr>
          <w:color w:val="000000" w:themeColor="text1"/>
          <w:sz w:val="24"/>
          <w14:textFill>
            <w14:solidFill>
              <w14:schemeClr w14:val="tx1"/>
            </w14:solidFill>
          </w14:textFill>
        </w:rPr>
      </w:pPr>
      <w:r>
        <w:rPr>
          <w:rFonts w:hint="eastAsia" w:cs="宋体"/>
          <w:color w:val="000000" w:themeColor="text1"/>
          <w:kern w:val="2"/>
          <w:sz w:val="24"/>
          <w:szCs w:val="22"/>
          <w14:textFill>
            <w14:solidFill>
              <w14:schemeClr w14:val="tx1"/>
            </w14:solidFill>
          </w14:textFill>
        </w:rPr>
        <w:t>9、负责与供电主管部门协调，组织验收、送电。</w:t>
      </w:r>
    </w:p>
    <w:p w14:paraId="1488F16A">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工程竣工验收同时向发包人提供完整的基础管理资料、安装试验资料、竣工资料、设备说明、变更等资料，所报资料要求满足鄂尔多斯电业局用户管理相关的规定，纸质（装订成册）9套和电子扫描文档1套，纸质版与电子版不一致的以纸质版为准。</w:t>
      </w:r>
    </w:p>
    <w:p w14:paraId="06E59C8E">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11、竣工验收合格后30日内按照《鄂尔多斯市代建中心竣工结算管理办法》要求报送结算审计资料，否则按《鄂尔多斯市代建中心竣工结算管理办法》进行处罚。</w:t>
      </w:r>
    </w:p>
    <w:p w14:paraId="49043816">
      <w:pPr>
        <w:pStyle w:val="8"/>
        <w:widowControl w:val="0"/>
        <w:tabs>
          <w:tab w:val="left" w:pos="1050"/>
        </w:tabs>
        <w:adjustRightInd w:val="0"/>
        <w:snapToGrid w:val="0"/>
        <w:spacing w:before="0" w:beforeAutospacing="0" w:after="0" w:afterAutospacing="0" w:line="360" w:lineRule="auto"/>
        <w:ind w:firstLine="480" w:firstLineChars="200"/>
        <w:jc w:val="both"/>
        <w:rPr>
          <w:rFonts w:cs="宋体"/>
          <w:color w:val="000000" w:themeColor="text1"/>
          <w:kern w:val="2"/>
          <w:sz w:val="24"/>
          <w:szCs w:val="22"/>
          <w14:textFill>
            <w14:solidFill>
              <w14:schemeClr w14:val="tx1"/>
            </w14:solidFill>
          </w14:textFill>
        </w:rPr>
      </w:pPr>
      <w:r>
        <w:rPr>
          <w:rFonts w:hint="eastAsia" w:cs="宋体"/>
          <w:color w:val="000000" w:themeColor="text1"/>
          <w:kern w:val="2"/>
          <w:sz w:val="24"/>
          <w:szCs w:val="22"/>
          <w14:textFill>
            <w14:solidFill>
              <w14:schemeClr w14:val="tx1"/>
            </w14:solidFill>
          </w14:textFill>
        </w:rPr>
        <w:t>12、材料选定时，由承包人根据招标文件推荐品牌提供样品，经发包人确认封样后实施，在品牌的选定上须经过发包人同意。</w:t>
      </w:r>
    </w:p>
    <w:p w14:paraId="07EBADF7">
      <w:pPr>
        <w:pStyle w:val="8"/>
        <w:widowControl w:val="0"/>
        <w:tabs>
          <w:tab w:val="left" w:pos="1050"/>
        </w:tabs>
        <w:adjustRightInd w:val="0"/>
        <w:snapToGrid w:val="0"/>
        <w:spacing w:before="0" w:beforeAutospacing="0" w:after="0" w:afterAutospacing="0" w:line="360" w:lineRule="auto"/>
        <w:ind w:firstLine="480" w:firstLineChars="200"/>
        <w:jc w:val="both"/>
        <w:rPr>
          <w:rFonts w:cs="宋体"/>
          <w:color w:val="000000" w:themeColor="text1"/>
          <w:kern w:val="2"/>
          <w:sz w:val="24"/>
          <w:szCs w:val="22"/>
          <w14:textFill>
            <w14:solidFill>
              <w14:schemeClr w14:val="tx1"/>
            </w14:solidFill>
          </w14:textFill>
        </w:rPr>
      </w:pPr>
      <w:r>
        <w:rPr>
          <w:rFonts w:hint="eastAsia" w:cs="宋体"/>
          <w:color w:val="000000" w:themeColor="text1"/>
          <w:kern w:val="2"/>
          <w:sz w:val="24"/>
          <w:szCs w:val="22"/>
          <w14:textFill>
            <w14:solidFill>
              <w14:schemeClr w14:val="tx1"/>
            </w14:solidFill>
          </w14:textFill>
        </w:rPr>
        <w:t>13、承包人有义务不间断地确保施工持续进行，不得因合同价格发生变更或其他等原因暂停施工。否则，每停工一日，承包人应向发包人支付工程总造价千分之一的违约金；停工超过30日，发包人有权解除合同。</w:t>
      </w:r>
    </w:p>
    <w:p w14:paraId="7AE6FB8E">
      <w:pPr>
        <w:pStyle w:val="17"/>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若承包人认为发包人未能及时或按本合同的约定向承包人提供资料，或认为在开工日期现场不具备开工、施工条件等，或发包人存在其他任何影响承包人履行本合同的情形时，均需在情形发生之日起2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p>
    <w:p w14:paraId="7AA5599F">
      <w:pPr>
        <w:pStyle w:val="17"/>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15、其他义务：</w:t>
      </w:r>
    </w:p>
    <w:p w14:paraId="2D7AA8AF">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fldChar w:fldCharType="begin"/>
      </w:r>
      <w:r>
        <w:rPr>
          <w:rFonts w:hint="eastAsia" w:ascii="宋体" w:hAnsi="宋体" w:cs="宋体"/>
          <w:color w:val="000000" w:themeColor="text1"/>
          <w:sz w:val="24"/>
          <w14:textFill>
            <w14:solidFill>
              <w14:schemeClr w14:val="tx1"/>
            </w14:solidFill>
          </w14:textFill>
        </w:rPr>
        <w:instrText xml:space="preserve"> eq \o\ac(○,1)</w:instrText>
      </w:r>
      <w:r>
        <w:rPr>
          <w:rFonts w:hint="eastAsia" w:ascii="宋体" w:hAnsi="宋体" w:cs="宋体"/>
          <w:color w:val="000000" w:themeColor="text1"/>
          <w:sz w:val="24"/>
          <w14:textFill>
            <w14:solidFill>
              <w14:schemeClr w14:val="tx1"/>
            </w14:solidFill>
          </w14:textFill>
        </w:rPr>
        <w:fldChar w:fldCharType="end"/>
      </w:r>
      <w:r>
        <w:rPr>
          <w:rFonts w:hint="eastAsia" w:ascii="宋体" w:hAnsi="宋体" w:cs="宋体"/>
          <w:color w:val="000000" w:themeColor="text1"/>
          <w:sz w:val="24"/>
          <w14:textFill>
            <w14:solidFill>
              <w14:schemeClr w14:val="tx1"/>
            </w14:solidFill>
          </w14:textFill>
        </w:rPr>
        <w:t xml:space="preserve">进场前7日，承包人必须向发包人提供进驻工地的各施工管理人员（技术负责人、预算员、资料员）的相应执业资格证书、技术职称资格证书、管理岗位证书原件和身份证复印件,以及施工方案和施工进度计划由发包人存档，以便监督各管理人员的到位情况和确保施工的质量。逾期提供的，每逾期一日，承包人应向发包人支付违约金2万元。技术负责人仅负责本工程，不可兼职其他项目。严禁承包人在施工过程中偷工减料，若发现一次除按规定纠正外，发包人有权处予承包人5万元人民币的违约金。 </w:t>
      </w:r>
    </w:p>
    <w:p w14:paraId="315AE08B">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②承包人应将拟选择的劳务公司的相关资料（人员、资信和岗位证书等）提交发包人，并经发包人审核同意后方可签订劳务合同。否则，由此引发并造成工程损失的责任全部由承包人承担。承包人与劳务公司签订的合同中，必须要求劳务公司有以下强制性条文：  </w:t>
      </w:r>
    </w:p>
    <w:p w14:paraId="0673F7AA">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A. 必须与每一个用工者签订用工合同；</w:t>
      </w:r>
    </w:p>
    <w:p w14:paraId="06B60679">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B. 用工者的人身意外伤害保险及安全条款；</w:t>
      </w:r>
    </w:p>
    <w:p w14:paraId="5B5D48D7">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C. 农民工工资制度必须执行国务院《保障农民工工资支付条例》。且农民工工资实名制管理，落实银行卡发放。</w:t>
      </w:r>
    </w:p>
    <w:p w14:paraId="7A062687">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D. 与发包人签订农民工工资支付责任状。承包人必须按月足额发放，保证不拖欠农民工工资，且在发包人不能按时支付工程进度款的情况下，保证不延误工程进度。施工现场必须设置农民工维权公示牌。</w:t>
      </w:r>
    </w:p>
    <w:p w14:paraId="55BE077E">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如承包人未按发包人要求履行上述约定时，发包人有权不与承包人办理任何手续直接从进度款中支付给农民工工资，并从工程款中直接扣回，承包人不得以任何理由提出异议，且每发生一次承包人应向发包人支付违约金20万元。</w:t>
      </w:r>
    </w:p>
    <w:p w14:paraId="4CB44D00">
      <w:pPr>
        <w:spacing w:line="360" w:lineRule="auto"/>
        <w:ind w:firstLine="480" w:firstLineChars="200"/>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未涉及事宜，执行《鄂尔多斯市政府投资项目代建中心农民工工资发放监督管理制度》的相关规定。</w:t>
      </w:r>
    </w:p>
    <w:p w14:paraId="0E9AE8CB">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③承包人需在签订合同后30天内将需要深化项目的设计图纸完善并经工程技术科认可后实施，其设计费用已纳入合同价。</w:t>
      </w:r>
    </w:p>
    <w:p w14:paraId="43C95D58">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④在工程项目施工中，凡产生构成结算价款的经济事项必须经发包人派驻地工程师严格审核，并根据变更金额经发包人各级领导批准后生效。</w:t>
      </w:r>
    </w:p>
    <w:p w14:paraId="3AF9103B">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⑤承包人在施工中要在质量、进度以及文明施工等方面服从发包人管理，在施工中有涉及破坏原有结构，要经发包人及项目总监同意方可施工。</w:t>
      </w:r>
    </w:p>
    <w:p w14:paraId="6D09560D">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⑥免费提供发包人代表及监理人员驻施工现场管理人员办公和生活用房；</w:t>
      </w:r>
    </w:p>
    <w:p w14:paraId="548D006F">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⑦竣工验收前已完工程成品的保护，由承包人负责采取保护措施并承担所发生的一切费用。因发包人提前使用后发生的损坏由承包人负责修复，费用由发包人承担；</w:t>
      </w:r>
    </w:p>
    <w:p w14:paraId="3D585B25">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⑧本工程安装所需明装或暗装的孔洞、埋管，埋件，支架及安装后的封堵等工作均由承包人自行完成，合同价不予调整。</w:t>
      </w:r>
    </w:p>
    <w:p w14:paraId="32698E95">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⑨承包人负责施工场地清洁卫生工作，按有关规定办理相关手续并承担一切费用；</w:t>
      </w:r>
    </w:p>
    <w:p w14:paraId="0A94942E">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⑩承包人应严格执行国家的政策、法律、法规，因违反法律、法规造成的经济责任由承包人承担；</w:t>
      </w:r>
    </w:p>
    <w:p w14:paraId="1A6BC068">
      <w:pPr>
        <w:pStyle w:val="17"/>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⑪在施工阶段，要求施工单位在材料/设备进场前提供报审材料（进口设备/材料需提供原厂证明、代理商授权、代理商营业执照、设备材料报关单、厂家针对本项目出具的售后服务承诺函等资料；国产设备/材料需提供原厂证明、代理商授权、代理商营业执照、设备材料的出厂检测报告、第三方检验报告、合格证以及厂家针对本项目出具的售后服务承诺函等资料）。</w:t>
      </w:r>
    </w:p>
    <w:p w14:paraId="547FFC76">
      <w:pPr>
        <w:pStyle w:val="17"/>
        <w:spacing w:line="360" w:lineRule="auto"/>
        <w:ind w:firstLine="480" w:firstLineChars="200"/>
        <w:rPr>
          <w:rFonts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⑫为了保证工程质量、满足使用功能的前提，承包人对发包人要求的主要装饰材料设备的选择应同时满足以下条件：（1）品牌的选择必须满足相当或高于推荐品牌的品质及口碑等相关标准（2）进场的材料设备需经四方验收（建设、施工、监理、跟踪审计单位），未经履行验收手续，按不合格质量问题处理。</w:t>
      </w:r>
    </w:p>
    <w:p w14:paraId="3E57335B">
      <w:pPr>
        <w:tabs>
          <w:tab w:val="left" w:pos="1050"/>
        </w:tabs>
        <w:adjustRightInd w:val="0"/>
        <w:snapToGrid w:val="0"/>
        <w:spacing w:line="360" w:lineRule="auto"/>
        <w:ind w:firstLine="482" w:firstLine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十、质量检验与工程移交：</w:t>
      </w:r>
    </w:p>
    <w:p w14:paraId="3CFD9AED">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1、工程质量验收以现行国家标准及施工图纸、设计变更为依据，包括：</w:t>
      </w:r>
    </w:p>
    <w:p w14:paraId="35EE1DBF">
      <w:pPr>
        <w:tabs>
          <w:tab w:val="left" w:pos="1050"/>
        </w:tabs>
        <w:adjustRightInd w:val="0"/>
        <w:snapToGrid w:val="0"/>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《110—500kV架空电气线路施工及验收规程》GBJ233</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90</w:t>
      </w:r>
    </w:p>
    <w:p w14:paraId="4B23C558">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《电气装置安装工程高压电器施工及验收规范》GB50147-2010</w:t>
      </w:r>
    </w:p>
    <w:p w14:paraId="02747232">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《电气装置安装工程电力变压器、油浸电抗器、互感器施工及验收规范》GB50148-2010</w:t>
      </w:r>
    </w:p>
    <w:p w14:paraId="2D469CB9">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《电气装置安装工程母线装置施工及验收规范》GB50149-2010</w:t>
      </w:r>
    </w:p>
    <w:p w14:paraId="626F0FE6">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《电气装置安装工程电气设备交接试验标准》GB50150-2016</w:t>
      </w:r>
    </w:p>
    <w:p w14:paraId="08BE9EF0">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《电气装置安装工程电缆线路施工及验收规范》GB50168-2006</w:t>
      </w:r>
    </w:p>
    <w:p w14:paraId="7D838E8C">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《电气装置安装工程接地装置施工及验收规范》GB50169-2016</w:t>
      </w:r>
    </w:p>
    <w:p w14:paraId="315EC620">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《电气装置安装工程盘、柜及二次回路接线施工及验收规范》GB50171-2012</w:t>
      </w:r>
    </w:p>
    <w:p w14:paraId="6478BA24">
      <w:pPr>
        <w:pStyle w:val="3"/>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《电气装置安装工程蓄电池施工及验收规范》GB50172-2012</w:t>
      </w:r>
    </w:p>
    <w:p w14:paraId="5D213DB5">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上述有关标准如有变更，以最新标准为依据，且合同价款不予变更。</w:t>
      </w:r>
    </w:p>
    <w:p w14:paraId="25CA74B5">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2、隐蔽工程施工阶段，发包人委派的驻现场代表及监理代表负责隐蔽工程检查验收并办理隐蔽工程的验收签证，承包人应提前三天书面通知发包人验收。未经发包人检查验收承包人不得自行隐蔽。</w:t>
      </w:r>
    </w:p>
    <w:p w14:paraId="383BC6AA">
      <w:pPr>
        <w:pStyle w:val="8"/>
        <w:widowControl w:val="0"/>
        <w:tabs>
          <w:tab w:val="left" w:pos="1050"/>
        </w:tabs>
        <w:adjustRightInd w:val="0"/>
        <w:snapToGrid w:val="0"/>
        <w:spacing w:before="0" w:beforeAutospacing="0" w:after="0" w:afterAutospacing="0" w:line="360" w:lineRule="auto"/>
        <w:ind w:firstLine="480" w:firstLineChars="200"/>
        <w:jc w:val="both"/>
        <w:rPr>
          <w:color w:val="000000" w:themeColor="text1"/>
          <w:sz w:val="24"/>
          <w14:textFill>
            <w14:solidFill>
              <w14:schemeClr w14:val="tx1"/>
            </w14:solidFill>
          </w14:textFill>
        </w:rPr>
      </w:pPr>
      <w:r>
        <w:rPr>
          <w:rFonts w:hint="eastAsia" w:cs="宋体"/>
          <w:color w:val="000000" w:themeColor="text1"/>
          <w:kern w:val="2"/>
          <w:sz w:val="24"/>
          <w:szCs w:val="22"/>
          <w14:textFill>
            <w14:solidFill>
              <w14:schemeClr w14:val="tx1"/>
            </w14:solidFill>
          </w14:textFill>
        </w:rPr>
        <w:t>3、承包人负责对使用单位的人员进行培训，提供使用说明书并移交工程实体和资料。</w:t>
      </w:r>
    </w:p>
    <w:p w14:paraId="7481247F">
      <w:pPr>
        <w:tabs>
          <w:tab w:val="left" w:pos="1050"/>
        </w:tabs>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十一、工程保修</w:t>
      </w:r>
    </w:p>
    <w:p w14:paraId="0F60EEA9">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1、工程保修期24个月，保修期以送电之日起算，保修期内，如发生因施工原因造成的质量问题由承包人负责处理，如因承包人提供的设备材料出现问题，所有责任、费用由承包人负责。</w:t>
      </w:r>
    </w:p>
    <w:p w14:paraId="1CBA8855">
      <w:pPr>
        <w:tabs>
          <w:tab w:val="left" w:pos="1050"/>
        </w:tabs>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2、发生保修事项，承包人必须在12小时内维修完毕。</w:t>
      </w:r>
    </w:p>
    <w:p w14:paraId="2A9E93AD">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如有下列情况之一发生，发包人有权另行聘请施工单位进行维修，由此引起的一切费用和责任由承包人承担；同时，发包人亦有权与使用人进行协商并确定赔偿金额，协商结果经发包人和使用人签署后立即生效，赔偿费用不需承包人确认发包人有权直接从支付承包人的任何款项中扣除，款项不足的发包人保留追诉的权利，承包人予以无条件承认：</w:t>
      </w:r>
    </w:p>
    <w:p w14:paraId="6474996C">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（1）接到发包人返修通知后拒不到现场处理问题；</w:t>
      </w:r>
    </w:p>
    <w:p w14:paraId="39F058FC">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（2）超过规定的到场时间后4小时仍未赶到现场；</w:t>
      </w:r>
    </w:p>
    <w:p w14:paraId="53F82A97">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（3）超过规定的时间仍未完成有关工程返修任务，且不主动向发包人报告；</w:t>
      </w:r>
    </w:p>
    <w:p w14:paraId="045C1D88">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（4）对同一位置或故障经过一次返修仍未彻底解决问题；</w:t>
      </w:r>
    </w:p>
    <w:p w14:paraId="1E33E6B1">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（5）因现场返修人员服务行为造成使用人强烈投诉；</w:t>
      </w:r>
    </w:p>
    <w:p w14:paraId="254FD9F0">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（6）若因质量问题造成使用人损失的，发包人亦有权与使用人进行索赔谈判并确定赔偿金额。</w:t>
      </w:r>
    </w:p>
    <w:p w14:paraId="182171BE">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4、承包人承诺：无论以上质量缺陷属承包人、发包人或本项目使用人责任，在接到通知后，均遵守上述时间要求且不</w:t>
      </w:r>
      <w:r>
        <w:rPr>
          <w:rFonts w:hint="eastAsia"/>
          <w:color w:val="000000" w:themeColor="text1"/>
          <w:sz w:val="24"/>
          <w14:textFill>
            <w14:solidFill>
              <w14:schemeClr w14:val="tx1"/>
            </w14:solidFill>
          </w14:textFill>
        </w:rPr>
        <w:t>问理由进行维修，在维修过程中与发包人及本项目使用人共同取证，判断责任原因，不属承包人责任的，由责任方向承包人支付合理的费用。承包人接到发包人通知后，以不属承包人责任等理由推脱、不予维修的，视为该维修事项属承包人责任，发包人有权直接委托第三方进行维修，由此引起的一切费用和责任由承包人承担。</w:t>
      </w:r>
    </w:p>
    <w:p w14:paraId="10302A45">
      <w:pPr>
        <w:pStyle w:val="10"/>
        <w:spacing w:before="0"/>
        <w:ind w:left="0" w:firstLine="480" w:firstLineChars="200"/>
        <w:rPr>
          <w:rFonts w:hint="default"/>
          <w:color w:val="000000" w:themeColor="text1"/>
          <w14:textFill>
            <w14:solidFill>
              <w14:schemeClr w14:val="tx1"/>
            </w14:solidFill>
          </w14:textFill>
        </w:rPr>
      </w:pPr>
      <w:r>
        <w:rPr>
          <w:color w:val="000000" w:themeColor="text1"/>
          <w:sz w:val="24"/>
          <w14:textFill>
            <w14:solidFill>
              <w14:schemeClr w14:val="tx1"/>
            </w14:solidFill>
          </w14:textFill>
        </w:rPr>
        <w:t>5、在支付最后一次工程款，需承包人对工程进行最后回访，回放记录单需经使用方签字确认。</w:t>
      </w:r>
    </w:p>
    <w:p w14:paraId="53C5CB96">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permStart w:id="7" w:edGrp="everyone"/>
      <w:r>
        <w:rPr>
          <w:rFonts w:hint="eastAsia" w:ascii="宋体" w:hAnsi="宋体"/>
          <w:color w:val="000000" w:themeColor="text1"/>
          <w:sz w:val="24"/>
          <w14:textFill>
            <w14:solidFill>
              <w14:schemeClr w14:val="tx1"/>
            </w14:solidFill>
          </w14:textFill>
        </w:rPr>
        <w:t>6、质保期执行国家相关规定。</w:t>
      </w:r>
    </w:p>
    <w:p w14:paraId="00D9973A">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7、承包人负责保修人员联系方式为：</w:t>
      </w:r>
    </w:p>
    <w:p w14:paraId="3EF90D23">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姓名：</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，联系电话（手机）</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w:t>
      </w:r>
    </w:p>
    <w:permEnd w:id="7"/>
    <w:p w14:paraId="2DE9B176">
      <w:pPr>
        <w:tabs>
          <w:tab w:val="left" w:pos="525"/>
        </w:tabs>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十二、违约责任</w:t>
      </w:r>
    </w:p>
    <w:p w14:paraId="79E96E00">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承包人工程质量不符合合同约定的标准，由承包人自行修复直至符合质量标准，因此而延误的工期不予顺延并承担相关违约责任，且每发生一次，承包人应向发包人支付违约金10万元，同时，发包人有权选择解除本合同。</w:t>
      </w:r>
    </w:p>
    <w:p w14:paraId="569A8AE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因承包人或材料供应商原因造成工期延误，每逾期一天，承包人按工程造价的1%向发包人支付违约金。逾期超过三十天，发包人有权解除本合同。由于施工占地、城建、道路批复、园林、电信、有线广播等部门的手续不全，不配合等原因，或因资金不到位，不能停电等原因导致不能按时竣工，经发包人书面确认后，工期顺延，但除此之外发包人不承担任何违约及赔偿责任。</w:t>
      </w:r>
    </w:p>
    <w:p w14:paraId="5BA4482E">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承包人提供的材料、设备质量未能达到本合同约定的质量要求和验收标准，发包人有权要求承包人限期整改，整改期间的工期不予顺延，承包人按本条第二项约定承担责任。如承包人拒绝整改或未在限期内整改完毕的，发包人有权另行委托第三方整改，由此产生的一切费用直接在未付款中扣除，不足以扣除的，发包人有权继续向承包人追偿，同时发包人有权选择解除合同。</w:t>
      </w:r>
    </w:p>
    <w:p w14:paraId="32A510F8">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4、承包人擅自变更材料、设备的品牌、规格等的，承包人应根据发包人要求无条件拆除、更换，且由此造成的工期延误及违约责任等均由承包人承担；发包人亦有权选择如下任一或全部解决方式：</w:t>
      </w:r>
    </w:p>
    <w:p w14:paraId="65F9AA63">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①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1BED2632">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②承包人需按照合同约定的材料设备的总造价10%支付发包人违约金，在结算时直接扣除。因此增加的费用或延误的工期及违约责任，由承包人承担。</w:t>
      </w:r>
    </w:p>
    <w:p w14:paraId="7A74B78E">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③发包人有权解除合同，承包人除赔偿因此给发包人造成的损失外，还应支付合同总价20%的违约金。</w:t>
      </w:r>
    </w:p>
    <w:p w14:paraId="06384F87">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承包人月进度报审值严重与实际形象进度不符高估冒算的，审定产值核减率≥10%的，每发生一次，承包人向发包人支付违约金50000元；承包人竣工结算（包括变更和分阶段结算）报审值高估冒算的，审定值核减率≥15%的，每发生一次，承包人向发包人支付审定值10%的违约金；</w:t>
      </w:r>
    </w:p>
    <w:p w14:paraId="1D7CA3EA">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无论何种原因，承包人应按时支付民工工资。若因拖欠民工工资出现媒体曝光、民工上访、投诉、围堵等群众事件或政府干预等事件，发包人有权直接代发农民工工资，并从工程款中直接扣回，且每发生一次向发包人赔偿违约金人民币20万元，并赔偿发包人的直接和间接损失；</w:t>
      </w:r>
    </w:p>
    <w:p w14:paraId="3017C632">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7、发包人各项施工现场管理制度为本合同不可分割的一部分，与本合同具有同等法律效力。承包人已详细研读并承诺予以遵守。若发生包括但不限于承包人人员在施工区内出现打架斗殴、损坏工程成品、安全事故等情况时，每出现一次，承包人应向发包人支付5万元的违约金，因此引发的各种损害赔偿由承包人承担；由此造成发包人损失的，由承包人负责全额赔偿，发包人可直接在应付承包人款项中扣除。</w:t>
      </w:r>
    </w:p>
    <w:p w14:paraId="0F2336B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8、承包人未经发包人书面同意将已承包的全部或部分工程转包给第三人，或肢解后以分包的名义分别转包给第三人的，或者存在实际施工人借用资质进行施工的行为，发包人有权解除合同并依法追究法律责任。</w:t>
      </w:r>
    </w:p>
    <w:p w14:paraId="290DF008">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9、承包人未经发包人书面同意，单方撤离现场或者单方终止、解除本合同的，除应赔偿由此给发包人造成的全部损失外，还应向发包人支付合同总额20%的违约金，发包人有权从结算金额中直接扣除。</w:t>
      </w:r>
    </w:p>
    <w:p w14:paraId="62431FA9">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10、因承包人存在其他违约行为或因承包人原因导致合同目的无法实现或合同无法继续履行的，发包人有权解除合同。</w:t>
      </w:r>
    </w:p>
    <w:p w14:paraId="74C06CD6">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11、承包人违反本合同的约定，除按本合同的约定承担违约责任外，还应赔偿发包人包括但不限于直接损失、发包人向第三方的违约或赔偿损失、误工费、鉴定费、损失的评估费、律师费、诉讼费或仲裁费、保全费、保险费、公告费、执行费等全部损失。</w:t>
      </w:r>
    </w:p>
    <w:p w14:paraId="1363564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12、本合同所涉及全部违约金和罚款，发包人均有权从未付工程价款或保证金中扣除，不足部分可以从工程款中扣除。承包人对此不得提出异议。</w:t>
      </w:r>
    </w:p>
    <w:p w14:paraId="07D64144">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十三、合同解除</w:t>
      </w:r>
    </w:p>
    <w:p w14:paraId="5FDD01E8">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1、发包人依据本合同约定或法律规定单方解除合同的，自解除通知到达承包人时，合同自行终止，承包人应于合同解除之日起15日内赔偿发包人的全部损失并承担本合同总金额20%的惩罚性违约金。</w:t>
      </w:r>
    </w:p>
    <w:p w14:paraId="1CDE1978">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p>
    <w:p w14:paraId="610B05CD">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不论何种原因或合同的任何一方导致的合同解除或终止，承包人均有义务向发包人移交工程资料、按发包人要求协助发包人进行工程竣工验收、资料归档和备案及竣工验收备案等。承包人无条件服从发包人该等要求，并不得以包括发包人存在违约、过错责任和未履行义务等在内的任何理由予以拒绝。承包人未履行该等义务时，发包人有权要求承包人继续履行该等义务，并有权要求承包人每迟延一日，支付工程结算总价千分之一的违约金。</w:t>
      </w:r>
    </w:p>
    <w:p w14:paraId="1C760A9A">
      <w:pPr>
        <w:adjustRightInd w:val="0"/>
        <w:snapToGrid w:val="0"/>
        <w:spacing w:line="360" w:lineRule="auto"/>
        <w:ind w:firstLine="480" w:firstLineChars="200"/>
        <w:rPr>
          <w:rFonts w:ascii="宋体" w:hAnsi="宋体"/>
          <w:b/>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4、按合同约定或法律规定，解除合同的事由发生时，解除权人可以解除合同。享有解除权的一方应当自解除事由发生之日起三年内行使解除权，期限届满不行使的，解除权消灭。</w:t>
      </w:r>
    </w:p>
    <w:p w14:paraId="7F9E3845">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十四、通知与送达</w:t>
      </w:r>
    </w:p>
    <w:p w14:paraId="01FA499B">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permStart w:id="8" w:edGrp="everyone"/>
      <w:r>
        <w:rPr>
          <w:rFonts w:hint="eastAsia" w:ascii="宋体" w:hAnsi="宋体"/>
          <w:color w:val="000000" w:themeColor="text1"/>
          <w:sz w:val="24"/>
          <w14:textFill>
            <w14:solidFill>
              <w14:schemeClr w14:val="tx1"/>
            </w14:solidFill>
          </w14:textFill>
        </w:rPr>
        <w:t>1、承包人的通知与送达方式为：</w:t>
      </w:r>
    </w:p>
    <w:p w14:paraId="21FAB5C1">
      <w:pPr>
        <w:adjustRightInd w:val="0"/>
        <w:snapToGrid w:val="0"/>
        <w:spacing w:line="360" w:lineRule="auto"/>
        <w:ind w:firstLine="480" w:firstLineChars="200"/>
        <w:jc w:val="left"/>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承包人：</w:t>
      </w:r>
      <w:r>
        <w:rPr>
          <w:rFonts w:hint="eastAsia" w:ascii="宋体" w:hAnsi="宋体"/>
          <w:color w:val="000000" w:themeColor="text1"/>
          <w:sz w:val="24"/>
          <w:u w:val="single"/>
          <w14:textFill>
            <w14:solidFill>
              <w14:schemeClr w14:val="tx1"/>
            </w14:solidFill>
          </w14:textFill>
        </w:rPr>
        <w:t xml:space="preserve">        </w:t>
      </w:r>
    </w:p>
    <w:p w14:paraId="16FEA7AA">
      <w:pPr>
        <w:adjustRightInd w:val="0"/>
        <w:snapToGrid w:val="0"/>
        <w:spacing w:line="360" w:lineRule="auto"/>
        <w:ind w:firstLine="480" w:firstLineChars="200"/>
        <w:jc w:val="left"/>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通讯地址： </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u w:val="single"/>
          <w14:textFill>
            <w14:solidFill>
              <w14:schemeClr w14:val="tx1"/>
            </w14:solidFill>
          </w14:textFill>
        </w:rPr>
        <w:t xml:space="preserve"> </w:t>
      </w:r>
      <w:r>
        <w:rPr>
          <w:rFonts w:hint="eastAsia" w:ascii="宋体" w:hAnsi="宋体"/>
          <w:color w:val="000000" w:themeColor="text1"/>
          <w:sz w:val="24"/>
          <w:u w:val="single"/>
          <w14:textFill>
            <w14:solidFill>
              <w14:schemeClr w14:val="tx1"/>
            </w14:solidFill>
          </w14:textFill>
        </w:rPr>
        <w:t xml:space="preserve"> </w:t>
      </w:r>
    </w:p>
    <w:p w14:paraId="177C8C79">
      <w:pPr>
        <w:adjustRightInd w:val="0"/>
        <w:snapToGrid w:val="0"/>
        <w:spacing w:line="360" w:lineRule="auto"/>
        <w:ind w:firstLine="480" w:firstLineChars="200"/>
        <w:jc w:val="left"/>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联系人：</w:t>
      </w:r>
      <w:r>
        <w:rPr>
          <w:rFonts w:hint="eastAsia" w:ascii="宋体" w:hAnsi="宋体"/>
          <w:color w:val="000000" w:themeColor="text1"/>
          <w:sz w:val="24"/>
          <w:u w:val="single"/>
          <w14:textFill>
            <w14:solidFill>
              <w14:schemeClr w14:val="tx1"/>
            </w14:solidFill>
          </w14:textFill>
        </w:rPr>
        <w:t>        </w:t>
      </w:r>
      <w:r>
        <w:rPr>
          <w:rFonts w:hint="eastAsia" w:ascii="宋体" w:hAnsi="宋体"/>
          <w:color w:val="000000" w:themeColor="text1"/>
          <w:sz w:val="24"/>
          <w14:textFill>
            <w14:solidFill>
              <w14:schemeClr w14:val="tx1"/>
            </w14:solidFill>
          </w14:textFill>
        </w:rPr>
        <w:t>，联系电话（手机）：</w:t>
      </w:r>
      <w:r>
        <w:rPr>
          <w:rFonts w:hint="eastAsia" w:ascii="宋体" w:hAnsi="宋体"/>
          <w:color w:val="000000" w:themeColor="text1"/>
          <w:sz w:val="24"/>
          <w:u w:val="single"/>
          <w14:textFill>
            <w14:solidFill>
              <w14:schemeClr w14:val="tx1"/>
            </w14:solidFill>
          </w14:textFill>
        </w:rPr>
        <w:t> </w:t>
      </w:r>
      <w:r>
        <w:rPr>
          <w:rFonts w:hint="eastAsia" w:ascii="宋体" w:hAnsi="宋体"/>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u w:val="single"/>
          <w14:textFill>
            <w14:solidFill>
              <w14:schemeClr w14:val="tx1"/>
            </w14:solidFill>
          </w14:textFill>
        </w:rPr>
        <w:t> </w:t>
      </w:r>
    </w:p>
    <w:p w14:paraId="15B1B573">
      <w:pPr>
        <w:adjustRightInd w:val="0"/>
        <w:snapToGrid w:val="0"/>
        <w:spacing w:line="360" w:lineRule="auto"/>
        <w:ind w:firstLine="480" w:firstLineChars="200"/>
        <w:rPr>
          <w:rFonts w:hint="eastAsia" w:ascii="宋体" w:hAnsi="宋体" w:eastAsia="宋体"/>
          <w:color w:val="000000" w:themeColor="text1"/>
          <w:sz w:val="24"/>
          <w:u w:val="single"/>
          <w:lang w:eastAsia="zh-CN"/>
          <w14:textFill>
            <w14:solidFill>
              <w14:schemeClr w14:val="tx1"/>
            </w14:solidFill>
          </w14:textFill>
        </w:rPr>
      </w:pPr>
      <w:r>
        <w:rPr>
          <w:rFonts w:hint="eastAsia" w:ascii="宋体" w:hAnsi="宋体" w:cs="宋体"/>
          <w:bCs/>
          <w:color w:val="000000" w:themeColor="text1"/>
          <w:sz w:val="24"/>
          <w:szCs w:val="24"/>
          <w:u w:val="none"/>
          <w14:textFill>
            <w14:solidFill>
              <w14:schemeClr w14:val="tx1"/>
            </w14:solidFill>
          </w14:textFill>
        </w:rPr>
        <w:t>E-mail：</w:t>
      </w:r>
      <w:r>
        <w:rPr>
          <w:rFonts w:hint="eastAsia" w:ascii="宋体" w:hAnsi="宋体" w:cs="宋体"/>
          <w:bCs/>
          <w:color w:val="000000" w:themeColor="text1"/>
          <w:sz w:val="24"/>
          <w:szCs w:val="24"/>
          <w:u w:val="single"/>
          <w14:textFill>
            <w14:solidFill>
              <w14:schemeClr w14:val="tx1"/>
            </w14:solidFill>
          </w14:textFill>
        </w:rPr>
        <w:t xml:space="preserve">               </w:t>
      </w:r>
      <w:r>
        <w:rPr>
          <w:rFonts w:hint="eastAsia" w:ascii="宋体" w:hAnsi="宋体" w:cs="宋体"/>
          <w:bCs/>
          <w:color w:val="000000" w:themeColor="text1"/>
          <w:sz w:val="24"/>
          <w:szCs w:val="24"/>
          <w:u w:val="none"/>
          <w14:textFill>
            <w14:solidFill>
              <w14:schemeClr w14:val="tx1"/>
            </w14:solidFill>
          </w14:textFill>
        </w:rPr>
        <w:t>微信</w:t>
      </w:r>
      <w:r>
        <w:rPr>
          <w:rFonts w:hint="eastAsia" w:ascii="宋体" w:hAnsi="宋体" w:cs="宋体"/>
          <w:bCs/>
          <w:color w:val="000000" w:themeColor="text1"/>
          <w:sz w:val="24"/>
          <w:szCs w:val="24"/>
          <w:u w:val="single"/>
          <w14:textFill>
            <w14:solidFill>
              <w14:schemeClr w14:val="tx1"/>
            </w14:solidFill>
          </w14:textFill>
        </w:rPr>
        <w:t>：</w:t>
      </w:r>
      <w:r>
        <w:rPr>
          <w:rFonts w:hint="eastAsia" w:ascii="宋体" w:hAnsi="宋体" w:cs="宋体"/>
          <w:bCs/>
          <w:color w:val="000000" w:themeColor="text1"/>
          <w:sz w:val="24"/>
          <w:szCs w:val="24"/>
          <w:u w:val="single"/>
          <w:lang w:val="en-US" w:eastAsia="zh-CN"/>
          <w14:textFill>
            <w14:solidFill>
              <w14:schemeClr w14:val="tx1"/>
            </w14:solidFill>
          </w14:textFill>
        </w:rPr>
        <w:t xml:space="preserve">      </w:t>
      </w:r>
    </w:p>
    <w:permEnd w:id="8"/>
    <w:p w14:paraId="79F1F7BF">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本合同涉及有关通知事项可按照本合同约定的通知与送达方式，采用邮寄、直接送达、致电或发送短信、E-mail、微信等任一方式进行，邮寄到达当日、直接送达或致电以及短信息、E-mail、微信发送当时，即视为承包人接到该通知。</w:t>
      </w:r>
    </w:p>
    <w:p w14:paraId="0FBCE279">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承包人必须保证本合同约定的联络方式真实有效，承包人前述联系方式不真实、不准确或未留联系方式，一切责任均由承包人承担。联系方式如有变更，必须于变更后3日内书面通知发包人。否则，发包人按照本合同约定的通知与送达方式向其发出的任何通知均视为合法有效。</w:t>
      </w:r>
    </w:p>
    <w:p w14:paraId="7FEABF89">
      <w:pPr>
        <w:adjustRightInd w:val="0"/>
        <w:snapToGrid w:val="0"/>
        <w:spacing w:line="360" w:lineRule="auto"/>
        <w:ind w:firstLine="480" w:firstLineChars="200"/>
        <w:rPr>
          <w:rFonts w:ascii="宋体" w:hAnsi="宋体"/>
          <w:b/>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 承包人同意，承包人在本通知与送达条款中预留的地址及电话、传真、电子邮箱等，均可作为送达诉讼（或仲裁）文书（包括但不限于起诉状、上诉状、申请书、传票、举证通知书、出庭通知书、各类裁定、判决等）的确认地址。即，只要人民法院（或仲裁委员会）将诉讼（或仲裁）文书发送至承包人预留的地址、传真、电子邮箱，即视为送达。因承包人自己提供或者确认的送达地址不准确、送达地址变更未及时告知发包人，承包人或者承包人指定的联系人拒绝签收，导致诉讼（或仲裁）文书未能被承包人实际接收的，文书退回之日视为送达之日。</w:t>
      </w:r>
    </w:p>
    <w:p w14:paraId="3636C35F">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十五、合同争议的解决方式</w:t>
      </w:r>
    </w:p>
    <w:p w14:paraId="386102A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因本合同发生争议，双方友好协商解决，协商不成的，向工程所地人民法院提起诉讼。</w:t>
      </w:r>
    </w:p>
    <w:p w14:paraId="5AAF56D2">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十六、其他约定事项</w:t>
      </w:r>
    </w:p>
    <w:p w14:paraId="68F4A1C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工程经设计审查和施工图纸会审交底后严格执行，如确需变更时，须经双方同意后办理相应变更手续。</w:t>
      </w:r>
    </w:p>
    <w:p w14:paraId="2B19A650">
      <w:pPr>
        <w:adjustRightInd w:val="0"/>
        <w:snapToGrid w:val="0"/>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十七、合同的生效</w:t>
      </w:r>
    </w:p>
    <w:p w14:paraId="3145CF65">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本合同一式</w:t>
      </w:r>
      <w:r>
        <w:rPr>
          <w:rFonts w:hint="eastAsia" w:ascii="宋体" w:hAnsi="宋体"/>
          <w:color w:val="000000" w:themeColor="text1"/>
          <w:sz w:val="24"/>
          <w:u w:val="single"/>
          <w14:textFill>
            <w14:solidFill>
              <w14:schemeClr w14:val="tx1"/>
            </w14:solidFill>
          </w14:textFill>
        </w:rPr>
        <w:t>七</w:t>
      </w:r>
      <w:r>
        <w:rPr>
          <w:rFonts w:hint="eastAsia" w:ascii="宋体" w:hAnsi="宋体"/>
          <w:color w:val="000000" w:themeColor="text1"/>
          <w:sz w:val="24"/>
          <w14:textFill>
            <w14:solidFill>
              <w14:schemeClr w14:val="tx1"/>
            </w14:solidFill>
          </w14:textFill>
        </w:rPr>
        <w:t>份，</w:t>
      </w:r>
      <w:r>
        <w:rPr>
          <w:rFonts w:hint="eastAsia" w:ascii="宋体" w:hAnsi="宋体"/>
          <w:color w:val="000000" w:themeColor="text1"/>
          <w:sz w:val="24"/>
          <w:u w:val="single"/>
          <w14:textFill>
            <w14:solidFill>
              <w14:schemeClr w14:val="tx1"/>
            </w14:solidFill>
          </w14:textFill>
        </w:rPr>
        <w:t>两</w:t>
      </w:r>
      <w:r>
        <w:rPr>
          <w:rFonts w:hint="eastAsia" w:ascii="宋体" w:hAnsi="宋体"/>
          <w:color w:val="000000" w:themeColor="text1"/>
          <w:sz w:val="24"/>
          <w14:textFill>
            <w14:solidFill>
              <w14:schemeClr w14:val="tx1"/>
            </w14:solidFill>
          </w14:textFill>
        </w:rPr>
        <w:t>正</w:t>
      </w:r>
      <w:r>
        <w:rPr>
          <w:rFonts w:hint="eastAsia" w:ascii="宋体" w:hAnsi="宋体"/>
          <w:color w:val="000000" w:themeColor="text1"/>
          <w:sz w:val="24"/>
          <w:u w:val="single"/>
          <w14:textFill>
            <w14:solidFill>
              <w14:schemeClr w14:val="tx1"/>
            </w14:solidFill>
          </w14:textFill>
        </w:rPr>
        <w:t>五</w:t>
      </w:r>
      <w:r>
        <w:rPr>
          <w:rFonts w:hint="eastAsia" w:ascii="宋体" w:hAnsi="宋体"/>
          <w:color w:val="000000" w:themeColor="text1"/>
          <w:sz w:val="24"/>
          <w14:textFill>
            <w14:solidFill>
              <w14:schemeClr w14:val="tx1"/>
            </w14:solidFill>
          </w14:textFill>
        </w:rPr>
        <w:t>副，发包人执</w:t>
      </w:r>
      <w:r>
        <w:rPr>
          <w:rFonts w:hint="eastAsia" w:ascii="宋体" w:hAnsi="宋体"/>
          <w:color w:val="000000" w:themeColor="text1"/>
          <w:sz w:val="24"/>
          <w:u w:val="single"/>
          <w14:textFill>
            <w14:solidFill>
              <w14:schemeClr w14:val="tx1"/>
            </w14:solidFill>
          </w14:textFill>
        </w:rPr>
        <w:t>四</w:t>
      </w:r>
      <w:r>
        <w:rPr>
          <w:rFonts w:hint="eastAsia" w:ascii="宋体" w:hAnsi="宋体"/>
          <w:color w:val="000000" w:themeColor="text1"/>
          <w:sz w:val="24"/>
          <w14:textFill>
            <w14:solidFill>
              <w14:schemeClr w14:val="tx1"/>
            </w14:solidFill>
          </w14:textFill>
        </w:rPr>
        <w:t>份、承包人执</w:t>
      </w:r>
      <w:r>
        <w:rPr>
          <w:rFonts w:hint="eastAsia" w:ascii="宋体" w:hAnsi="宋体"/>
          <w:color w:val="000000" w:themeColor="text1"/>
          <w:sz w:val="24"/>
          <w:u w:val="single"/>
          <w14:textFill>
            <w14:solidFill>
              <w14:schemeClr w14:val="tx1"/>
            </w14:solidFill>
          </w14:textFill>
        </w:rPr>
        <w:t>三</w:t>
      </w:r>
      <w:r>
        <w:rPr>
          <w:rFonts w:hint="eastAsia" w:ascii="宋体" w:hAnsi="宋体"/>
          <w:color w:val="000000" w:themeColor="text1"/>
          <w:sz w:val="24"/>
          <w14:textFill>
            <w14:solidFill>
              <w14:schemeClr w14:val="tx1"/>
            </w14:solidFill>
          </w14:textFill>
        </w:rPr>
        <w:t>份。自双方签订之日起正式生效。</w:t>
      </w:r>
    </w:p>
    <w:p w14:paraId="5F653116">
      <w:pPr>
        <w:adjustRightInd w:val="0"/>
        <w:snapToGrid w:val="0"/>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十八、</w:t>
      </w:r>
      <w:r>
        <w:rPr>
          <w:rFonts w:hint="eastAsia" w:ascii="宋体" w:hAnsi="宋体"/>
          <w:color w:val="000000" w:themeColor="text1"/>
          <w:sz w:val="24"/>
          <w14:textFill>
            <w14:solidFill>
              <w14:schemeClr w14:val="tx1"/>
            </w14:solidFill>
          </w14:textFill>
        </w:rPr>
        <w:t>本合同如有未尽事宜或约定不明的，双方以电力行业《供电营业规则》（电力工业部令第8号）等规定为准，无具体规定的，可按《中华人民共和国民法典》的有关规定执行，双方也可另行签订补充协议，作为本合同附件，与本合同具有同等法律效力。</w:t>
      </w:r>
    </w:p>
    <w:p w14:paraId="70EE4791">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18521920">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47571FA2">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295FC780">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16FAB2A0">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0AFAC013">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1A70C145">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5DFEA6F9">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086AA793">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4F3F0322">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1004AB0E">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4BF9CD92">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2CE5BA24">
      <w:pPr>
        <w:pStyle w:val="10"/>
        <w:spacing w:before="0"/>
        <w:ind w:left="0" w:leftChars="0" w:firstLine="0" w:firstLineChars="0"/>
        <w:rPr>
          <w:rFonts w:hint="default" w:ascii="宋体" w:hAnsi="宋体"/>
          <w:color w:val="000000" w:themeColor="text1"/>
          <w:sz w:val="24"/>
          <w14:textFill>
            <w14:solidFill>
              <w14:schemeClr w14:val="tx1"/>
            </w14:solidFill>
          </w14:textFill>
        </w:rPr>
      </w:pPr>
    </w:p>
    <w:p w14:paraId="1D301FB8">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00FAD29F">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3A721FC7">
      <w:pPr>
        <w:pStyle w:val="10"/>
        <w:spacing w:before="0"/>
        <w:ind w:left="0" w:firstLine="3120" w:firstLineChars="1300"/>
        <w:rPr>
          <w:rFonts w:hint="default" w:ascii="宋体" w:hAnsi="宋体"/>
          <w:color w:val="000000" w:themeColor="text1"/>
          <w:sz w:val="24"/>
          <w14:textFill>
            <w14:solidFill>
              <w14:schemeClr w14:val="tx1"/>
            </w14:solidFill>
          </w14:textFill>
        </w:rPr>
      </w:pPr>
    </w:p>
    <w:p w14:paraId="7B7C45C7">
      <w:pPr>
        <w:pStyle w:val="10"/>
        <w:spacing w:before="0"/>
        <w:ind w:left="0" w:firstLine="3120" w:firstLineChars="1300"/>
        <w:rPr>
          <w:rFonts w:hint="default" w:ascii="宋体" w:hAnsi="宋体"/>
          <w:b/>
          <w:color w:val="000000" w:themeColor="text1"/>
          <w:sz w:val="24"/>
          <w:szCs w:val="24"/>
          <w14:textFill>
            <w14:solidFill>
              <w14:schemeClr w14:val="tx1"/>
            </w14:solidFill>
          </w14:textFill>
        </w:rPr>
      </w:pPr>
      <w:r>
        <w:rPr>
          <w:rFonts w:ascii="宋体" w:hAnsi="宋体"/>
          <w:color w:val="000000" w:themeColor="text1"/>
          <w:sz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本页签署页，</w:t>
      </w:r>
      <w:r>
        <w:rPr>
          <w:rFonts w:ascii="宋体" w:hAnsi="宋体"/>
          <w:color w:val="000000" w:themeColor="text1"/>
          <w:sz w:val="24"/>
          <w14:textFill>
            <w14:solidFill>
              <w14:schemeClr w14:val="tx1"/>
            </w14:solidFill>
          </w14:textFill>
        </w:rPr>
        <w:t>无正文】</w:t>
      </w:r>
    </w:p>
    <w:p w14:paraId="62B0DCC6">
      <w:pPr>
        <w:spacing w:line="480" w:lineRule="auto"/>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发包人：</w:t>
      </w:r>
      <w:r>
        <w:rPr>
          <w:rFonts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14:textFill>
            <w14:solidFill>
              <w14:schemeClr w14:val="tx1"/>
            </w14:solidFill>
          </w14:textFill>
        </w:rPr>
        <w:t>盖章</w:t>
      </w:r>
      <w:r>
        <w:rPr>
          <w:rFonts w:ascii="宋体" w:hAnsi="宋体"/>
          <w:b/>
          <w:color w:val="000000" w:themeColor="text1"/>
          <w:sz w:val="24"/>
          <w:szCs w:val="24"/>
          <w14:textFill>
            <w14:solidFill>
              <w14:schemeClr w14:val="tx1"/>
            </w14:solidFill>
          </w14:textFill>
        </w:rPr>
        <w:t xml:space="preserve">) </w:t>
      </w:r>
      <w:r>
        <w:rPr>
          <w:rFonts w:hint="eastAsia" w:ascii="宋体" w:hAnsi="宋体"/>
          <w:b/>
          <w:color w:val="000000" w:themeColor="text1"/>
          <w:sz w:val="24"/>
          <w:szCs w:val="24"/>
          <w14:textFill>
            <w14:solidFill>
              <w14:schemeClr w14:val="tx1"/>
            </w14:solidFill>
          </w14:textFill>
        </w:rPr>
        <w:t xml:space="preserve">鄂尔多斯市政府投资       承包人：(盖章) </w:t>
      </w:r>
    </w:p>
    <w:p w14:paraId="6D7EB2DC">
      <w:pPr>
        <w:spacing w:line="480" w:lineRule="auto"/>
        <w:ind w:firstLine="1446" w:firstLineChars="6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项目代建中心                            </w:t>
      </w:r>
    </w:p>
    <w:p w14:paraId="72234288">
      <w:pPr>
        <w:spacing w:line="48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法定代表人或其授权委托人</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法定代表人或其授权委托人：</w:t>
      </w:r>
    </w:p>
    <w:p w14:paraId="4FAC3B75">
      <w:pPr>
        <w:spacing w:line="48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（签字）                                （签字）</w:t>
      </w:r>
    </w:p>
    <w:p w14:paraId="0B69408E">
      <w:pPr>
        <w:spacing w:line="480" w:lineRule="auto"/>
        <w:ind w:firstLine="480" w:firstLineChars="200"/>
        <w:rPr>
          <w:rFonts w:ascii="宋体" w:hAnsi="宋体" w:cs="MingLiU_HKSCS"/>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地址：</w:t>
      </w:r>
      <w:r>
        <w:rPr>
          <w:rFonts w:hint="eastAsia" w:ascii="宋体" w:hAnsi="宋体"/>
          <w:color w:val="000000" w:themeColor="text1"/>
          <w:sz w:val="24"/>
          <w:szCs w:val="24"/>
          <w:u w:val="single"/>
          <w14:textFill>
            <w14:solidFill>
              <w14:schemeClr w14:val="tx1"/>
            </w14:solidFill>
          </w14:textFill>
        </w:rPr>
        <w:t>鄂尔多斯市康巴什区</w:t>
      </w:r>
      <w:r>
        <w:rPr>
          <w:rFonts w:hint="eastAsia" w:ascii="宋体" w:hAnsi="宋体"/>
          <w:color w:val="000000" w:themeColor="text1"/>
          <w:sz w:val="24"/>
          <w:szCs w:val="24"/>
          <w14:textFill>
            <w14:solidFill>
              <w14:schemeClr w14:val="tx1"/>
            </w14:solidFill>
          </w14:textFill>
        </w:rPr>
        <w:t xml:space="preserve">                 地址：</w:t>
      </w:r>
      <w:r>
        <w:rPr>
          <w:rFonts w:hint="eastAsia" w:ascii="宋体" w:hAnsi="宋体" w:cs="MingLiU_HKSCS"/>
          <w:color w:val="000000" w:themeColor="text1"/>
          <w:sz w:val="24"/>
          <w:szCs w:val="24"/>
          <w:u w:val="single"/>
          <w14:textFill>
            <w14:solidFill>
              <w14:schemeClr w14:val="tx1"/>
            </w14:solidFill>
          </w14:textFill>
        </w:rPr>
        <w:t xml:space="preserve">        </w:t>
      </w:r>
    </w:p>
    <w:p w14:paraId="0A5341FC">
      <w:pPr>
        <w:spacing w:line="480" w:lineRule="auto"/>
        <w:ind w:firstLine="480" w:firstLineChars="200"/>
        <w:rPr>
          <w:rFonts w:ascii="宋体" w:hAnsi="宋体" w:cs="MingLiU_HKSCS"/>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邮政编码：</w:t>
      </w:r>
      <w:r>
        <w:rPr>
          <w:rFonts w:ascii="宋体" w:hAnsi="宋体"/>
          <w:color w:val="000000" w:themeColor="text1"/>
          <w:sz w:val="24"/>
          <w:szCs w:val="24"/>
          <w:u w:val="single"/>
          <w14:textFill>
            <w14:solidFill>
              <w14:schemeClr w14:val="tx1"/>
            </w14:solidFill>
          </w14:textFill>
        </w:rPr>
        <w:t>017000</w:t>
      </w:r>
      <w:r>
        <w:rPr>
          <w:rFonts w:hint="eastAsia" w:ascii="宋体" w:hAnsi="宋体"/>
          <w:color w:val="000000" w:themeColor="text1"/>
          <w:sz w:val="24"/>
          <w:szCs w:val="24"/>
          <w14:textFill>
            <w14:solidFill>
              <w14:schemeClr w14:val="tx1"/>
            </w14:solidFill>
          </w14:textFill>
        </w:rPr>
        <w:t xml:space="preserve">                         邮政编码：</w:t>
      </w:r>
      <w:r>
        <w:rPr>
          <w:rFonts w:hint="eastAsia" w:ascii="宋体" w:hAnsi="宋体" w:cs="MingLiU_HKSCS"/>
          <w:color w:val="000000" w:themeColor="text1"/>
          <w:sz w:val="24"/>
          <w:szCs w:val="24"/>
          <w:u w:val="single"/>
          <w14:textFill>
            <w14:solidFill>
              <w14:schemeClr w14:val="tx1"/>
            </w14:solidFill>
          </w14:textFill>
        </w:rPr>
        <w:t xml:space="preserve">   </w:t>
      </w:r>
    </w:p>
    <w:p w14:paraId="27D936F7">
      <w:pPr>
        <w:spacing w:line="48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MingLiU_HKSCS"/>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lang w:val="en-US" w:eastAsia="zh-CN"/>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法定代表人：</w:t>
      </w:r>
      <w:r>
        <w:rPr>
          <w:rFonts w:hint="eastAsia" w:ascii="宋体" w:hAnsi="宋体" w:cs="MingLiU_HKSCS"/>
          <w:color w:val="000000" w:themeColor="text1"/>
          <w:sz w:val="24"/>
          <w:szCs w:val="24"/>
          <w:u w:val="single"/>
          <w14:textFill>
            <w14:solidFill>
              <w14:schemeClr w14:val="tx1"/>
            </w14:solidFill>
          </w14:textFill>
        </w:rPr>
        <w:t xml:space="preserve">    </w:t>
      </w:r>
    </w:p>
    <w:p w14:paraId="350A80D8">
      <w:pPr>
        <w:spacing w:line="48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授权委托人：</w:t>
      </w:r>
      <w:r>
        <w:rPr>
          <w:rFonts w:hint="eastAsia" w:ascii="宋体" w:hAnsi="宋体"/>
          <w:color w:val="000000" w:themeColor="text1"/>
          <w:sz w:val="24"/>
          <w:szCs w:val="24"/>
          <w:u w:val="single"/>
          <w:lang w:val="en-US"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lang w:val="en-US" w:eastAsia="zh-CN"/>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授权委托人：</w:t>
      </w:r>
      <w:r>
        <w:rPr>
          <w:rFonts w:hint="eastAsia" w:ascii="宋体" w:hAnsi="宋体" w:cs="MingLiU_HKSCS"/>
          <w:color w:val="000000" w:themeColor="text1"/>
          <w:sz w:val="24"/>
          <w:szCs w:val="24"/>
          <w:u w:val="single"/>
          <w14:textFill>
            <w14:solidFill>
              <w14:schemeClr w14:val="tx1"/>
            </w14:solidFill>
          </w14:textFill>
        </w:rPr>
        <w:t xml:space="preserve"> </w:t>
      </w:r>
    </w:p>
    <w:p w14:paraId="62B04E2F">
      <w:pPr>
        <w:spacing w:line="48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电话：</w:t>
      </w:r>
      <w:r>
        <w:rPr>
          <w:rFonts w:ascii="宋体" w:hAnsi="宋体"/>
          <w:color w:val="000000" w:themeColor="text1"/>
          <w:sz w:val="24"/>
          <w:szCs w:val="24"/>
          <w:u w:val="single"/>
          <w14:textFill>
            <w14:solidFill>
              <w14:schemeClr w14:val="tx1"/>
            </w14:solidFill>
          </w14:textFill>
        </w:rPr>
        <w:t>0477-85</w:t>
      </w:r>
      <w:r>
        <w:rPr>
          <w:rFonts w:hint="eastAsia" w:ascii="宋体" w:hAnsi="宋体"/>
          <w:color w:val="000000" w:themeColor="text1"/>
          <w:sz w:val="24"/>
          <w:szCs w:val="24"/>
          <w:u w:val="single"/>
          <w14:textFill>
            <w14:solidFill>
              <w14:schemeClr w14:val="tx1"/>
            </w14:solidFill>
          </w14:textFill>
        </w:rPr>
        <w:t xml:space="preserve">83191  </w:t>
      </w:r>
      <w:r>
        <w:rPr>
          <w:rFonts w:hint="eastAsia" w:ascii="宋体" w:hAnsi="宋体"/>
          <w:color w:val="000000" w:themeColor="text1"/>
          <w:sz w:val="24"/>
          <w:szCs w:val="24"/>
          <w14:textFill>
            <w14:solidFill>
              <w14:schemeClr w14:val="tx1"/>
            </w14:solidFill>
          </w14:textFill>
        </w:rPr>
        <w:t xml:space="preserve">                     电话：</w:t>
      </w:r>
      <w:r>
        <w:rPr>
          <w:rFonts w:hint="eastAsia" w:ascii="宋体" w:hAnsi="宋体" w:cs="MingLiU_HKSCS"/>
          <w:color w:val="000000" w:themeColor="text1"/>
          <w:sz w:val="24"/>
          <w:szCs w:val="24"/>
          <w:u w:val="single"/>
          <w14:textFill>
            <w14:solidFill>
              <w14:schemeClr w14:val="tx1"/>
            </w14:solidFill>
          </w14:textFill>
        </w:rPr>
        <w:t xml:space="preserve"> </w:t>
      </w:r>
      <w:r>
        <w:rPr>
          <w:rFonts w:hint="eastAsia" w:ascii="宋体" w:hAnsi="宋体" w:cs="MingLiU_HKSCS"/>
          <w:color w:val="000000" w:themeColor="text1"/>
          <w:sz w:val="24"/>
          <w:szCs w:val="24"/>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u w:val="single"/>
          <w14:textFill>
            <w14:solidFill>
              <w14:schemeClr w14:val="tx1"/>
            </w14:solidFill>
          </w14:textFill>
        </w:rPr>
        <w:t xml:space="preserve">   </w:t>
      </w:r>
    </w:p>
    <w:p w14:paraId="2E61DF15">
      <w:pPr>
        <w:spacing w:line="48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开户银行：</w:t>
      </w:r>
      <w:r>
        <w:rPr>
          <w:rFonts w:hint="eastAsia" w:ascii="宋体" w:hAnsi="宋体"/>
          <w:color w:val="000000" w:themeColor="text1"/>
          <w:sz w:val="24"/>
          <w:szCs w:val="24"/>
          <w:u w:val="single"/>
          <w14:textFill>
            <w14:solidFill>
              <w14:schemeClr w14:val="tx1"/>
            </w14:solidFill>
          </w14:textFill>
        </w:rPr>
        <w:t>鄂尔多斯银行东胜支行</w:t>
      </w:r>
      <w:r>
        <w:rPr>
          <w:rFonts w:hint="eastAsia" w:ascii="宋体" w:hAnsi="宋体"/>
          <w:color w:val="000000" w:themeColor="text1"/>
          <w:sz w:val="24"/>
          <w:szCs w:val="24"/>
          <w14:textFill>
            <w14:solidFill>
              <w14:schemeClr w14:val="tx1"/>
            </w14:solidFill>
          </w14:textFill>
        </w:rPr>
        <w:t xml:space="preserve">           开户银行：</w:t>
      </w:r>
      <w:r>
        <w:rPr>
          <w:rFonts w:hint="eastAsia" w:ascii="宋体" w:hAnsi="宋体" w:cs="MingLiU_HKSCS"/>
          <w:color w:val="000000" w:themeColor="text1"/>
          <w:sz w:val="24"/>
          <w:szCs w:val="24"/>
          <w:u w:val="single"/>
          <w14:textFill>
            <w14:solidFill>
              <w14:schemeClr w14:val="tx1"/>
            </w14:solidFill>
          </w14:textFill>
        </w:rPr>
        <w:t xml:space="preserve">   </w:t>
      </w:r>
    </w:p>
    <w:p w14:paraId="106524CF">
      <w:pPr>
        <w:pStyle w:val="14"/>
        <w:spacing w:line="48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账号：</w:t>
      </w:r>
      <w:r>
        <w:rPr>
          <w:rFonts w:ascii="宋体" w:hAnsi="宋体"/>
          <w:color w:val="000000" w:themeColor="text1"/>
          <w:sz w:val="24"/>
          <w:szCs w:val="24"/>
          <w:u w:val="single"/>
          <w14:textFill>
            <w14:solidFill>
              <w14:schemeClr w14:val="tx1"/>
            </w14:solidFill>
          </w14:textFill>
        </w:rPr>
        <w:t>0477010120000</w:t>
      </w:r>
      <w:r>
        <w:rPr>
          <w:rFonts w:hint="eastAsia" w:ascii="宋体" w:hAnsi="宋体"/>
          <w:color w:val="000000" w:themeColor="text1"/>
          <w:sz w:val="24"/>
          <w:szCs w:val="24"/>
          <w:u w:val="single"/>
          <w14:textFill>
            <w14:solidFill>
              <w14:schemeClr w14:val="tx1"/>
            </w14:solidFill>
          </w14:textFill>
        </w:rPr>
        <w:t>50359</w:t>
      </w:r>
      <w:r>
        <w:rPr>
          <w:rFonts w:hint="eastAsia" w:ascii="宋体" w:hAnsi="宋体"/>
          <w:color w:val="000000" w:themeColor="text1"/>
          <w:sz w:val="24"/>
          <w:szCs w:val="24"/>
          <w14:textFill>
            <w14:solidFill>
              <w14:schemeClr w14:val="tx1"/>
            </w14:solidFill>
          </w14:textFill>
        </w:rPr>
        <w:t xml:space="preserve">                 账号：</w:t>
      </w:r>
      <w:r>
        <w:rPr>
          <w:rFonts w:hint="eastAsia" w:ascii="宋体" w:hAnsi="宋体" w:cs="MingLiU_HKSCS"/>
          <w:color w:val="000000" w:themeColor="text1"/>
          <w:sz w:val="24"/>
          <w:szCs w:val="24"/>
          <w:u w:val="single"/>
          <w14:textFill>
            <w14:solidFill>
              <w14:schemeClr w14:val="tx1"/>
            </w14:solidFill>
          </w14:textFill>
        </w:rPr>
        <w:t xml:space="preserve"> </w:t>
      </w:r>
      <w:r>
        <w:rPr>
          <w:rFonts w:hint="eastAsia" w:ascii="宋体" w:hAnsi="宋体" w:cs="MingLiU_HKSCS"/>
          <w:color w:val="000000" w:themeColor="text1"/>
          <w:sz w:val="24"/>
          <w:szCs w:val="24"/>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14:textFill>
            <w14:solidFill>
              <w14:schemeClr w14:val="tx1"/>
            </w14:solidFill>
          </w14:textFill>
        </w:rPr>
        <w:t xml:space="preserve">    </w:t>
      </w:r>
    </w:p>
    <w:p w14:paraId="77F01627">
      <w:pPr>
        <w:adjustRightInd w:val="0"/>
        <w:snapToGrid w:val="0"/>
        <w:spacing w:line="480" w:lineRule="auto"/>
        <w:ind w:firstLine="480" w:firstLineChars="200"/>
        <w:rPr>
          <w:rFonts w:ascii="宋体" w:hAnsi="宋体"/>
          <w:color w:val="000000" w:themeColor="text1"/>
          <w:sz w:val="24"/>
          <w14:textFill>
            <w14:solidFill>
              <w14:schemeClr w14:val="tx1"/>
            </w14:solidFill>
          </w14:textFill>
        </w:rPr>
      </w:pPr>
    </w:p>
    <w:p w14:paraId="469CDF61">
      <w:pPr>
        <w:adjustRightInd w:val="0"/>
        <w:snapToGrid w:val="0"/>
        <w:spacing w:line="48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合同签订日期：  年 </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月</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日</w:t>
      </w:r>
    </w:p>
    <w:p w14:paraId="7902CA24">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271CEF6F">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6BA598B2">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70C35251">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3FC2817B">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74E20810">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75F157AD">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2692A0D3">
      <w:pPr>
        <w:pStyle w:val="14"/>
        <w:spacing w:line="360" w:lineRule="auto"/>
        <w:ind w:firstLine="482" w:firstLineChars="200"/>
        <w:rPr>
          <w:rFonts w:ascii="宋体" w:hAnsi="宋体" w:cs="黑体"/>
          <w:b/>
          <w:bCs/>
          <w:color w:val="000000" w:themeColor="text1"/>
          <w:sz w:val="24"/>
          <w:szCs w:val="24"/>
          <w14:textFill>
            <w14:solidFill>
              <w14:schemeClr w14:val="tx1"/>
            </w14:solidFill>
          </w14:textFill>
        </w:rPr>
      </w:pPr>
    </w:p>
    <w:p w14:paraId="62D96C66">
      <w:pPr>
        <w:pStyle w:val="14"/>
        <w:spacing w:line="360" w:lineRule="auto"/>
        <w:rPr>
          <w:rFonts w:ascii="宋体" w:hAnsi="宋体" w:cs="黑体"/>
          <w:b/>
          <w:bCs/>
          <w:color w:val="000000" w:themeColor="text1"/>
          <w:sz w:val="24"/>
          <w:szCs w:val="24"/>
          <w14:textFill>
            <w14:solidFill>
              <w14:schemeClr w14:val="tx1"/>
            </w14:solidFill>
          </w14:textFill>
        </w:rPr>
      </w:pPr>
    </w:p>
    <w:p w14:paraId="0CBBB987">
      <w:pPr>
        <w:pStyle w:val="14"/>
        <w:spacing w:line="360" w:lineRule="auto"/>
        <w:rPr>
          <w:rFonts w:ascii="宋体" w:hAnsi="宋体" w:cs="黑体"/>
          <w:b/>
          <w:bCs/>
          <w:color w:val="000000" w:themeColor="text1"/>
          <w:sz w:val="24"/>
          <w:szCs w:val="24"/>
          <w14:textFill>
            <w14:solidFill>
              <w14:schemeClr w14:val="tx1"/>
            </w14:solidFill>
          </w14:textFill>
        </w:rPr>
      </w:pPr>
    </w:p>
    <w:p w14:paraId="4D3BBD54">
      <w:pPr>
        <w:pStyle w:val="14"/>
        <w:spacing w:line="360" w:lineRule="auto"/>
        <w:rPr>
          <w:rFonts w:ascii="宋体" w:hAnsi="宋体" w:cs="黑体"/>
          <w:b/>
          <w:bCs/>
          <w:color w:val="000000" w:themeColor="text1"/>
          <w:sz w:val="24"/>
          <w:szCs w:val="24"/>
          <w14:textFill>
            <w14:solidFill>
              <w14:schemeClr w14:val="tx1"/>
            </w14:solidFill>
          </w14:textFill>
        </w:rPr>
      </w:pPr>
    </w:p>
    <w:p w14:paraId="690483CD">
      <w:pPr>
        <w:pStyle w:val="14"/>
        <w:spacing w:line="360" w:lineRule="auto"/>
        <w:rPr>
          <w:rFonts w:ascii="宋体" w:hAnsi="宋体" w:cs="黑体"/>
          <w:b/>
          <w:bCs/>
          <w:color w:val="000000" w:themeColor="text1"/>
          <w:sz w:val="24"/>
          <w:szCs w:val="24"/>
          <w14:textFill>
            <w14:solidFill>
              <w14:schemeClr w14:val="tx1"/>
            </w14:solidFill>
          </w14:textFill>
        </w:rPr>
      </w:pPr>
      <w:r>
        <w:rPr>
          <w:rFonts w:hint="eastAsia" w:ascii="宋体" w:hAnsi="宋体" w:cs="黑体"/>
          <w:b/>
          <w:bCs/>
          <w:color w:val="000000" w:themeColor="text1"/>
          <w:sz w:val="24"/>
          <w:szCs w:val="24"/>
          <w14:textFill>
            <w14:solidFill>
              <w14:schemeClr w14:val="tx1"/>
            </w14:solidFill>
          </w14:textFill>
        </w:rPr>
        <w:t xml:space="preserve">附件一                     </w:t>
      </w:r>
      <w:r>
        <w:rPr>
          <w:rFonts w:hint="eastAsia" w:ascii="宋体" w:hAnsi="宋体" w:cs="黑体"/>
          <w:b/>
          <w:bCs/>
          <w:color w:val="000000" w:themeColor="text1"/>
          <w:sz w:val="28"/>
          <w:szCs w:val="28"/>
          <w14:textFill>
            <w14:solidFill>
              <w14:schemeClr w14:val="tx1"/>
            </w14:solidFill>
          </w14:textFill>
        </w:rPr>
        <w:t xml:space="preserve"> 工程质量保修书</w:t>
      </w:r>
    </w:p>
    <w:p w14:paraId="6C724D46">
      <w:pPr>
        <w:pStyle w:val="14"/>
        <w:spacing w:line="360" w:lineRule="auto"/>
        <w:ind w:firstLine="480" w:firstLineChars="2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发包人（全称）：</w:t>
      </w:r>
      <w:r>
        <w:rPr>
          <w:rFonts w:hint="eastAsia" w:ascii="宋体" w:hAnsi="宋体"/>
          <w:b/>
          <w:color w:val="000000" w:themeColor="text1"/>
          <w:sz w:val="24"/>
          <w:szCs w:val="24"/>
          <w:u w:val="single"/>
          <w14:textFill>
            <w14:solidFill>
              <w14:schemeClr w14:val="tx1"/>
            </w14:solidFill>
          </w14:textFill>
        </w:rPr>
        <w:t>鄂尔多斯市政府投资项目代建中心</w:t>
      </w:r>
    </w:p>
    <w:p w14:paraId="18C52631">
      <w:pPr>
        <w:spacing w:line="360" w:lineRule="auto"/>
        <w:ind w:firstLine="480" w:firstLineChars="200"/>
        <w:rPr>
          <w:rFonts w:cs="宋体"/>
          <w:color w:val="000000" w:themeColor="text1"/>
          <w:sz w:val="28"/>
          <w:szCs w:val="28"/>
          <w:u w:val="single"/>
          <w14:textFill>
            <w14:solidFill>
              <w14:schemeClr w14:val="tx1"/>
            </w14:solidFill>
          </w14:textFill>
        </w:rPr>
      </w:pPr>
      <w:r>
        <w:rPr>
          <w:rFonts w:hint="eastAsia"/>
          <w:color w:val="000000" w:themeColor="text1"/>
          <w:sz w:val="24"/>
          <w:szCs w:val="24"/>
          <w14:textFill>
            <w14:solidFill>
              <w14:schemeClr w14:val="tx1"/>
            </w14:solidFill>
          </w14:textFill>
        </w:rPr>
        <w:t>承包人（全称）：</w:t>
      </w:r>
      <w:r>
        <w:rPr>
          <w:rFonts w:hint="eastAsia" w:ascii="宋体" w:hAnsi="宋体"/>
          <w:b/>
          <w:color w:val="000000" w:themeColor="text1"/>
          <w:sz w:val="24"/>
          <w:szCs w:val="24"/>
          <w:u w:val="single"/>
          <w14:textFill>
            <w14:solidFill>
              <w14:schemeClr w14:val="tx1"/>
            </w14:solidFill>
          </w14:textFill>
        </w:rPr>
        <w:t xml:space="preserve">       </w:t>
      </w:r>
    </w:p>
    <w:p w14:paraId="1F8166C5">
      <w:pPr>
        <w:widowControl/>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发包人和承包人根据《中华人民共和国建筑法》和《建设工程质量管理条例》，经协商一致就</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签订工程质量保修书。</w:t>
      </w:r>
    </w:p>
    <w:p w14:paraId="38188AFE">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、工程质量保修范围和内容</w:t>
      </w:r>
    </w:p>
    <w:p w14:paraId="533A8B0C">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承包人在质量保修期内，按照有关法律规定和合同约定，承担工程质量保修责任。</w:t>
      </w:r>
    </w:p>
    <w:p w14:paraId="4B80FA1A">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5369DC3">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上述保修项目若由施工原因或承包人供应材料发生质量问题，由承包人承担维修及费用，由发包人使用不当或发包人供应原材料发生质量问题或损失由发包人承担费用或自修。</w:t>
      </w:r>
    </w:p>
    <w:p w14:paraId="36E81715">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、质量保修期</w:t>
      </w:r>
    </w:p>
    <w:p w14:paraId="4AAD1B94">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根据《建设工程质量管理条例》及有关规定，工程的质量保修期如下：</w:t>
      </w:r>
    </w:p>
    <w:p w14:paraId="0F180FEE">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（1）地基基础工程和主体结构工程为设计文件规定的该工程的合理使用年限；</w:t>
      </w:r>
    </w:p>
    <w:p w14:paraId="45972209">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（2）屋面防水工程、有防水要求的卫生间、房间和外墙面的防渗为五年；</w:t>
      </w:r>
    </w:p>
    <w:p w14:paraId="3AEF7B86">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（3）装修工程，为两年；</w:t>
      </w:r>
    </w:p>
    <w:p w14:paraId="325B21B8">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（4）电气管线、给排水管道、设备安装工程和装修工程，为两年；</w:t>
      </w:r>
    </w:p>
    <w:p w14:paraId="07893FE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（5）供热与供冷系统为两个采暖期、供冷期；</w:t>
      </w:r>
    </w:p>
    <w:p w14:paraId="12D05495">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（6）住宅小区内的给排水设施、道路等配套工程为两年；</w:t>
      </w:r>
    </w:p>
    <w:p w14:paraId="00415056">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（7）本工程景观绿化养管期为1年，质保期1年，质保期内承包方应进行除草、浇水、施肥等工作；</w:t>
      </w:r>
    </w:p>
    <w:p w14:paraId="2149AC08">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（8）其他项目保修期限约定如下：除上述约定外，其他工程项目保修期限不低于国家和项目所在地规定的有关保修年限。</w:t>
      </w:r>
    </w:p>
    <w:p w14:paraId="10634D64">
      <w:pPr>
        <w:pStyle w:val="14"/>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（9）其他约定：承包人所施工程质量及保修期还应满足设计要求。</w:t>
      </w:r>
    </w:p>
    <w:p w14:paraId="3D93E503">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质量保修期自工程竣工验收合格之日起计算。</w:t>
      </w:r>
    </w:p>
    <w:p w14:paraId="27A3AA40">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、缺陷责任期</w:t>
      </w:r>
    </w:p>
    <w:p w14:paraId="657A7149">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工程缺陷责任期为</w:t>
      </w:r>
      <w:r>
        <w:rPr>
          <w:rFonts w:ascii="宋体" w:hAnsi="宋体"/>
          <w:color w:val="000000" w:themeColor="text1"/>
          <w:sz w:val="24"/>
          <w:szCs w:val="24"/>
          <w14:textFill>
            <w14:solidFill>
              <w14:schemeClr w14:val="tx1"/>
            </w14:solidFill>
          </w14:textFill>
        </w:rPr>
        <w:t xml:space="preserve"> 24 </w:t>
      </w:r>
      <w:r>
        <w:rPr>
          <w:rFonts w:hint="eastAsia" w:ascii="宋体" w:hAnsi="宋体"/>
          <w:color w:val="000000" w:themeColor="text1"/>
          <w:sz w:val="24"/>
          <w:szCs w:val="24"/>
          <w14:textFill>
            <w14:solidFill>
              <w14:schemeClr w14:val="tx1"/>
            </w14:solidFill>
          </w14:textFill>
        </w:rPr>
        <w:t>个月，缺陷责任期自工程竣工验收合格，开始送电之日起计算。单位工程先于全部工程进行验收，单位工程缺陷责任期自单位工程验收合格之日起算。</w:t>
      </w:r>
    </w:p>
    <w:p w14:paraId="44C7039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、质量保修责任</w:t>
      </w:r>
    </w:p>
    <w:p w14:paraId="46A54EF8">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）属于保修范围、内容的项目，承包人应当接到发包人或使用单位通知一次后，</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日内必须组织保修，若</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日内不能及时组织保修或没有响应的视为自动放弃保修，发包人或使用单位将直接指定第三方进行维修，费用由承包人承担，自承包人保修金中直接扣除。</w:t>
      </w:r>
    </w:p>
    <w:p w14:paraId="139E16CB">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）发生紧急事故需抢修的，承包人在接到事故通知后，应当立即到达事故现场抢修。</w:t>
      </w:r>
    </w:p>
    <w:p w14:paraId="21964D0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60EE8F">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）质量保修完成后，由发包人组织验收。</w:t>
      </w:r>
    </w:p>
    <w:p w14:paraId="004C52E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、保修费用</w:t>
      </w:r>
    </w:p>
    <w:p w14:paraId="062FBD10">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保修费用由造成质量缺陷的责任方承担。</w:t>
      </w:r>
    </w:p>
    <w:p w14:paraId="48480859">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w:t>
      </w:r>
      <w:r>
        <w:rPr>
          <w:rFonts w:hint="eastAsia" w:ascii="宋体" w:hAnsi="宋体"/>
          <w:color w:val="000000" w:themeColor="text1"/>
          <w:sz w:val="24"/>
          <w:szCs w:val="24"/>
          <w14:textFill>
            <w14:solidFill>
              <w14:schemeClr w14:val="tx1"/>
            </w14:solidFill>
          </w14:textFill>
        </w:rPr>
        <w:t>、双方约定的其他工程质量保修事项：</w:t>
      </w:r>
    </w:p>
    <w:p w14:paraId="0A527B2C">
      <w:pPr>
        <w:pStyle w:val="14"/>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）承包人保修负责人</w:t>
      </w:r>
      <w:r>
        <w:rPr>
          <w:rFonts w:hint="eastAsia" w:ascii="宋体" w:hAnsi="宋体"/>
          <w:color w:val="000000" w:themeColor="text1"/>
          <w:sz w:val="24"/>
          <w:szCs w:val="24"/>
          <w:u w:val="single"/>
          <w14:textFill>
            <w14:solidFill>
              <w14:schemeClr w14:val="tx1"/>
            </w14:solidFill>
          </w14:textFill>
        </w:rPr>
        <w:t xml:space="preserve">：            </w:t>
      </w:r>
    </w:p>
    <w:p w14:paraId="69B26C03">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电话</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手机（指定维修期间应保持</w:t>
      </w:r>
      <w:r>
        <w:rPr>
          <w:rFonts w:ascii="宋体" w:hAnsi="宋体"/>
          <w:color w:val="000000" w:themeColor="text1"/>
          <w:sz w:val="24"/>
          <w:szCs w:val="24"/>
          <w14:textFill>
            <w14:solidFill>
              <w14:schemeClr w14:val="tx1"/>
            </w14:solidFill>
          </w14:textFill>
        </w:rPr>
        <w:t>24</w:t>
      </w:r>
      <w:r>
        <w:rPr>
          <w:rFonts w:hint="eastAsia" w:ascii="宋体" w:hAnsi="宋体"/>
          <w:color w:val="000000" w:themeColor="text1"/>
          <w:sz w:val="24"/>
          <w:szCs w:val="24"/>
          <w14:textFill>
            <w14:solidFill>
              <w14:schemeClr w14:val="tx1"/>
            </w14:solidFill>
          </w14:textFill>
        </w:rPr>
        <w:t>小时畅通）：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涉及有关保修事项可按照上述承包人的联络方式，致电、传真、短信、</w:t>
      </w:r>
      <w:r>
        <w:rPr>
          <w:rFonts w:ascii="宋体" w:hAnsi="宋体"/>
          <w:color w:val="000000" w:themeColor="text1"/>
          <w:sz w:val="24"/>
          <w:szCs w:val="24"/>
          <w14:textFill>
            <w14:solidFill>
              <w14:schemeClr w14:val="tx1"/>
            </w14:solidFill>
          </w14:textFill>
        </w:rPr>
        <w:t>E-mail</w:t>
      </w:r>
      <w:r>
        <w:rPr>
          <w:rFonts w:hint="eastAsia" w:ascii="宋体" w:hAnsi="宋体"/>
          <w:color w:val="000000" w:themeColor="text1"/>
          <w:sz w:val="24"/>
          <w:szCs w:val="24"/>
          <w14:textFill>
            <w14:solidFill>
              <w14:schemeClr w14:val="tx1"/>
            </w14:solidFill>
          </w14:textFill>
        </w:rPr>
        <w:t>、微信等任一方式进行，致电、传真、短信息、</w:t>
      </w:r>
      <w:r>
        <w:rPr>
          <w:rFonts w:ascii="宋体" w:hAnsi="宋体"/>
          <w:color w:val="000000" w:themeColor="text1"/>
          <w:sz w:val="24"/>
          <w:szCs w:val="24"/>
          <w14:textFill>
            <w14:solidFill>
              <w14:schemeClr w14:val="tx1"/>
            </w14:solidFill>
          </w14:textFill>
        </w:rPr>
        <w:t>E-mail</w:t>
      </w:r>
      <w:r>
        <w:rPr>
          <w:rFonts w:hint="eastAsia" w:ascii="宋体" w:hAnsi="宋体"/>
          <w:color w:val="000000" w:themeColor="text1"/>
          <w:sz w:val="24"/>
          <w:szCs w:val="24"/>
          <w14:textFill>
            <w14:solidFill>
              <w14:schemeClr w14:val="tx1"/>
            </w14:solidFill>
          </w14:textFill>
        </w:rPr>
        <w:t>、微信发送当时，即视为被承包人接到该保修通知。</w:t>
      </w:r>
    </w:p>
    <w:p w14:paraId="3CC3EFB6">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承包人必须保证上述的联络方式真实有效，如有变更，必须于变更前</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日通知发包人。否则，发包人按照上述联络方式向其发出的任何通知均视为合法有效，并视为承包人已经接到发包人通知；</w:t>
      </w:r>
    </w:p>
    <w:p w14:paraId="07D002F7">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）承包人维修人员应服从管理和监督，文明施工、文明用语，否则承包人支付违约金</w:t>
      </w:r>
      <w:r>
        <w:rPr>
          <w:rFonts w:ascii="宋体" w:hAnsi="宋体"/>
          <w:color w:val="000000" w:themeColor="text1"/>
          <w:sz w:val="24"/>
          <w:szCs w:val="24"/>
          <w14:textFill>
            <w14:solidFill>
              <w14:schemeClr w14:val="tx1"/>
            </w14:solidFill>
          </w14:textFill>
        </w:rPr>
        <w:t>500</w:t>
      </w:r>
      <w:r>
        <w:rPr>
          <w:rFonts w:hint="eastAsia" w:ascii="宋体" w:hAnsi="宋体"/>
          <w:color w:val="000000" w:themeColor="text1"/>
          <w:sz w:val="24"/>
          <w:szCs w:val="24"/>
          <w14:textFill>
            <w14:solidFill>
              <w14:schemeClr w14:val="tx1"/>
            </w14:solidFill>
          </w14:textFill>
        </w:rPr>
        <w:t>元</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人次；</w:t>
      </w:r>
    </w:p>
    <w:p w14:paraId="12C9ACFF">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（3）渗水、漏水、给排水、供电设施及线路出现故障等影响居民正常生活的情况，承包人承诺在发包人通知后4小时内赶到现场并于6小时内完成维修；</w:t>
      </w:r>
    </w:p>
    <w:p w14:paraId="03483E85">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）每个维修项目完成后承包人负责将施工现场清理干净要经发包人或使用单位验收签字本次维修完毕。所有维修项目应保证在六个月（</w:t>
      </w:r>
      <w:r>
        <w:rPr>
          <w:rFonts w:ascii="宋体" w:hAnsi="宋体"/>
          <w:color w:val="000000" w:themeColor="text1"/>
          <w:sz w:val="24"/>
          <w:szCs w:val="24"/>
          <w14:textFill>
            <w14:solidFill>
              <w14:schemeClr w14:val="tx1"/>
            </w14:solidFill>
          </w14:textFill>
        </w:rPr>
        <w:t>180</w:t>
      </w:r>
      <w:r>
        <w:rPr>
          <w:rFonts w:hint="eastAsia" w:ascii="宋体" w:hAnsi="宋体"/>
          <w:color w:val="000000" w:themeColor="text1"/>
          <w:sz w:val="24"/>
          <w:szCs w:val="24"/>
          <w14:textFill>
            <w14:solidFill>
              <w14:schemeClr w14:val="tx1"/>
            </w14:solidFill>
          </w14:textFill>
        </w:rPr>
        <w:t>日）内不再出现类似问题，维修项目的保修期限由维修合格之日起重新计算。如维修过程中给发包人和本项目物业使用人造成其他损失，则承包人应承担相应责任。</w:t>
      </w:r>
    </w:p>
    <w:p w14:paraId="31A0645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6AD17DFF">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6</w:t>
      </w:r>
      <w:r>
        <w:rPr>
          <w:rFonts w:hint="eastAsia" w:ascii="宋体" w:hAnsi="宋体"/>
          <w:color w:val="000000" w:themeColor="text1"/>
          <w:sz w:val="24"/>
          <w:szCs w:val="24"/>
          <w14:textFill>
            <w14:solidFill>
              <w14:schemeClr w14:val="tx1"/>
            </w14:solidFill>
          </w14:textFill>
        </w:rPr>
        <w:t>）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p>
    <w:p w14:paraId="6C79C14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w:t>
      </w:r>
      <w:r>
        <w:rPr>
          <w:rFonts w:hint="eastAsia" w:ascii="宋体" w:hAnsi="宋体"/>
          <w:color w:val="000000" w:themeColor="text1"/>
          <w:sz w:val="24"/>
          <w:szCs w:val="24"/>
          <w14:textFill>
            <w14:solidFill>
              <w14:schemeClr w14:val="tx1"/>
            </w14:solidFill>
          </w14:textFill>
        </w:rPr>
        <w:t>、接到返修通知后拒不到现场处理问题；</w:t>
      </w:r>
    </w:p>
    <w:p w14:paraId="14CCDB0D">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w:t>
      </w:r>
      <w:r>
        <w:rPr>
          <w:rFonts w:hint="eastAsia" w:ascii="宋体" w:hAnsi="宋体"/>
          <w:color w:val="000000" w:themeColor="text1"/>
          <w:sz w:val="24"/>
          <w:szCs w:val="24"/>
          <w14:textFill>
            <w14:solidFill>
              <w14:schemeClr w14:val="tx1"/>
            </w14:solidFill>
          </w14:textFill>
        </w:rPr>
        <w:t>、承包方超过规定的到场时间后未赶到现场；</w:t>
      </w:r>
    </w:p>
    <w:p w14:paraId="7BA632CF">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w:t>
      </w:r>
      <w:r>
        <w:rPr>
          <w:rFonts w:hint="eastAsia" w:ascii="宋体" w:hAnsi="宋体"/>
          <w:color w:val="000000" w:themeColor="text1"/>
          <w:sz w:val="24"/>
          <w:szCs w:val="24"/>
          <w14:textFill>
            <w14:solidFill>
              <w14:schemeClr w14:val="tx1"/>
            </w14:solidFill>
          </w14:textFill>
        </w:rPr>
        <w:t>、对同一位置经过一次返修仍未彻底解决问题；</w:t>
      </w:r>
    </w:p>
    <w:p w14:paraId="42803399">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w:t>
      </w:r>
      <w:r>
        <w:rPr>
          <w:rFonts w:hint="eastAsia" w:ascii="宋体" w:hAnsi="宋体"/>
          <w:color w:val="000000" w:themeColor="text1"/>
          <w:sz w:val="24"/>
          <w:szCs w:val="24"/>
          <w14:textFill>
            <w14:solidFill>
              <w14:schemeClr w14:val="tx1"/>
            </w14:solidFill>
          </w14:textFill>
        </w:rPr>
        <w:t>、现场返修人员服务行为造成发包人或使用单位强烈投诉等。</w:t>
      </w:r>
    </w:p>
    <w:p w14:paraId="0E0E1657">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7</w:t>
      </w:r>
      <w:r>
        <w:rPr>
          <w:rFonts w:hint="eastAsia" w:ascii="宋体" w:hAnsi="宋体"/>
          <w:color w:val="000000" w:themeColor="text1"/>
          <w:sz w:val="24"/>
          <w:szCs w:val="24"/>
          <w14:textFill>
            <w14:solidFill>
              <w14:schemeClr w14:val="tx1"/>
            </w14:solidFill>
          </w14:textFill>
        </w:rPr>
        <w:t>）因承包人责任造成返修、赔偿的，承包人应按照以下标准赔偿发包人直接和间接损失：直接返修加直接赔偿的费用在</w:t>
      </w:r>
      <w:r>
        <w:rPr>
          <w:rFonts w:ascii="宋体" w:hAnsi="宋体"/>
          <w:color w:val="000000" w:themeColor="text1"/>
          <w:sz w:val="24"/>
          <w:szCs w:val="24"/>
          <w14:textFill>
            <w14:solidFill>
              <w14:schemeClr w14:val="tx1"/>
            </w14:solidFill>
          </w14:textFill>
        </w:rPr>
        <w:t>2000</w:t>
      </w:r>
      <w:r>
        <w:rPr>
          <w:rFonts w:hint="eastAsia" w:ascii="宋体" w:hAnsi="宋体"/>
          <w:color w:val="000000" w:themeColor="text1"/>
          <w:sz w:val="24"/>
          <w:szCs w:val="24"/>
          <w14:textFill>
            <w14:solidFill>
              <w14:schemeClr w14:val="tx1"/>
            </w14:solidFill>
          </w14:textFill>
        </w:rPr>
        <w:t>元以下的部分，按照</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倍计算；直接返修加直接赔偿的费用在</w:t>
      </w:r>
      <w:r>
        <w:rPr>
          <w:rFonts w:ascii="宋体" w:hAnsi="宋体"/>
          <w:color w:val="000000" w:themeColor="text1"/>
          <w:sz w:val="24"/>
          <w:szCs w:val="24"/>
          <w14:textFill>
            <w14:solidFill>
              <w14:schemeClr w14:val="tx1"/>
            </w14:solidFill>
          </w14:textFill>
        </w:rPr>
        <w:t>2000</w:t>
      </w:r>
      <w:r>
        <w:rPr>
          <w:rFonts w:hint="eastAsia" w:ascii="宋体" w:hAnsi="宋体"/>
          <w:color w:val="000000" w:themeColor="text1"/>
          <w:sz w:val="24"/>
          <w:szCs w:val="24"/>
          <w14:textFill>
            <w14:solidFill>
              <w14:schemeClr w14:val="tx1"/>
            </w14:solidFill>
          </w14:textFill>
        </w:rPr>
        <w:t>元以上的部分，按照</w:t>
      </w: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倍计算，同时加收赔偿费用的</w:t>
      </w:r>
      <w:r>
        <w:rPr>
          <w:rFonts w:ascii="宋体" w:hAnsi="宋体"/>
          <w:color w:val="000000" w:themeColor="text1"/>
          <w:sz w:val="24"/>
          <w:szCs w:val="24"/>
          <w14:textFill>
            <w14:solidFill>
              <w14:schemeClr w14:val="tx1"/>
            </w14:solidFill>
          </w14:textFill>
        </w:rPr>
        <w:t>20%</w:t>
      </w:r>
      <w:r>
        <w:rPr>
          <w:rFonts w:hint="eastAsia" w:ascii="宋体" w:hAnsi="宋体"/>
          <w:color w:val="000000" w:themeColor="text1"/>
          <w:sz w:val="24"/>
          <w:szCs w:val="24"/>
          <w14:textFill>
            <w14:solidFill>
              <w14:schemeClr w14:val="tx1"/>
            </w14:solidFill>
          </w14:textFill>
        </w:rPr>
        <w:t>作为违约金。按上述办法计算出的费用总额，无需征得承包人意见即可直接从承包人保修款中扣除，承包人予以无条件承认并执行，但不等于免除承包人的任何应负的责任。</w:t>
      </w:r>
    </w:p>
    <w:p w14:paraId="78733516">
      <w:pPr>
        <w:pStyle w:val="14"/>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r>
        <w:rPr>
          <w:rFonts w:hint="eastAsia" w:ascii="宋体" w:hAnsi="宋体"/>
          <w:color w:val="000000" w:themeColor="text1"/>
          <w:sz w:val="24"/>
          <w:szCs w:val="24"/>
          <w14:textFill>
            <w14:solidFill>
              <w14:schemeClr w14:val="tx1"/>
            </w14:solidFill>
          </w14:textFill>
        </w:rPr>
        <w:t>、本工程质量保修书，由施工合同发包人或使用单位、承包人双方在竣工验收前共同签署，作为施工合同附件，其有效期限至保修期满。</w:t>
      </w:r>
    </w:p>
    <w:p w14:paraId="094E71AE">
      <w:pPr>
        <w:pStyle w:val="14"/>
        <w:spacing w:line="360" w:lineRule="auto"/>
        <w:ind w:firstLine="480" w:firstLineChars="200"/>
        <w:rPr>
          <w:rFonts w:ascii="宋体" w:hAnsi="宋体" w:cs="黑体"/>
          <w:color w:val="000000" w:themeColor="text1"/>
          <w:sz w:val="24"/>
          <w:szCs w:val="24"/>
          <w14:textFill>
            <w14:solidFill>
              <w14:schemeClr w14:val="tx1"/>
            </w14:solidFill>
          </w14:textFill>
        </w:rPr>
      </w:pPr>
    </w:p>
    <w:p w14:paraId="4C414ABD">
      <w:pPr>
        <w:rPr>
          <w:rFonts w:ascii="宋体" w:hAnsi="宋体" w:cs="黑体"/>
          <w:b/>
          <w:bCs/>
          <w:color w:val="000000" w:themeColor="text1"/>
          <w:sz w:val="24"/>
          <w:szCs w:val="24"/>
          <w14:textFill>
            <w14:solidFill>
              <w14:schemeClr w14:val="tx1"/>
            </w14:solidFill>
          </w14:textFill>
        </w:rPr>
      </w:pPr>
      <w:r>
        <w:rPr>
          <w:rFonts w:hint="eastAsia" w:ascii="宋体" w:hAnsi="宋体" w:cs="黑体"/>
          <w:color w:val="000000" w:themeColor="text1"/>
          <w:sz w:val="24"/>
          <w:szCs w:val="24"/>
          <w14:textFill>
            <w14:solidFill>
              <w14:schemeClr w14:val="tx1"/>
            </w14:solidFill>
          </w14:textFill>
        </w:rPr>
        <w:br w:type="page"/>
      </w:r>
      <w:r>
        <w:rPr>
          <w:rFonts w:hint="eastAsia" w:ascii="宋体" w:hAnsi="宋体" w:cs="黑体"/>
          <w:color w:val="000000" w:themeColor="text1"/>
          <w:sz w:val="24"/>
          <w:szCs w:val="24"/>
          <w14:textFill>
            <w14:solidFill>
              <w14:schemeClr w14:val="tx1"/>
            </w14:solidFill>
          </w14:textFill>
        </w:rPr>
        <w:t xml:space="preserve">附件二                  </w:t>
      </w:r>
      <w:r>
        <w:rPr>
          <w:rFonts w:hint="eastAsia" w:ascii="宋体" w:hAnsi="宋体" w:cs="黑体"/>
          <w:color w:val="000000" w:themeColor="text1"/>
          <w:sz w:val="28"/>
          <w:szCs w:val="28"/>
          <w14:textFill>
            <w14:solidFill>
              <w14:schemeClr w14:val="tx1"/>
            </w14:solidFill>
          </w14:textFill>
        </w:rPr>
        <w:t xml:space="preserve"> </w:t>
      </w:r>
      <w:r>
        <w:rPr>
          <w:rFonts w:hint="eastAsia" w:ascii="宋体" w:hAnsi="宋体" w:cs="黑体"/>
          <w:b/>
          <w:bCs/>
          <w:color w:val="000000" w:themeColor="text1"/>
          <w:sz w:val="28"/>
          <w:szCs w:val="28"/>
          <w14:textFill>
            <w14:solidFill>
              <w14:schemeClr w14:val="tx1"/>
            </w14:solidFill>
          </w14:textFill>
        </w:rPr>
        <w:t>建设工程廉政责任书</w:t>
      </w:r>
    </w:p>
    <w:p w14:paraId="36971D6F">
      <w:pPr>
        <w:pStyle w:val="14"/>
        <w:spacing w:line="360" w:lineRule="auto"/>
        <w:ind w:firstLine="482" w:firstLineChars="200"/>
        <w:rPr>
          <w:rFonts w:ascii="宋体" w:hAnsi="宋体" w:cs="宋体"/>
          <w:b/>
          <w:color w:val="000000" w:themeColor="text1"/>
          <w:sz w:val="24"/>
          <w:szCs w:val="24"/>
          <w:u w:val="single"/>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发包人：</w:t>
      </w:r>
      <w:r>
        <w:rPr>
          <w:rFonts w:hint="eastAsia" w:ascii="宋体" w:hAnsi="宋体"/>
          <w:b/>
          <w:color w:val="000000" w:themeColor="text1"/>
          <w:sz w:val="24"/>
          <w:szCs w:val="24"/>
          <w:u w:val="single"/>
          <w14:textFill>
            <w14:solidFill>
              <w14:schemeClr w14:val="tx1"/>
            </w14:solidFill>
          </w14:textFill>
        </w:rPr>
        <w:t>鄂尔多斯市政府投资项目代建中心</w:t>
      </w:r>
    </w:p>
    <w:p w14:paraId="5337D19A">
      <w:pPr>
        <w:ind w:firstLine="482" w:firstLineChars="200"/>
        <w:rPr>
          <w:rFonts w:ascii="宋体" w:hAnsi="宋体"/>
          <w:b/>
          <w:color w:val="000000" w:themeColor="text1"/>
          <w:sz w:val="24"/>
          <w:szCs w:val="24"/>
          <w:u w:val="single"/>
          <w14:textFill>
            <w14:solidFill>
              <w14:schemeClr w14:val="tx1"/>
            </w14:solidFill>
          </w14:textFill>
        </w:rPr>
      </w:pPr>
      <w:r>
        <w:rPr>
          <w:rFonts w:hint="eastAsia" w:cs="宋体"/>
          <w:b/>
          <w:color w:val="000000" w:themeColor="text1"/>
          <w:sz w:val="24"/>
          <w:szCs w:val="24"/>
          <w14:textFill>
            <w14:solidFill>
              <w14:schemeClr w14:val="tx1"/>
            </w14:solidFill>
          </w14:textFill>
        </w:rPr>
        <w:t>承包人：</w:t>
      </w:r>
      <w:r>
        <w:rPr>
          <w:rFonts w:hint="eastAsia" w:ascii="宋体" w:hAnsi="宋体"/>
          <w:b/>
          <w:color w:val="000000" w:themeColor="text1"/>
          <w:sz w:val="24"/>
          <w:szCs w:val="24"/>
          <w:u w:val="single"/>
          <w14:textFill>
            <w14:solidFill>
              <w14:schemeClr w14:val="tx1"/>
            </w14:solidFill>
          </w14:textFill>
        </w:rPr>
        <w:t xml:space="preserve">         </w:t>
      </w:r>
    </w:p>
    <w:p w14:paraId="1BB211DD">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7A5BF821">
      <w:pPr>
        <w:pStyle w:val="14"/>
        <w:spacing w:line="360" w:lineRule="auto"/>
        <w:ind w:firstLine="480" w:firstLineChars="200"/>
        <w:outlineLvl w:val="0"/>
        <w:rPr>
          <w:rFonts w:ascii="宋体" w:hAnsi="宋体" w:cs="宋体"/>
          <w:color w:val="000000" w:themeColor="text1"/>
          <w:sz w:val="24"/>
          <w:szCs w:val="24"/>
          <w14:textFill>
            <w14:solidFill>
              <w14:schemeClr w14:val="tx1"/>
            </w14:solidFill>
          </w14:textFill>
        </w:rPr>
      </w:pPr>
      <w:bookmarkStart w:id="0" w:name="_Toc454388504"/>
      <w:bookmarkStart w:id="1" w:name="_Toc480398099"/>
      <w:bookmarkStart w:id="2" w:name="_Toc481168519"/>
      <w:r>
        <w:rPr>
          <w:rFonts w:hint="eastAsia" w:ascii="宋体" w:hAnsi="宋体" w:cs="宋体"/>
          <w:color w:val="000000" w:themeColor="text1"/>
          <w:sz w:val="24"/>
          <w:szCs w:val="24"/>
          <w14:textFill>
            <w14:solidFill>
              <w14:schemeClr w14:val="tx1"/>
            </w14:solidFill>
          </w14:textFill>
        </w:rPr>
        <w:t>一、双方的责任</w:t>
      </w:r>
      <w:bookmarkEnd w:id="0"/>
      <w:bookmarkEnd w:id="1"/>
      <w:bookmarkEnd w:id="2"/>
    </w:p>
    <w:p w14:paraId="5072ECC2">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1.1应严格遵守国家关于建设工程的有关法律、法规，相关政策，以及廉政建设的各项规定。</w:t>
      </w:r>
    </w:p>
    <w:p w14:paraId="4DDCA842">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1.2严格执行建设工程合同文件，自觉按合同办事。</w:t>
      </w:r>
    </w:p>
    <w:p w14:paraId="089DEF9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549B30EB">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1.4发现对方在业务活动中有违规、违纪、违法行为的，应及时提醒对方，情节严重的，应向其上级主管部门或纪检监察、司法等有关机关举报。</w:t>
      </w:r>
    </w:p>
    <w:p w14:paraId="6618C0D1">
      <w:pPr>
        <w:pStyle w:val="14"/>
        <w:spacing w:line="360" w:lineRule="auto"/>
        <w:ind w:firstLine="480" w:firstLineChars="200"/>
        <w:outlineLvl w:val="0"/>
        <w:rPr>
          <w:rFonts w:ascii="宋体" w:hAnsi="宋体" w:cs="宋体"/>
          <w:color w:val="000000" w:themeColor="text1"/>
          <w:sz w:val="24"/>
          <w:szCs w:val="24"/>
          <w14:textFill>
            <w14:solidFill>
              <w14:schemeClr w14:val="tx1"/>
            </w14:solidFill>
          </w14:textFill>
        </w:rPr>
      </w:pPr>
      <w:bookmarkStart w:id="3" w:name="_Toc454388505"/>
      <w:bookmarkStart w:id="4" w:name="_Toc480398100"/>
      <w:bookmarkStart w:id="5" w:name="_Toc481168520"/>
      <w:r>
        <w:rPr>
          <w:rFonts w:hint="eastAsia" w:ascii="宋体" w:hAnsi="宋体" w:cs="宋体"/>
          <w:color w:val="000000" w:themeColor="text1"/>
          <w:sz w:val="24"/>
          <w:szCs w:val="24"/>
          <w14:textFill>
            <w14:solidFill>
              <w14:schemeClr w14:val="tx1"/>
            </w14:solidFill>
          </w14:textFill>
        </w:rPr>
        <w:t>二、发包人责任</w:t>
      </w:r>
      <w:bookmarkEnd w:id="3"/>
      <w:bookmarkEnd w:id="4"/>
      <w:bookmarkEnd w:id="5"/>
    </w:p>
    <w:p w14:paraId="06208FEC">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发包人的领导和从事该建设工程项目的工作人员，在工程建设的事前、事中、事后应遵守以下规定：</w:t>
      </w:r>
    </w:p>
    <w:p w14:paraId="5D121F59">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2.1不得向承包人和相关单位索要或接受回扣、礼金、有价证券、贵重物品和好处费、感谢费等。</w:t>
      </w:r>
    </w:p>
    <w:p w14:paraId="2A122DF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2.2不得在承包人和相关单位报销任何应由发包人或个人支付的费用。</w:t>
      </w:r>
    </w:p>
    <w:p w14:paraId="2F1EC407">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2.3不得要求、暗示或接受承包人和相关单位为个人装修住房、婚丧嫁娶、配偶子女的工作安排以及出国(境)、旅游等提供方便。</w:t>
      </w:r>
    </w:p>
    <w:p w14:paraId="199781BE">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2.4不得参加有可能影响公正执行公务的承包人和相关单位的宴请、健身、娱乐等活动。</w:t>
      </w:r>
    </w:p>
    <w:p w14:paraId="0669D8B3">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4D3E83A3">
      <w:pPr>
        <w:pStyle w:val="14"/>
        <w:spacing w:line="360" w:lineRule="auto"/>
        <w:ind w:firstLine="480" w:firstLineChars="200"/>
        <w:outlineLvl w:val="0"/>
        <w:rPr>
          <w:rFonts w:ascii="宋体" w:hAnsi="宋体" w:cs="宋体"/>
          <w:color w:val="000000" w:themeColor="text1"/>
          <w:sz w:val="24"/>
          <w:szCs w:val="24"/>
          <w14:textFill>
            <w14:solidFill>
              <w14:schemeClr w14:val="tx1"/>
            </w14:solidFill>
          </w14:textFill>
        </w:rPr>
      </w:pPr>
      <w:bookmarkStart w:id="6" w:name="_Toc481168521"/>
      <w:bookmarkStart w:id="7" w:name="_Toc480398101"/>
      <w:bookmarkStart w:id="8" w:name="_Toc454388506"/>
      <w:r>
        <w:rPr>
          <w:rFonts w:hint="eastAsia" w:ascii="宋体" w:hAnsi="宋体" w:cs="宋体"/>
          <w:color w:val="000000" w:themeColor="text1"/>
          <w:sz w:val="24"/>
          <w:szCs w:val="24"/>
          <w14:textFill>
            <w14:solidFill>
              <w14:schemeClr w14:val="tx1"/>
            </w14:solidFill>
          </w14:textFill>
        </w:rPr>
        <w:t>三、承包人责任</w:t>
      </w:r>
      <w:bookmarkEnd w:id="6"/>
      <w:bookmarkEnd w:id="7"/>
      <w:bookmarkEnd w:id="8"/>
    </w:p>
    <w:p w14:paraId="78934515">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67EA326B">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3.1不得以任何理由向发包人及其工作人员索要、接受或赠送礼金、有价证券、贵重物品及回扣、好处费、感谢费等。</w:t>
      </w:r>
    </w:p>
    <w:p w14:paraId="0A4EE40C">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3.2不得以任何理由为发包人和相关单位报销应由对方或个人支付的费用。</w:t>
      </w:r>
    </w:p>
    <w:p w14:paraId="569ED526">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3.3不得接受或暗示为发包人、相关单位或个人装修住房、婚丧嫁娶、配偶子女的工作安排以及出国(境)、旅游等提供方便。</w:t>
      </w:r>
    </w:p>
    <w:p w14:paraId="6D165541">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3.4不得以任何理由为发包人、相关单位或个人组织有可能影响公正执行公务的宴请、健身、娱乐等活动。</w:t>
      </w:r>
    </w:p>
    <w:p w14:paraId="43A43951">
      <w:pPr>
        <w:pStyle w:val="14"/>
        <w:spacing w:line="360" w:lineRule="auto"/>
        <w:ind w:firstLine="480" w:firstLineChars="200"/>
        <w:outlineLvl w:val="0"/>
        <w:rPr>
          <w:rFonts w:ascii="宋体" w:hAnsi="宋体" w:cs="宋体"/>
          <w:color w:val="000000" w:themeColor="text1"/>
          <w:sz w:val="24"/>
          <w:szCs w:val="24"/>
          <w14:textFill>
            <w14:solidFill>
              <w14:schemeClr w14:val="tx1"/>
            </w14:solidFill>
          </w14:textFill>
        </w:rPr>
      </w:pPr>
      <w:bookmarkStart w:id="9" w:name="_Toc481168522"/>
      <w:bookmarkStart w:id="10" w:name="_Toc454388507"/>
      <w:bookmarkStart w:id="11" w:name="_Toc480398102"/>
      <w:r>
        <w:rPr>
          <w:rFonts w:hint="eastAsia" w:ascii="宋体" w:hAnsi="宋体" w:cs="宋体"/>
          <w:color w:val="000000" w:themeColor="text1"/>
          <w:sz w:val="24"/>
          <w:szCs w:val="24"/>
          <w14:textFill>
            <w14:solidFill>
              <w14:schemeClr w14:val="tx1"/>
            </w14:solidFill>
          </w14:textFill>
        </w:rPr>
        <w:t>四、违约责任</w:t>
      </w:r>
      <w:bookmarkEnd w:id="9"/>
      <w:bookmarkEnd w:id="10"/>
      <w:bookmarkEnd w:id="11"/>
    </w:p>
    <w:p w14:paraId="4287E598">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220720E5">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4C75CCA3">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4.3本责任书作为建设工程合同的组成部分，与建设工程合同具有同等法律效力。经双方签署后立即生效。</w:t>
      </w:r>
    </w:p>
    <w:p w14:paraId="4EF3EFCC">
      <w:pPr>
        <w:pStyle w:val="14"/>
        <w:spacing w:line="360" w:lineRule="auto"/>
        <w:ind w:firstLine="480" w:firstLineChars="200"/>
        <w:outlineLvl w:val="0"/>
        <w:rPr>
          <w:rFonts w:ascii="宋体" w:hAnsi="宋体" w:cs="宋体"/>
          <w:color w:val="000000" w:themeColor="text1"/>
          <w:sz w:val="24"/>
          <w:szCs w:val="24"/>
          <w14:textFill>
            <w14:solidFill>
              <w14:schemeClr w14:val="tx1"/>
            </w14:solidFill>
          </w14:textFill>
        </w:rPr>
      </w:pPr>
      <w:bookmarkStart w:id="12" w:name="_Toc454388508"/>
      <w:bookmarkStart w:id="13" w:name="_Toc481168523"/>
      <w:bookmarkStart w:id="14" w:name="_Toc480398103"/>
      <w:r>
        <w:rPr>
          <w:rFonts w:hint="eastAsia" w:ascii="宋体" w:hAnsi="宋体" w:cs="宋体"/>
          <w:color w:val="000000" w:themeColor="text1"/>
          <w:sz w:val="24"/>
          <w:szCs w:val="24"/>
          <w14:textFill>
            <w14:solidFill>
              <w14:schemeClr w14:val="tx1"/>
            </w14:solidFill>
          </w14:textFill>
        </w:rPr>
        <w:t>五、责任书有效期</w:t>
      </w:r>
      <w:bookmarkEnd w:id="12"/>
      <w:bookmarkEnd w:id="13"/>
      <w:bookmarkEnd w:id="14"/>
    </w:p>
    <w:p w14:paraId="0081A093">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本责任书的有效期为双方签署之日起至该工程项目竣工验收合格时止。</w:t>
      </w:r>
      <w:r>
        <w:rPr>
          <w:rFonts w:ascii="宋体" w:hAnsi="宋体" w:cs="黑体"/>
          <w:b/>
          <w:color w:val="000000" w:themeColor="text1"/>
          <w:sz w:val="24"/>
          <w:szCs w:val="24"/>
          <w14:textFill>
            <w14:solidFill>
              <w14:schemeClr w14:val="tx1"/>
            </w14:solidFill>
          </w14:textFill>
        </w:rPr>
        <w:br w:type="page"/>
      </w:r>
      <w:r>
        <w:rPr>
          <w:rFonts w:hint="eastAsia" w:ascii="宋体" w:hAnsi="宋体" w:cs="黑体"/>
          <w:b/>
          <w:color w:val="000000" w:themeColor="text1"/>
          <w:sz w:val="24"/>
          <w:szCs w:val="24"/>
          <w14:textFill>
            <w14:solidFill>
              <w14:schemeClr w14:val="tx1"/>
            </w14:solidFill>
          </w14:textFill>
        </w:rPr>
        <w:t>附件三</w:t>
      </w:r>
    </w:p>
    <w:p w14:paraId="4E348F09">
      <w:pPr>
        <w:pStyle w:val="14"/>
        <w:spacing w:line="360" w:lineRule="auto"/>
        <w:jc w:val="center"/>
        <w:rPr>
          <w:rFonts w:ascii="宋体" w:hAnsi="宋体" w:cs="黑体"/>
          <w:b/>
          <w:color w:val="000000" w:themeColor="text1"/>
          <w:sz w:val="28"/>
          <w:szCs w:val="28"/>
          <w14:textFill>
            <w14:solidFill>
              <w14:schemeClr w14:val="tx1"/>
            </w14:solidFill>
          </w14:textFill>
        </w:rPr>
      </w:pPr>
      <w:r>
        <w:rPr>
          <w:rFonts w:hint="eastAsia" w:ascii="宋体" w:hAnsi="宋体" w:cs="黑体"/>
          <w:b/>
          <w:color w:val="000000" w:themeColor="text1"/>
          <w:sz w:val="28"/>
          <w:szCs w:val="28"/>
          <w14:textFill>
            <w14:solidFill>
              <w14:schemeClr w14:val="tx1"/>
            </w14:solidFill>
          </w14:textFill>
        </w:rPr>
        <w:t>建设工程安全生产责任书</w:t>
      </w:r>
    </w:p>
    <w:p w14:paraId="40B615F8">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办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657E8BA2">
      <w:pPr>
        <w:pStyle w:val="14"/>
        <w:numPr>
          <w:ilvl w:val="0"/>
          <w:numId w:val="3"/>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责任</w:t>
      </w:r>
    </w:p>
    <w:p w14:paraId="65E0E716">
      <w:pPr>
        <w:pStyle w:val="14"/>
        <w:numPr>
          <w:ilvl w:val="0"/>
          <w:numId w:val="4"/>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认真贯彻执行国家、自治区和市的安全生产方针、政策及法规；</w:t>
      </w:r>
    </w:p>
    <w:p w14:paraId="05C20B48">
      <w:pPr>
        <w:pStyle w:val="14"/>
        <w:numPr>
          <w:ilvl w:val="0"/>
          <w:numId w:val="4"/>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67744050">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3、项目部对列入建设工程预算的安全作业环境及安全措施所需费用，应用于施工安全中，不得挪作他用。</w:t>
      </w:r>
    </w:p>
    <w:p w14:paraId="1C145D6F">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4、项目部必须设立安全生产管理机构，配备专职安全生产管理人员不少于1人。</w:t>
      </w:r>
    </w:p>
    <w:p w14:paraId="1155515A">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384B3DFD">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6、实现目标管理，加大施工现场事故隐患治理力度，坚决遏制重特大安全事故发生，杜绝死亡事故的发生。如发生安全事故立即上报业主及相关单位。</w:t>
      </w:r>
    </w:p>
    <w:p w14:paraId="0B5872A3">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7、工程开工前15日内办理工程开工备案手续，将单位工程人员组织、安全文明施工投入、施工现场总平面图等信息准确填写，待业主批准后方可开工。</w:t>
      </w:r>
    </w:p>
    <w:p w14:paraId="4649BA4A">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8、工程开工前15日内办理安全报监手续，同时与建设单位、监理单位做好安全评估，签订防护用品费用预约。未办理安全报监的，不得开工。</w:t>
      </w:r>
    </w:p>
    <w:p w14:paraId="0D3D9B6F">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9、业主现场代表及监理负责安全管理工作。对施工单位的安全生产和管理具有监督、检查的权利。发包人不得要求承包人违反安全管理的规定进行施工。</w:t>
      </w:r>
    </w:p>
    <w:p w14:paraId="6F9F2755">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04831EE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11、其它未注明的责任详见国家、自治区和市法令法规。</w:t>
      </w:r>
    </w:p>
    <w:p w14:paraId="52BE8FC9">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二、安全管理目标承诺</w:t>
      </w:r>
    </w:p>
    <w:p w14:paraId="6139F2F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1、事故管理特大事故、重大事故为零；一般事故死亡率、重伤率为零；重大事故隐患整改率95%以上，一般事故隐患整改率90%以上；事故及时结案率100%. </w:t>
      </w:r>
    </w:p>
    <w:p w14:paraId="1F718085">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2、安全管理</w:t>
      </w:r>
    </w:p>
    <w:p w14:paraId="67B932D6">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（1）按照施工组织设计中采取的安全措施的项目执行率达到90%。</w:t>
      </w:r>
    </w:p>
    <w:p w14:paraId="6650B98A">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（2）施工现场每月组织2次由总监或项目经理组织的安全大检查。</w:t>
      </w:r>
    </w:p>
    <w:p w14:paraId="0575053F">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（3）施工现场各级职能人员岗位责任制、目标责任书执行率达到100%。</w:t>
      </w:r>
    </w:p>
    <w:p w14:paraId="521AC43B">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（4）施工现场设专职安全员不少于1人。</w:t>
      </w:r>
    </w:p>
    <w:p w14:paraId="1F657A07">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（5）脚手架及高处防护作业工程、施工用电、施工机械及物料运输提升设施验收合格率达到100%.</w:t>
      </w:r>
    </w:p>
    <w:p w14:paraId="797CD55D">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（6）施工现场各类机械、机电设备完好率达到100%。安全教育工人岗前三级教育率达到90%，特种工人持证上岗率达到100 %；施工管理人员安全培训率达到100%.</w:t>
      </w:r>
    </w:p>
    <w:p w14:paraId="38B11847">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三、奖罚</w:t>
      </w:r>
    </w:p>
    <w:p w14:paraId="2ED96EBF">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1、按照安监站标准进行考核 ，奖罚执行安全生产考核办法。</w:t>
      </w:r>
    </w:p>
    <w:p w14:paraId="77279938">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2、发生特大、重大伤亡事故，由施工单位对伤害人进行经济补偿，并给予项目经理100000元罚款，情节严重的交有关部门追究刑事责任。</w:t>
      </w:r>
    </w:p>
    <w:p w14:paraId="25B35F2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3、发生经济损失事故，造成直接经济损失大于10万元小于50万元者，罚项目经理10000元；直接经济损失在50～100万元之间者，罚项目经理50000元。</w:t>
      </w:r>
    </w:p>
    <w:p w14:paraId="651B8022">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4、发生伤亡事故不及时报告的，对项目经理罚款5000元，隐瞒事故不报或阻碍调查的，罚款20000元。</w:t>
      </w:r>
    </w:p>
    <w:p w14:paraId="1037FB51">
      <w:pPr>
        <w:pStyle w:val="14"/>
        <w:numPr>
          <w:ilvl w:val="0"/>
          <w:numId w:val="5"/>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项目部对列入建设工程预算的安全文明施工费应全部用于文明施工中，不得挪用，文明施工必须达到国家及地方政策要求，并与我办签订创城责任状。        6、施工单位拖欠农民工工资造成农民工合法权益受到损害，并对政府及社会造成不良影响的，给予项目经理罚款50000元，并给予施工单位通报处理。</w:t>
      </w:r>
    </w:p>
    <w:p w14:paraId="2C53D982">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w:t>
      </w:r>
    </w:p>
    <w:p w14:paraId="7E170844">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p>
    <w:p w14:paraId="62B8BDDA">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p>
    <w:p w14:paraId="6B89F2A9">
      <w:pPr>
        <w:pStyle w:val="14"/>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附件四、</w:t>
      </w:r>
    </w:p>
    <w:p w14:paraId="33F47E5A">
      <w:pPr>
        <w:pStyle w:val="14"/>
        <w:spacing w:line="360" w:lineRule="auto"/>
        <w:ind w:firstLine="562" w:firstLineChars="200"/>
        <w:jc w:val="center"/>
        <w:rPr>
          <w:rFonts w:ascii="宋体" w:hAnsi="宋体" w:cs="黑体"/>
          <w:b/>
          <w:color w:val="000000" w:themeColor="text1"/>
          <w:sz w:val="28"/>
          <w:szCs w:val="28"/>
          <w14:textFill>
            <w14:solidFill>
              <w14:schemeClr w14:val="tx1"/>
            </w14:solidFill>
          </w14:textFill>
        </w:rPr>
      </w:pPr>
      <w:r>
        <w:rPr>
          <w:rFonts w:hint="eastAsia" w:ascii="宋体" w:hAnsi="宋体" w:cs="黑体"/>
          <w:b/>
          <w:color w:val="000000" w:themeColor="text1"/>
          <w:sz w:val="28"/>
          <w:szCs w:val="28"/>
          <w14:textFill>
            <w14:solidFill>
              <w14:schemeClr w14:val="tx1"/>
            </w14:solidFill>
          </w14:textFill>
        </w:rPr>
        <w:t>鄂尔多斯市政府投资项目代建中心</w:t>
      </w:r>
    </w:p>
    <w:p w14:paraId="3A5E6C9A">
      <w:pPr>
        <w:pStyle w:val="14"/>
        <w:spacing w:line="360" w:lineRule="auto"/>
        <w:ind w:firstLine="562" w:firstLineChars="200"/>
        <w:jc w:val="center"/>
        <w:rPr>
          <w:rFonts w:ascii="仿宋_GB2312" w:hAnsi="仿宋_GB2312" w:eastAsia="仿宋_GB2312" w:cs="仿宋_GB2312"/>
          <w:color w:val="000000" w:themeColor="text1"/>
          <w:sz w:val="36"/>
          <w:szCs w:val="36"/>
          <w14:textFill>
            <w14:solidFill>
              <w14:schemeClr w14:val="tx1"/>
            </w14:solidFill>
          </w14:textFill>
        </w:rPr>
      </w:pPr>
      <w:r>
        <w:rPr>
          <w:rFonts w:hint="eastAsia" w:ascii="宋体" w:hAnsi="宋体" w:cs="黑体"/>
          <w:b/>
          <w:color w:val="000000" w:themeColor="text1"/>
          <w:sz w:val="28"/>
          <w:szCs w:val="28"/>
          <w14:textFill>
            <w14:solidFill>
              <w14:schemeClr w14:val="tx1"/>
            </w14:solidFill>
          </w14:textFill>
        </w:rPr>
        <w:t>农民工工资发放监督管理制度</w:t>
      </w:r>
    </w:p>
    <w:p w14:paraId="38D95758">
      <w:pPr>
        <w:pStyle w:val="8"/>
        <w:shd w:val="clear" w:color="auto" w:fill="FFFFFF"/>
        <w:adjustRightInd w:val="0"/>
        <w:snapToGrid w:val="0"/>
        <w:spacing w:before="0" w:beforeAutospacing="0" w:after="0" w:afterAutospacing="0" w:line="530" w:lineRule="exact"/>
        <w:ind w:firstLine="640" w:firstLineChars="200"/>
        <w:jc w:val="both"/>
        <w:rPr>
          <w:rFonts w:cs="宋体"/>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cs="宋体"/>
          <w:color w:val="000000" w:themeColor="text1"/>
          <w:sz w:val="24"/>
          <w:szCs w:val="24"/>
          <w14:textFill>
            <w14:solidFill>
              <w14:schemeClr w14:val="tx1"/>
            </w14:solidFill>
          </w14:textFill>
        </w:rPr>
        <w:t xml:space="preserve"> 为规范鄂尔多斯市政府投资项目代建中心建设项目农民工工资发放程序，治理拖欠克扣农民工工资问题，维护农民工合法权益，根据</w:t>
      </w:r>
      <w:r>
        <w:rPr>
          <w:rFonts w:hint="eastAsia" w:cs="宋体"/>
          <w:color w:val="000000" w:themeColor="text1"/>
          <w:sz w:val="24"/>
          <w:szCs w:val="24"/>
          <w:shd w:val="clear" w:color="auto" w:fill="FFFFFF"/>
          <w14:textFill>
            <w14:solidFill>
              <w14:schemeClr w14:val="tx1"/>
            </w14:solidFill>
          </w14:textFill>
        </w:rPr>
        <w:t>《国务院办公厅关于印发保障农民工工资支付工作考核办法的通知》（国办发〔2017〕96号）、《</w:t>
      </w:r>
      <w:r>
        <w:rPr>
          <w:rFonts w:hint="eastAsia" w:cs="宋体"/>
          <w:color w:val="000000" w:themeColor="text1"/>
          <w:sz w:val="24"/>
          <w:szCs w:val="24"/>
          <w:shd w:val="clear" w:color="auto" w:fill="FFFFFF"/>
          <w:lang w:bidi="ar"/>
          <w14:textFill>
            <w14:solidFill>
              <w14:schemeClr w14:val="tx1"/>
            </w14:solidFill>
          </w14:textFill>
        </w:rPr>
        <w:t>内蒙古自治区人民政府办公厅关于建立健全治理拖欠农牧民工工资问题长效机制的通知</w:t>
      </w:r>
      <w:r>
        <w:rPr>
          <w:rFonts w:hint="eastAsia" w:cs="宋体"/>
          <w:color w:val="000000" w:themeColor="text1"/>
          <w:sz w:val="24"/>
          <w:szCs w:val="24"/>
          <w:shd w:val="clear" w:color="auto" w:fill="FFFFFF"/>
          <w14:textFill>
            <w14:solidFill>
              <w14:schemeClr w14:val="tx1"/>
            </w14:solidFill>
          </w14:textFill>
        </w:rPr>
        <w:t>》（内政办字〔2018〕25号）、</w:t>
      </w:r>
      <w:r>
        <w:rPr>
          <w:rFonts w:hint="eastAsia" w:cs="宋体"/>
          <w:color w:val="000000" w:themeColor="text1"/>
          <w:sz w:val="24"/>
          <w:szCs w:val="24"/>
          <w:shd w:val="clear" w:color="auto" w:fill="FFFFFF"/>
          <w:lang w:bidi="ar"/>
          <w14:textFill>
            <w14:solidFill>
              <w14:schemeClr w14:val="tx1"/>
            </w14:solidFill>
          </w14:textFill>
        </w:rPr>
        <w:t>《鄂尔多斯市人民政府关于印发鄂尔多斯市保障农牧民工工资支付工作目标责任管理办法的通知》（鄂府发</w:t>
      </w:r>
      <w:r>
        <w:rPr>
          <w:rFonts w:hint="eastAsia" w:cs="宋体"/>
          <w:color w:val="000000" w:themeColor="text1"/>
          <w:sz w:val="24"/>
          <w:szCs w:val="24"/>
          <w:shd w:val="clear" w:color="auto" w:fill="FFFFFF"/>
          <w14:textFill>
            <w14:solidFill>
              <w14:schemeClr w14:val="tx1"/>
            </w14:solidFill>
          </w14:textFill>
        </w:rPr>
        <w:t>〔2018〕</w:t>
      </w:r>
      <w:r>
        <w:rPr>
          <w:rFonts w:hint="eastAsia" w:cs="宋体"/>
          <w:color w:val="000000" w:themeColor="text1"/>
          <w:sz w:val="24"/>
          <w:szCs w:val="24"/>
          <w14:textFill>
            <w14:solidFill>
              <w14:schemeClr w14:val="tx1"/>
            </w14:solidFill>
          </w14:textFill>
        </w:rPr>
        <w:t>59号</w:t>
      </w:r>
      <w:r>
        <w:rPr>
          <w:rFonts w:hint="eastAsia" w:cs="宋体"/>
          <w:color w:val="000000" w:themeColor="text1"/>
          <w:sz w:val="24"/>
          <w:szCs w:val="24"/>
          <w:shd w:val="clear" w:color="auto" w:fill="FFFFFF"/>
          <w:lang w:bidi="ar"/>
          <w14:textFill>
            <w14:solidFill>
              <w14:schemeClr w14:val="tx1"/>
            </w14:solidFill>
          </w14:textFill>
        </w:rPr>
        <w:t>）</w:t>
      </w:r>
      <w:r>
        <w:rPr>
          <w:rFonts w:hint="eastAsia" w:cs="宋体"/>
          <w:color w:val="000000" w:themeColor="text1"/>
          <w:sz w:val="24"/>
          <w:szCs w:val="24"/>
          <w14:textFill>
            <w14:solidFill>
              <w14:schemeClr w14:val="tx1"/>
            </w14:solidFill>
          </w14:textFill>
        </w:rPr>
        <w:t>和《</w:t>
      </w:r>
      <w:r>
        <w:rPr>
          <w:rFonts w:hint="eastAsia" w:cs="宋体"/>
          <w:color w:val="000000" w:themeColor="text1"/>
          <w:sz w:val="24"/>
          <w:szCs w:val="24"/>
          <w:shd w:val="clear" w:color="auto" w:fill="FFFFFF"/>
          <w:lang w:bidi="ar"/>
          <w14:textFill>
            <w14:solidFill>
              <w14:schemeClr w14:val="tx1"/>
            </w14:solidFill>
          </w14:textFill>
        </w:rPr>
        <w:t>鄂尔多斯市人民政府办公厅关于印发鄂尔多斯市保障农牧民工工资支付工作考核实施办法的通知</w:t>
      </w:r>
      <w:r>
        <w:rPr>
          <w:rFonts w:hint="eastAsia" w:cs="宋体"/>
          <w:color w:val="000000" w:themeColor="text1"/>
          <w:sz w:val="24"/>
          <w:szCs w:val="24"/>
          <w14:textFill>
            <w14:solidFill>
              <w14:schemeClr w14:val="tx1"/>
            </w14:solidFill>
          </w14:textFill>
        </w:rPr>
        <w:t>》（鄂府办发</w:t>
      </w:r>
      <w:r>
        <w:rPr>
          <w:rFonts w:hint="eastAsia" w:cs="宋体"/>
          <w:color w:val="000000" w:themeColor="text1"/>
          <w:sz w:val="24"/>
          <w:szCs w:val="24"/>
          <w:shd w:val="clear" w:color="auto" w:fill="FFFFFF"/>
          <w14:textFill>
            <w14:solidFill>
              <w14:schemeClr w14:val="tx1"/>
            </w14:solidFill>
          </w14:textFill>
        </w:rPr>
        <w:t>〔2018〕</w:t>
      </w:r>
      <w:r>
        <w:rPr>
          <w:rFonts w:hint="eastAsia" w:cs="宋体"/>
          <w:color w:val="000000" w:themeColor="text1"/>
          <w:sz w:val="24"/>
          <w:szCs w:val="24"/>
          <w14:textFill>
            <w14:solidFill>
              <w14:schemeClr w14:val="tx1"/>
            </w14:solidFill>
          </w14:textFill>
        </w:rPr>
        <w:t>92号）、《保障农民工工资支付条例》、《鄂尔多斯市政府投资项目代建中心关于印发开展民生领域农民工保障问题专项整治实施方案》</w:t>
      </w:r>
      <w:r>
        <w:rPr>
          <w:rFonts w:hint="eastAsia" w:cs="宋体"/>
          <w:color w:val="000000" w:themeColor="text1"/>
          <w:sz w:val="24"/>
          <w:szCs w:val="24"/>
          <w:shd w:val="clear" w:color="auto" w:fill="FFFFFF"/>
          <w:lang w:bidi="ar"/>
          <w14:textFill>
            <w14:solidFill>
              <w14:schemeClr w14:val="tx1"/>
            </w14:solidFill>
          </w14:textFill>
        </w:rPr>
        <w:t>（鄂代建发</w:t>
      </w:r>
      <w:r>
        <w:rPr>
          <w:rFonts w:hint="eastAsia" w:cs="宋体"/>
          <w:color w:val="000000" w:themeColor="text1"/>
          <w:sz w:val="24"/>
          <w:szCs w:val="24"/>
          <w:shd w:val="clear" w:color="auto" w:fill="FFFFFF"/>
          <w14:textFill>
            <w14:solidFill>
              <w14:schemeClr w14:val="tx1"/>
            </w14:solidFill>
          </w14:textFill>
        </w:rPr>
        <w:t>〔2019〕</w:t>
      </w:r>
      <w:r>
        <w:rPr>
          <w:rFonts w:hint="eastAsia" w:cs="宋体"/>
          <w:color w:val="000000" w:themeColor="text1"/>
          <w:sz w:val="24"/>
          <w:szCs w:val="24"/>
          <w14:textFill>
            <w14:solidFill>
              <w14:schemeClr w14:val="tx1"/>
            </w14:solidFill>
          </w14:textFill>
        </w:rPr>
        <w:t>8号</w:t>
      </w:r>
      <w:r>
        <w:rPr>
          <w:rFonts w:hint="eastAsia" w:cs="宋体"/>
          <w:color w:val="000000" w:themeColor="text1"/>
          <w:sz w:val="24"/>
          <w:szCs w:val="24"/>
          <w:shd w:val="clear" w:color="auto" w:fill="FFFFFF"/>
          <w:lang w:bidi="ar"/>
          <w14:textFill>
            <w14:solidFill>
              <w14:schemeClr w14:val="tx1"/>
            </w14:solidFill>
          </w14:textFill>
        </w:rPr>
        <w:t>）</w:t>
      </w:r>
      <w:r>
        <w:rPr>
          <w:rFonts w:hint="eastAsia" w:cs="宋体"/>
          <w:color w:val="000000" w:themeColor="text1"/>
          <w:sz w:val="24"/>
          <w:szCs w:val="24"/>
          <w14:textFill>
            <w14:solidFill>
              <w14:schemeClr w14:val="tx1"/>
            </w14:solidFill>
          </w14:textFill>
        </w:rPr>
        <w:t>等文件精神，特制定农民工工资发放管理制度，本制度由鄂尔多斯市政府投资项目代建中心负责解释。</w:t>
      </w:r>
    </w:p>
    <w:p w14:paraId="24C0E7BE">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第一条 费用缴纳及相关制度。鄂尔多斯市政府投资项目代建中心管辖的建设项目在办理施工许可证前依据相关规定必须检查施工企业缴纳农民工工资保障金和工伤保险情况。农民工工资保障金和工伤保险由施工总承包企业一次缴清，否则不予开工建设，同时要求每个项目总分包单位制定农民工工资管理制度和文件，并由建设单位、监理单位、施工单位等相关人员组成农民工维权工作领导小组。施工单位设专门负责农民工工资支付的劳资人员岗位，配备专职人员。</w:t>
      </w:r>
    </w:p>
    <w:p w14:paraId="34A3A129">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第二条 设立农民工工资专用账户。所有项目在支付第一次工程款前，市代建中心、施工单位、付款银行三方共同签订资金监管协议书，并同时设立农民工工资支付专用账户（建委监管项目除外，项目投资1500万元以下只办理三方监管账户）。专门用于支付农民工工资，在支付工程款时优先支付农民工工资。每月支付工程款时，应将当月实际产值的25%打入到农民工工资专用账户用于支付农民工工资。如施工单位当月申报的农民工工资总额高于该数值时，可以适当调高比例；如有剩余，可以转为下月农民工工资支付款。原则上该专用账户长期剩余款额不超30万元。</w:t>
      </w:r>
    </w:p>
    <w:p w14:paraId="0AF260E1">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第三条 建立实名登记制度。项目建设过程中聘用的农民工必须建立实名制登记表，并录入内蒙古自治区建筑从业人员实名制管理系统（维修改造工程除外），实名制登记表包括农民工的姓名、性别、身份证号码、岗位、户籍地址及现住址、用工起始时间、联系方式、用工方式、合同起止时间等相关信息。实名制登记表根据农民工的进出情况，做到随进随建。实名制登记表及农民工身份证复印件由施工单位劳资人员建立，经市代建中心工程管理科现场代表、监理单位代表审核确认后，由施工单位和项目组各保存一份，保存时间至完工后三年。</w:t>
      </w:r>
    </w:p>
    <w:p w14:paraId="43768F1B">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第四条 签订劳动合同。市代建中心的建设项目在雇用农民工时都必须由施工单位或劳务公司与劳动者签订用工合同，用工合同的签署应在工人进场实名登记后三日内完成，用工合同内容必须符合《劳动法》相关规定，合同格式要统一规范或使用专用合同。合同中必须明确工作岗位、工作内容、工作完成标准、工资标准、支付方式、违约处理方式等相关信息。用工合同必须由劳动者本人和有用工资格的施工单位签字盖章后生效，合同一式三份，施工单位和劳动者各一份，另一份交至劳动监察部门或市代建中心项目组工程管理科现场代表备案。</w:t>
      </w:r>
    </w:p>
    <w:p w14:paraId="6E8190FD">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第五条 建立考勤制度。原则上要求市代建中心所管辖的项目在工人上班入口处设立打卡机进行签到签退；同时要求施工单位劳资人员建立用工人员考勤，考勤登记可采用分专业、分班组或项目部统一考勤等方式。考勤信息以月为单位，经农民工本人、劳务公司和施工单位项目部相关人员签字确认，并经项目经理、监理单位代表、工程管理科现场代表审核后，由施工单位劳资人员和项目组工程管理科现场代表各自留存一份。</w:t>
      </w:r>
    </w:p>
    <w:p w14:paraId="7AC3A5C0">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第六条 制作工资表。施工单位每月应根据所签订用工合同的工资标准和考勤情况制作工资表。工资表中应包含劳动者姓名、身份证号、银行卡号、联系方式、应发工资、实发工资、欠薪金额等相关信息。工资表相关信息需经农民工本人签字确认并按手印，并由项目经理、监理单位代表、工程管理科现场代表审核确认。施工单位应根据用工合同约定按月足额发放农民工工资。</w:t>
      </w:r>
    </w:p>
    <w:p w14:paraId="455EC4B2">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第七条 公示农民工工资和考勤。各工程项目部必须在工地醒目位置设立考勤表、工资表信息标准公示牌，公示牌应有农民工的权利和义务、农民工工资和考勤公示栏、农民工维权工作领导小组等相关信息，并应有建设单位和相关部门的举报电话、举报信箱。农民工工资表和考勤表应每月固定时间进行公示，且公示时间不少于三天。</w:t>
      </w:r>
    </w:p>
    <w:p w14:paraId="4D5D8946">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第八条 工资发放。要求承建市代建中心项目的施工单位，必须为所有进场农民工办理银行工资卡，并按月足额发放农名工工资。所有农民工工资由协议银行根据已审批工资表直接从农民工工资专户中支付（短期工除外，短期工是指在本工程中劳动时间低于7天者），银行应将农民工工资支付清单回执交给施工单位和建设单位各一份。每月工程进度款优先支付农民工工资，施工单位在支付其他工程款时，应同时向建设单位提供一份农民工工资足额发放承诺书。</w:t>
      </w:r>
    </w:p>
    <w:p w14:paraId="30B1F734">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第九条 用人单位应当按照工资支付周期编制书面工资支付台账，并至少保存3年。书面工资支付台账应当包括用人单位名称，支付周期，支付日期，支付对象姓名、身份证号码、联系方式，工作时间，应发工资项目及数额，代扣、代缴、扣除项目和数额，实发工资数额，银行代发工资凭证或农民工签字等内容。用人单位向农民工支付工资时，应当提供农民工本人的工资清单。</w:t>
      </w:r>
    </w:p>
    <w:p w14:paraId="3413E984">
      <w:pPr>
        <w:adjustRightInd w:val="0"/>
        <w:snapToGrid w:val="0"/>
        <w:spacing w:line="53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第十条 责任落实。农民工工资发放管理工作是施工管理工作的一个重要组成部分，施工单位、监理单位、市代建中心应高度重视。施工单位负农民工工资发放的主体责任，应派专职人员负责落实该项工作；监理单位负监督责任，应派专门人员负责监督；市代建中心项目组长负监督责任，计划财务科负责监督农民工工资卡办理、农民工工资发放、检查核实等工作，工程管理科现场代表负责其余工作的监督，工程管理科负责农民工工资发放督查工作。</w:t>
      </w:r>
    </w:p>
    <w:p w14:paraId="126CA183">
      <w:pPr>
        <w:pStyle w:val="8"/>
        <w:shd w:val="clear" w:color="auto" w:fill="FFFFFF"/>
        <w:adjustRightInd w:val="0"/>
        <w:snapToGrid w:val="0"/>
        <w:spacing w:before="0" w:beforeAutospacing="0" w:after="0" w:afterAutospacing="0" w:line="530" w:lineRule="exact"/>
        <w:ind w:firstLine="480" w:firstLineChars="200"/>
        <w:jc w:val="both"/>
        <w:rPr>
          <w:rFonts w:cs="宋体"/>
          <w:color w:val="000000" w:themeColor="text1"/>
          <w:kern w:val="2"/>
          <w:sz w:val="24"/>
          <w:szCs w:val="24"/>
          <w14:textFill>
            <w14:solidFill>
              <w14:schemeClr w14:val="tx1"/>
            </w14:solidFill>
          </w14:textFill>
        </w:rPr>
      </w:pPr>
      <w:r>
        <w:rPr>
          <w:rFonts w:hint="eastAsia" w:cs="宋体"/>
          <w:color w:val="000000" w:themeColor="text1"/>
          <w:kern w:val="2"/>
          <w:sz w:val="24"/>
          <w:szCs w:val="24"/>
          <w14:textFill>
            <w14:solidFill>
              <w14:schemeClr w14:val="tx1"/>
            </w14:solidFill>
          </w14:textFill>
        </w:rPr>
        <w:t>第十一条 责任追究。市代建中心项目组、施工单位、监理单位必须层层把关，确保农民工工资及时、足额发放到位，严禁以包代管，杜绝由包工头代领等现象发生。农民工工资管理如未按上述管理制度执行，施工单位、监理单位未认真履行职责，在检查过程中存在较多问题，拖欠农民工工资或发生因拖欠工资导致的农民工投诉上访现象，市代建中心将根据情节轻重给予通报、扣除施工单位不低于5万元监理单位不低于2万元的违约金、在企业诚信档案中记不良记录等相关处罚，同时情节严重的建议建设行政主管部门记录该项目的项目经理和总监及施工单位和监理单位的不良行为，情节严重的记入黑名单。市代建中心的项目组长和项目组相关现场代表未认真履行职责，将视情节轻重追究相关责任。</w:t>
      </w:r>
    </w:p>
    <w:p w14:paraId="01718A40">
      <w:pPr>
        <w:pStyle w:val="14"/>
        <w:spacing w:line="360" w:lineRule="auto"/>
        <w:ind w:firstLine="480" w:firstLineChars="200"/>
        <w:rPr>
          <w:rFonts w:ascii="宋体" w:hAnsi="宋体" w:cs="宋体"/>
          <w:color w:val="000000" w:themeColor="text1"/>
          <w:sz w:val="24"/>
          <w:szCs w:val="24"/>
          <w14:textFill>
            <w14:solidFill>
              <w14:schemeClr w14:val="tx1"/>
            </w14:solidFill>
          </w14:textFill>
        </w:rPr>
      </w:pPr>
    </w:p>
    <w:p w14:paraId="529D8C20">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14:paraId="2ABA8119">
      <w:pPr>
        <w:keepNext/>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附件五</w:t>
      </w:r>
    </w:p>
    <w:p w14:paraId="6F68EF82">
      <w:pPr>
        <w:keepNext/>
        <w:suppressLineNumbers/>
        <w:spacing w:line="56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鄂尔多斯市政府投资项目代建中心工程施工管理制度</w:t>
      </w:r>
    </w:p>
    <w:p w14:paraId="71177488">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为了进一步规范施工管理，加强施工管理力度，使施工单位在建设工程安全、质量、进度、组织协调、农牧民工工资发放等方面有序工作，特制定本制度。</w:t>
      </w:r>
    </w:p>
    <w:p w14:paraId="71183750">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第一条 制定依据</w:t>
      </w:r>
    </w:p>
    <w:p w14:paraId="21AFC63A">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中华人民共和国建筑法》、《建筑工程施工质量验收统一标准》、《建设工程安全生产管理条例》、《建设工程质量管理条例》、《内蒙古自治区建设工程质量管理条例》、《鄂尔多斯市政府投资项目代建中心农民工工资发放监督管理制度》等相关管理规范及规定。</w:t>
      </w:r>
    </w:p>
    <w:p w14:paraId="32F8EC8C">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第二条 适用范围</w:t>
      </w:r>
    </w:p>
    <w:p w14:paraId="70D95B0C">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本制度适用于所有参与鄂尔多斯市政府投资项目代建中心项目建设的施工单位。</w:t>
      </w:r>
    </w:p>
    <w:p w14:paraId="4E01E248">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第三条 安全管理</w:t>
      </w:r>
    </w:p>
    <w:p w14:paraId="701CD335">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施工单位必须按照安全文明施工要求进行施工。安全管理实行一票否决制，如发生较大安全事故的施工单位两年内不得参加市代建中心项目投标活动。</w:t>
      </w:r>
    </w:p>
    <w:p w14:paraId="37420544">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施工单位在开工之日起二十一日内必须组织编制安全施工组织设计、安全管理制度、安全管理措施，并完成审批。危大工程实施前，完成专项实施方案的编制并组织专家论证，严格按论证通过后的方案实施。</w:t>
      </w:r>
    </w:p>
    <w:p w14:paraId="1C0E9626">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施工单位应按要求足额投入安全文明措施费用，不得截留安全文明措施费。</w:t>
      </w:r>
    </w:p>
    <w:p w14:paraId="7C709DC7">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施工单位应按要求派足专职安全员。专职安全员须每日检查施工现场，做好安全检查记录，如发现安全隐患，应及时提出整改意见，并尽快消除安全隐患。</w:t>
      </w:r>
    </w:p>
    <w:p w14:paraId="47B8D752">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施工单位在工人进场后对其进行“三级安全教育”，认真进行安全技术交底，实施安全防护措施，落实安全文明施工各项内容。</w:t>
      </w:r>
    </w:p>
    <w:p w14:paraId="017297CB">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施工单位必须做到工完场清，所有施工区域保持干净整洁；必须做到安全文明施工，否则不予支付相应的安全文明措施费。</w:t>
      </w:r>
    </w:p>
    <w:p w14:paraId="20B47B92">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施工单位应积极配合项目组每周组织相关人员进行安全检查，市代建中心每两月组织一次安全检查。</w:t>
      </w:r>
    </w:p>
    <w:p w14:paraId="64A479BF">
      <w:pPr>
        <w:keepNext/>
        <w:numPr>
          <w:ilvl w:val="0"/>
          <w:numId w:val="6"/>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施工单位应有效贯彻落实市代建中心的工程安全管理相关指令。</w:t>
      </w:r>
    </w:p>
    <w:p w14:paraId="310948F6">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第四条 质量管理</w:t>
      </w:r>
    </w:p>
    <w:p w14:paraId="447920D9">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施工单位应按投标文件要求建立项目组织机构，建立质量保证体系，健全管理制度。</w:t>
      </w:r>
    </w:p>
    <w:p w14:paraId="4F4C25F2">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施工单位应认真审阅图纸并认真参加由工程技术科组织的图纸会审及技术交底，并及时整理会审纪要。</w:t>
      </w:r>
    </w:p>
    <w:p w14:paraId="37F4BA0D">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不得擅自修改施工图纸，如图纸中确有错误和缺陷，必须以书面形式提出，经工程技术科和设计单位审查属实且审批同意后，方可按变更实施。因施工单位的原因在图纸会审中未提出造成返工的，市代建中心不予支付返工费用。</w:t>
      </w:r>
    </w:p>
    <w:p w14:paraId="586C1818">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施工单位应在工程开工之日起二十一日内报详细的施工组织设计，各专项施工在开始实施前报专项施工方案。</w:t>
      </w:r>
    </w:p>
    <w:p w14:paraId="4C5DD3DE">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施工单位应严格按照已审批的施工组织设计和施工方案进行施工，不得随意、擅自更改施工组织设计和施工方案，否则不予结算措施费。</w:t>
      </w:r>
    </w:p>
    <w:p w14:paraId="62E9A85D">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严把工程中原材料、设备、成品、半成品的质量关，严格按要求执行见证取样制度。所有进场材料要有出厂合格证、材料出厂检验报告，并按规范要求进行复检。如不按批次复检或复检不合格，要求施工单位立即对该材料进行退场并按要求办理退场手续。</w:t>
      </w:r>
    </w:p>
    <w:p w14:paraId="6253CA94">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所有进场材料、设备须报验监理单位，报审、复检合格后方可投入使用。市代建中心现场代表应随机抽查进场材料、设备，如抽查不合格，按第（六）条处理。</w:t>
      </w:r>
    </w:p>
    <w:p w14:paraId="0EA820D9">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市代建中心对工程所用的原材料、设备、成品、半成品有品牌或技术指标要求的，应严格按照市代建中心要求执行，样品确定后进行现场封样。封样样品由工程技术科和监理各封存一份。如施工单位使用的材料比样品材料档次低，则不予结算该部分工程款。</w:t>
      </w:r>
    </w:p>
    <w:p w14:paraId="38B6D434">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隐蔽工程须经监理单位、市代建中心项目组验收合格后，方可进行下道工序施工。如隐蔽工程未达到验收条件，施工单位应采取措施进行整改，待合格后，通知监理单位重新检查验收。监理单位验收合格的，通知市代建中心现场代表进行复验。</w:t>
      </w:r>
    </w:p>
    <w:p w14:paraId="124C5167">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对于给排水、暖通、通风、电气安装、设备安装的试压、试水、试运转与调试，施工单位必须通知设备安装与维护管理科现场代表全过程参加并在试验记录上签字确认。</w:t>
      </w:r>
    </w:p>
    <w:p w14:paraId="708F9826">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所有的变更（包括设计变更、现场变更）必须先审批后实施。施工单位提前实施未经审批的变更不予计费。施工单位应在收到变更指示的十四天内上报变更审批单。</w:t>
      </w:r>
    </w:p>
    <w:p w14:paraId="03B8B87B">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施工单位应积极配合项目组每周组织相关人员进行质量检查，市代建中心工程管理科组织科室人员、设备安装与维护管理科科室人员及监理单位相关人员每两月进行质量检查。</w:t>
      </w:r>
    </w:p>
    <w:p w14:paraId="163E04C8">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施工单位应严格按施工及验收规范、技术规程、技术标准、质量检验评定标准执行，不得降低合同质量目标。</w:t>
      </w:r>
    </w:p>
    <w:p w14:paraId="4018B256">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施工单位应严格执行施工合同内容，配合项目组、合同管理科检查合同的执行情况，履约完毕由合同管理科和项目组共同出具合同评价报告，合同评价报告是施工企业诚信档案的重要资料。</w:t>
      </w:r>
    </w:p>
    <w:p w14:paraId="0131FD91">
      <w:pPr>
        <w:keepNext/>
        <w:numPr>
          <w:ilvl w:val="0"/>
          <w:numId w:val="7"/>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施工单位应有效贯彻落实市代建中心的工程质量管理相关指令。</w:t>
      </w:r>
    </w:p>
    <w:p w14:paraId="4C915CEE">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第五条 进度管理</w:t>
      </w:r>
    </w:p>
    <w:p w14:paraId="04BE61D6">
      <w:pPr>
        <w:keepNext/>
        <w:numPr>
          <w:ilvl w:val="0"/>
          <w:numId w:val="8"/>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施工单位应在开工之日起二十一日内组织相关人员编制项目的总进度计划，根据总进度计划的规定，编制主要物资采购、主要分包单位进场、大型机具设备进场等施工中重要环节的进度计划。</w:t>
      </w:r>
    </w:p>
    <w:p w14:paraId="2C42A32F">
      <w:pPr>
        <w:keepNext/>
        <w:numPr>
          <w:ilvl w:val="0"/>
          <w:numId w:val="8"/>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施工单位应严格控制工程进度，严格按审批进度计划执行，如出现工程进度滞后，应查明原因并立即采取赶工措施。</w:t>
      </w:r>
    </w:p>
    <w:p w14:paraId="3B61C1A1">
      <w:pPr>
        <w:keepNext/>
        <w:numPr>
          <w:ilvl w:val="0"/>
          <w:numId w:val="8"/>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工程竣工验收日期提前五天或滞后五天，我中心视为符合合同约定工期。</w:t>
      </w:r>
    </w:p>
    <w:p w14:paraId="31F30852">
      <w:pPr>
        <w:keepNext/>
        <w:numPr>
          <w:ilvl w:val="0"/>
          <w:numId w:val="8"/>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施工单位应按市代建中心规定日期每月申请工程进度款，逾期未报的不得影响工程施工进度。</w:t>
      </w:r>
    </w:p>
    <w:p w14:paraId="26B37EDA">
      <w:pPr>
        <w:keepNext/>
        <w:numPr>
          <w:ilvl w:val="0"/>
          <w:numId w:val="8"/>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施工单位应有效贯彻落实市代建中心的工程进度管理相关指令。</w:t>
      </w:r>
    </w:p>
    <w:p w14:paraId="0A27A5DE">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第六条 农民工工资管理 </w:t>
      </w:r>
    </w:p>
    <w:p w14:paraId="59F72BC5">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（一）施工单位应严格按《鄂尔多斯市政府投资项目代建中心农民工工资发放监督管理制度》的规定执行。</w:t>
      </w:r>
    </w:p>
    <w:p w14:paraId="1F8862E5">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（二）施工单位自用工之日起即与劳动者建立劳动关系，应当签订书面劳动合同。</w:t>
      </w:r>
    </w:p>
    <w:p w14:paraId="43B32661">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（三）劳动合同必须使用规范的文本，一式两份，用工单位和劳动者各持一份。</w:t>
      </w:r>
    </w:p>
    <w:p w14:paraId="680F6505">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（四）施工单位和农民工应当严格履行劳动合同约定和义务。</w:t>
      </w:r>
    </w:p>
    <w:p w14:paraId="0665C6E7">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（五）施工单位需在银行建立农民工工资专用账户，用于支付农民工工资。</w:t>
      </w:r>
    </w:p>
    <w:p w14:paraId="43DD8FA6">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（六）施工单位应按时足额支付农民工工资，不得拖欠或克扣。如发现拖欠或克扣农民工工资，市代建中心将直接从工程款中扣除相关费用，不与施工单位办理任何支付手续。</w:t>
      </w:r>
    </w:p>
    <w:p w14:paraId="66F41C16">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第七条 资料管理</w:t>
      </w:r>
    </w:p>
    <w:p w14:paraId="063803AD">
      <w:pPr>
        <w:keepNext/>
        <w:numPr>
          <w:ilvl w:val="0"/>
          <w:numId w:val="9"/>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施工单位的施工资料必须与施工进度同步，资料应真实有效，并及时整理归档。</w:t>
      </w:r>
    </w:p>
    <w:p w14:paraId="70D021AE">
      <w:pPr>
        <w:keepNext/>
        <w:numPr>
          <w:ilvl w:val="0"/>
          <w:numId w:val="9"/>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施工单位必须按照市代建中心要求及时办理工程和资料的移交手续，并出具设备的使用说明书。</w:t>
      </w:r>
    </w:p>
    <w:p w14:paraId="2E156B11">
      <w:pPr>
        <w:keepNext/>
        <w:numPr>
          <w:ilvl w:val="0"/>
          <w:numId w:val="9"/>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施工单位须配合建设单位在竣工验收十五日内完成工程竣工相关手续。</w:t>
      </w:r>
    </w:p>
    <w:p w14:paraId="2813AE6F">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第八条 其他方面管理</w:t>
      </w:r>
    </w:p>
    <w:p w14:paraId="30105404">
      <w:pPr>
        <w:numPr>
          <w:ilvl w:val="0"/>
          <w:numId w:val="10"/>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市代建中心对施工单位进行的各项检查和考核，施工单位应积极配合并完成存在问题的整改及回复。</w:t>
      </w:r>
    </w:p>
    <w:p w14:paraId="10CB1276">
      <w:pPr>
        <w:numPr>
          <w:ilvl w:val="0"/>
          <w:numId w:val="10"/>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市代建中心每季度组织相关人员对施工单位进行考核，并将考核结果记入企业诚信档案。</w:t>
      </w:r>
    </w:p>
    <w:p w14:paraId="3A2C7E66">
      <w:pPr>
        <w:keepNext/>
        <w:suppressLineNumbers/>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第九条 奖惩条例</w:t>
      </w:r>
    </w:p>
    <w:p w14:paraId="506B60F8">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对于能够提出合理化建议并被采纳的施工单位，给予不低于五万元的奖励。</w:t>
      </w:r>
    </w:p>
    <w:p w14:paraId="69A04743">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对于及时发现设计、决策、管理失误并挽回损失的施工单位，给予不低于五万元的奖励。</w:t>
      </w:r>
    </w:p>
    <w:p w14:paraId="63F52421">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对于年度考核业绩突出的施工单位，给予不低于五万元的奖励。</w:t>
      </w:r>
    </w:p>
    <w:p w14:paraId="43302BFB">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对于违反安全方面有关条例的施工单位，应根据情节扣除不低于五万元的违约金。</w:t>
      </w:r>
    </w:p>
    <w:p w14:paraId="22AB9AFF">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对于违反质量方面有关条例的施工单位，应根据情节扣除不低于五万元的违约金。</w:t>
      </w:r>
    </w:p>
    <w:p w14:paraId="01E1930E">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对于违反进度方面有关条例的施工单位，应根据情节扣除不低于两万元的违约金。</w:t>
      </w:r>
    </w:p>
    <w:p w14:paraId="17432BC6">
      <w:pPr>
        <w:numPr>
          <w:ilvl w:val="0"/>
          <w:numId w:val="11"/>
        </w:numPr>
        <w:spacing w:line="56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对于违反农民工工资管理有关条例的施工单位，应根据情节给予通报、扣除不低于五万元的违约金、在企业诚信档案中记不良记录等相关处罚。</w:t>
      </w:r>
    </w:p>
    <w:p w14:paraId="083C82A4">
      <w:pPr>
        <w:keepNext/>
        <w:numPr>
          <w:ilvl w:val="0"/>
          <w:numId w:val="11"/>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对于违反其他方面有关条例的施工单位，应根据情节扣除不低于两万元的违约金。</w:t>
      </w:r>
    </w:p>
    <w:p w14:paraId="5C995550">
      <w:pPr>
        <w:keepNext/>
        <w:numPr>
          <w:ilvl w:val="0"/>
          <w:numId w:val="11"/>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项目经理必须实行带班制。有事外出两日以上者，须履行请假手续，否则扣除违约金每人每日两千元。</w:t>
      </w:r>
    </w:p>
    <w:p w14:paraId="46E35F6A">
      <w:pPr>
        <w:keepNext/>
        <w:numPr>
          <w:ilvl w:val="0"/>
          <w:numId w:val="11"/>
        </w:numPr>
        <w:suppressLineNumbers/>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施工单位发生一起安全或质量事故，记一次不良记录，并建议建设主管部门取消其两年内在市代建中心的投标资格。</w:t>
      </w:r>
    </w:p>
    <w:p w14:paraId="45B44CB0">
      <w:pPr>
        <w:keepNext/>
        <w:suppressLineNumbers/>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第十条 附则</w:t>
      </w:r>
    </w:p>
    <w:p w14:paraId="32B2F3B6">
      <w:pPr>
        <w:adjustRightInd w:val="0"/>
        <w:snapToGrid w:val="0"/>
        <w:spacing w:line="560" w:lineRule="exact"/>
        <w:ind w:firstLine="720" w:firstLineChars="300"/>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本制度自2020年1月1日起施行。2020年1月1日原市基建办公布的《工程施工管理制度》同时废止。</w:t>
      </w:r>
    </w:p>
    <w:p w14:paraId="7B70CB4A">
      <w:pPr>
        <w:spacing w:line="560" w:lineRule="exact"/>
        <w:rPr>
          <w:rFonts w:ascii="宋体" w:hAnsi="宋体" w:cs="宋体"/>
          <w:b/>
          <w:bCs/>
          <w:color w:val="000000" w:themeColor="text1"/>
          <w:sz w:val="24"/>
          <w:szCs w:val="24"/>
          <w14:textFill>
            <w14:solidFill>
              <w14:schemeClr w14:val="tx1"/>
            </w14:solidFill>
          </w14:textFill>
        </w:rPr>
        <w:sectPr>
          <w:pgSz w:w="11906" w:h="16838"/>
          <w:pgMar w:top="1418" w:right="1555" w:bottom="1418" w:left="1531" w:header="851" w:footer="992" w:gutter="0"/>
          <w:cols w:space="720" w:num="1"/>
          <w:titlePg/>
          <w:docGrid w:type="lines" w:linePitch="312" w:charSpace="0"/>
        </w:sectPr>
      </w:pPr>
    </w:p>
    <w:p w14:paraId="222C85C5">
      <w:pPr>
        <w:spacing w:line="560" w:lineRule="exact"/>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附件六</w:t>
      </w:r>
    </w:p>
    <w:p w14:paraId="54F22DBD">
      <w:pPr>
        <w:spacing w:line="56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鄂尔多斯市政府投资项目代建中心项目变更管理制度</w:t>
      </w:r>
    </w:p>
    <w:p w14:paraId="21A380E3">
      <w:pPr>
        <w:adjustRightInd w:val="0"/>
        <w:snapToGrid w:val="0"/>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为了进一步规范鄂尔多斯市政府投资项目代建中心建设项目工程变更程序，明确相关单位及人员职责，加快工程变更审批、结算进度，有效控制建设项目投资。依据建设工程相关法律、法规制定本制度。</w:t>
      </w:r>
    </w:p>
    <w:p w14:paraId="61EEE02D">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第一条 依据市政府相关规定，政府投资项目原则上不允许发生提高建设标准或较大功能改变的设计变更，如在项目实施过程中确需变更的，应提前审批确认，然后实施。审批未通过或未经审批的一律不予实施，不予记取费用；变更未审批先实施造成的损失由施工单位承担费用，如给建设单位造成损失将追究项目分管领导、项目组长及项目组相关人员的责任。</w:t>
      </w:r>
    </w:p>
    <w:p w14:paraId="3311282B">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第二条 使用单位在设计阶段应积极参与方案审核，方案一经确认原则上不允许发生变更，如在实施过程中确需变更，必须以书面形式提出申请，报市代建中心项目分管领导审批同意后，按相关变更程序执行。</w:t>
      </w:r>
    </w:p>
    <w:p w14:paraId="07F5FFD9">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第三条 设计变更、现场洽商和现场签证，须施工单位填写工程变更申请审批单（样表一附后），审批单要详细说明变更的内容、原因、涉及造价、实施方式、计划工期等内容。</w:t>
      </w:r>
      <w:r>
        <w:rPr>
          <w:rFonts w:hint="eastAsia" w:ascii="宋体" w:hAnsi="宋体" w:cs="宋体"/>
          <w:b/>
          <w:bCs/>
          <w:color w:val="000000" w:themeColor="text1"/>
          <w:sz w:val="24"/>
          <w:szCs w:val="24"/>
          <w14:textFill>
            <w14:solidFill>
              <w14:schemeClr w14:val="tx1"/>
            </w14:solidFill>
          </w14:textFill>
        </w:rPr>
        <w:t>审批单由工程预决算科代表、项目组长、项目分管领导审批确认后方可实施。变更审批原则上要求从变更申请提出至审批完成在十四天之内完成。</w:t>
      </w:r>
    </w:p>
    <w:p w14:paraId="037C8A1B">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第四条 设计变更由工程技术科现场代表负责收集资料、审查和确认；现场洽商或现场签证由工程管理科现场代表负责收集资料、审查和确认；设备专业的现场变更由设备安装与维护管理科现场代表负责收集资料、审查和确认。工程管理科（设备安装与维护管理科）现场代表同时负责监督相关变更的实施。工程预决算科现场代表负责变更的现场核量、认价计价、审核工作。</w:t>
      </w:r>
    </w:p>
    <w:p w14:paraId="46184EA2">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第五条 工程变更、工程签证申请审批单由市代建中心项目分管领导组织相关人员集中签字，集中确认签字前需相关科室现场代表提供</w:t>
      </w:r>
      <w:r>
        <w:rPr>
          <w:rFonts w:hint="eastAsia" w:ascii="宋体" w:hAnsi="宋体" w:cs="宋体"/>
          <w:b/>
          <w:bCs/>
          <w:color w:val="000000" w:themeColor="text1"/>
          <w:sz w:val="24"/>
          <w:szCs w:val="24"/>
          <w14:textFill>
            <w14:solidFill>
              <w14:schemeClr w14:val="tx1"/>
            </w14:solidFill>
          </w14:textFill>
        </w:rPr>
        <w:t>使用</w:t>
      </w:r>
      <w:r>
        <w:rPr>
          <w:rFonts w:hint="eastAsia" w:ascii="宋体" w:hAnsi="宋体" w:cs="宋体"/>
          <w:color w:val="000000" w:themeColor="text1"/>
          <w:sz w:val="24"/>
          <w:szCs w:val="24"/>
          <w14:textFill>
            <w14:solidFill>
              <w14:schemeClr w14:val="tx1"/>
            </w14:solidFill>
          </w14:textFill>
        </w:rPr>
        <w:t>单位的书面申请文件、完整有效的变更图纸和相对准确的变更估算价，估算价原则上应大于实际发生的全部变更造价，所有变更签字人员必须明确签署意见。</w:t>
      </w:r>
    </w:p>
    <w:p w14:paraId="5C0A1A7F">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第六条 工程洽商记录（样表二附后）是工程变更结算的依据。工程洽商记录由施工单位负责填写，填写的内容应与工程变更申请审批单内容一致，如不一致造成的损失由施工单位负责。工程洽商记录由项目组长组织相关人员集中签字确认。</w:t>
      </w:r>
      <w:r>
        <w:rPr>
          <w:rFonts w:hint="eastAsia" w:ascii="宋体" w:hAnsi="宋体" w:cs="宋体"/>
          <w:b/>
          <w:bCs/>
          <w:color w:val="000000" w:themeColor="text1"/>
          <w:sz w:val="24"/>
          <w:szCs w:val="24"/>
          <w14:textFill>
            <w14:solidFill>
              <w14:schemeClr w14:val="tx1"/>
            </w14:solidFill>
          </w14:textFill>
        </w:rPr>
        <w:t>工程洽商记录、变更图纸由相关科室现场代表、项目组长、分管领导签字确认后按印章使用制度办理盖章手续，并加盖骑缝章。</w:t>
      </w:r>
      <w:r>
        <w:rPr>
          <w:rFonts w:hint="eastAsia" w:ascii="宋体" w:hAnsi="宋体" w:cs="宋体"/>
          <w:color w:val="000000" w:themeColor="text1"/>
          <w:sz w:val="24"/>
          <w:szCs w:val="24"/>
          <w14:textFill>
            <w14:solidFill>
              <w14:schemeClr w14:val="tx1"/>
            </w14:solidFill>
          </w14:textFill>
        </w:rPr>
        <w:t>工程预决算现场代表签署意见时，必须复核工程洽商记录与工程变更申请审批单内容是否一致，同时负责对工程变更资料的完整性进行审查。变更审批单与工程洽商记录完成签字盖章后即作为正式结算资料。</w:t>
      </w:r>
    </w:p>
    <w:p w14:paraId="39E5FB3E">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第七条 工程变更实行一变更一结算，变更审批完成后二十八日内应完成结算。如因施工单位原因无法完成变更结算，则不予支付当月工程进度款，并无条件接受跟踪审计计算结果；如因跟踪审计原因无法完成变更结算，则按市代建中心跟踪审计考核办法给予处罚。</w:t>
      </w:r>
    </w:p>
    <w:p w14:paraId="0D669ADA">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第八条 工程同一部位原则上只能变更一次，无特殊理由不得进行多次变更。如变更中既有增加造价的变更，又有减少造价的变更，施工单位办理增加造价的变更，同时应办理核减造价的变更，如不按要求办理，一经查实，责任由施工单位承担，并按核减造价变更的双倍金额进行扣除，同时监理单位、跟踪审计单位负连带责任。</w:t>
      </w:r>
    </w:p>
    <w:p w14:paraId="785F716A">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第九条 变更总金额由项目分管领导和项目组长负责控制。项目组长每月向项目分管领导集中汇报一次变更情况。</w:t>
      </w:r>
    </w:p>
    <w:p w14:paraId="405D29A0">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第十条 如遇下列情况，可以实行先变更再审批，但必须在事后三天内办理审批：</w:t>
      </w:r>
    </w:p>
    <w:p w14:paraId="789B640F">
      <w:pPr>
        <w:numPr>
          <w:ilvl w:val="0"/>
          <w:numId w:val="12"/>
        </w:num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涉及安全、质量突发性事件的；</w:t>
      </w:r>
    </w:p>
    <w:p w14:paraId="70E14A54">
      <w:pPr>
        <w:numPr>
          <w:ilvl w:val="0"/>
          <w:numId w:val="12"/>
        </w:num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直接影响施工现场施工，即变更不确认会造成现场大范围停工的。</w:t>
      </w:r>
    </w:p>
    <w:p w14:paraId="4CF68D63">
      <w:pPr>
        <w:adjustRightInd w:val="0"/>
        <w:snapToGrid w:val="0"/>
        <w:spacing w:line="5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s="宋体"/>
          <w:b/>
          <w:bCs/>
          <w:color w:val="000000" w:themeColor="text1"/>
          <w:sz w:val="24"/>
          <w:szCs w:val="24"/>
          <w14:textFill>
            <w14:solidFill>
              <w14:schemeClr w14:val="tx1"/>
            </w14:solidFill>
          </w14:textFill>
        </w:rPr>
        <w:t xml:space="preserve"> 第十一条 市代建中心所管辖的项目必须建立工程变更管理台账，记录工程变更、工程签证等相关信息，变更管理台账（样表三附后）在施工期间由项目组负责保管，待工程竣工验收后移交至预算科保管。</w:t>
      </w:r>
    </w:p>
    <w:p w14:paraId="22E7A3B8">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第十二条 工程建设期间，所有变更资料由项目组相关现场代表负责整理归档，项目竣工后移交预算科存档。工程洽商记录表一式四份，施工单位一份，监理单位一份，预算科一份，跟踪审计单位一份。</w:t>
      </w:r>
    </w:p>
    <w:p w14:paraId="5C902AA6">
      <w:pPr>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第十三条 本制度由鄂尔多斯市政府投资项目代建中心负责解释。</w:t>
      </w:r>
    </w:p>
    <w:p w14:paraId="73BEC171">
      <w:pPr>
        <w:keepNext/>
        <w:suppressLineNumbers/>
        <w:adjustRightInd w:val="0"/>
        <w:snapToGrid w:val="0"/>
        <w:spacing w:line="560" w:lineRule="exact"/>
        <w:ind w:firstLine="480" w:firstLineChars="200"/>
        <w:rPr>
          <w:rFonts w:ascii="宋体" w:hAnsi="宋体" w:cs="宋体"/>
          <w:color w:val="000000" w:themeColor="text1"/>
          <w:sz w:val="24"/>
          <w:szCs w:val="24"/>
          <w14:textFill>
            <w14:solidFill>
              <w14:schemeClr w14:val="tx1"/>
            </w14:solidFill>
          </w14:textFill>
        </w:rPr>
      </w:pPr>
    </w:p>
    <w:p w14:paraId="2B12699B">
      <w:pPr>
        <w:spacing w:line="360" w:lineRule="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备注：以下制度均为合同的组成部分</w:t>
      </w:r>
    </w:p>
    <w:p w14:paraId="1F4AE433">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工程管理实施制度》</w:t>
      </w:r>
    </w:p>
    <w:p w14:paraId="277F3EF2">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工程质量验收管理制度》；</w:t>
      </w:r>
    </w:p>
    <w:p w14:paraId="41760D11">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施工单位履约评价管理制度》；</w:t>
      </w:r>
    </w:p>
    <w:p w14:paraId="5CEAA201">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园林绿化工程验收制度》；</w:t>
      </w:r>
    </w:p>
    <w:p w14:paraId="2A25BB9D">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工验工计价及进度款支付管理流程》；</w:t>
      </w:r>
    </w:p>
    <w:p w14:paraId="3CA6E08A">
      <w:pPr>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鄂尔多斯市政府投资项目代建中心</w:t>
      </w:r>
      <w:r>
        <w:rPr>
          <w:rFonts w:hint="eastAsia" w:ascii="宋体" w:hAnsi="宋体"/>
          <w:color w:val="000000" w:themeColor="text1"/>
          <w:sz w:val="24"/>
          <w:szCs w:val="24"/>
          <w14:textFill>
            <w14:solidFill>
              <w14:schemeClr w14:val="tx1"/>
            </w14:solidFill>
          </w14:textFill>
        </w:rPr>
        <w:t>工程竣工结算送审管理制度》；</w:t>
      </w:r>
    </w:p>
    <w:p w14:paraId="55668CBB">
      <w:pPr>
        <w:spacing w:line="540" w:lineRule="exact"/>
        <w:rPr>
          <w:rFonts w:ascii="宋体" w:hAnsi="宋体"/>
          <w:color w:val="000000" w:themeColor="text1"/>
          <w:sz w:val="24"/>
          <w:szCs w:val="24"/>
          <w14:textFill>
            <w14:solidFill>
              <w14:schemeClr w14:val="tx1"/>
            </w14:solidFill>
          </w14:textFill>
        </w:rPr>
      </w:pPr>
    </w:p>
    <w:p w14:paraId="0BAEC678">
      <w:pPr>
        <w:spacing w:line="540" w:lineRule="exact"/>
        <w:rPr>
          <w:rFonts w:ascii="宋体" w:hAnsi="宋体"/>
          <w:color w:val="000000" w:themeColor="text1"/>
          <w:sz w:val="24"/>
          <w:szCs w:val="24"/>
          <w14:textFill>
            <w14:solidFill>
              <w14:schemeClr w14:val="tx1"/>
            </w14:solidFill>
          </w14:textFill>
        </w:rPr>
      </w:pPr>
    </w:p>
    <w:p w14:paraId="2A04EC32">
      <w:pPr>
        <w:spacing w:line="540" w:lineRule="exact"/>
        <w:rPr>
          <w:rFonts w:ascii="宋体" w:hAnsi="宋体"/>
          <w:color w:val="000000" w:themeColor="text1"/>
          <w:sz w:val="24"/>
          <w:szCs w:val="24"/>
          <w14:textFill>
            <w14:solidFill>
              <w14:schemeClr w14:val="tx1"/>
            </w14:solidFill>
          </w14:textFill>
        </w:rPr>
      </w:pPr>
    </w:p>
    <w:p w14:paraId="564CB61F">
      <w:pPr>
        <w:spacing w:line="540" w:lineRule="exact"/>
        <w:rPr>
          <w:rFonts w:ascii="宋体" w:hAnsi="宋体"/>
          <w:color w:val="000000" w:themeColor="text1"/>
          <w:sz w:val="24"/>
          <w:szCs w:val="24"/>
          <w14:textFill>
            <w14:solidFill>
              <w14:schemeClr w14:val="tx1"/>
            </w14:solidFill>
          </w14:textFill>
        </w:rPr>
      </w:pPr>
    </w:p>
    <w:p w14:paraId="42858DE0">
      <w:pPr>
        <w:spacing w:line="540" w:lineRule="exact"/>
        <w:rPr>
          <w:rFonts w:ascii="宋体" w:hAnsi="宋体"/>
          <w:color w:val="000000" w:themeColor="text1"/>
          <w:sz w:val="24"/>
          <w:szCs w:val="24"/>
          <w14:textFill>
            <w14:solidFill>
              <w14:schemeClr w14:val="tx1"/>
            </w14:solidFill>
          </w14:textFill>
        </w:rPr>
      </w:pPr>
    </w:p>
    <w:p w14:paraId="0E70E737">
      <w:pPr>
        <w:spacing w:line="540" w:lineRule="exact"/>
        <w:rPr>
          <w:rFonts w:ascii="宋体" w:hAnsi="宋体"/>
          <w:color w:val="000000" w:themeColor="text1"/>
          <w:sz w:val="24"/>
          <w:szCs w:val="24"/>
          <w14:textFill>
            <w14:solidFill>
              <w14:schemeClr w14:val="tx1"/>
            </w14:solidFill>
          </w14:textFill>
        </w:rPr>
      </w:pPr>
    </w:p>
    <w:p w14:paraId="0E386420">
      <w:pPr>
        <w:spacing w:line="540" w:lineRule="exact"/>
        <w:rPr>
          <w:rFonts w:ascii="宋体" w:hAnsi="宋体"/>
          <w:color w:val="000000" w:themeColor="text1"/>
          <w:sz w:val="24"/>
          <w:szCs w:val="24"/>
          <w14:textFill>
            <w14:solidFill>
              <w14:schemeClr w14:val="tx1"/>
            </w14:solidFill>
          </w14:textFill>
        </w:rPr>
      </w:pPr>
    </w:p>
    <w:p w14:paraId="244FC6C4">
      <w:pPr>
        <w:spacing w:line="540" w:lineRule="exact"/>
        <w:rPr>
          <w:rFonts w:ascii="宋体" w:hAnsi="宋体"/>
          <w:color w:val="000000" w:themeColor="text1"/>
          <w:sz w:val="24"/>
          <w:szCs w:val="24"/>
          <w14:textFill>
            <w14:solidFill>
              <w14:schemeClr w14:val="tx1"/>
            </w14:solidFill>
          </w14:textFill>
        </w:rPr>
      </w:pPr>
    </w:p>
    <w:p w14:paraId="6C19B5D3">
      <w:pPr>
        <w:spacing w:line="540" w:lineRule="exact"/>
        <w:rPr>
          <w:rFonts w:ascii="宋体" w:hAnsi="宋体"/>
          <w:color w:val="000000" w:themeColor="text1"/>
          <w:sz w:val="24"/>
          <w:szCs w:val="24"/>
          <w14:textFill>
            <w14:solidFill>
              <w14:schemeClr w14:val="tx1"/>
            </w14:solidFill>
          </w14:textFill>
        </w:rPr>
      </w:pPr>
    </w:p>
    <w:p w14:paraId="4F32B89B">
      <w:pPr>
        <w:spacing w:line="54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附件七、项目管理机构配备表；</w:t>
      </w:r>
    </w:p>
    <w:p w14:paraId="5BF2FD9E">
      <w:pPr>
        <w:spacing w:line="220" w:lineRule="atLeast"/>
        <w:rPr>
          <w:rFonts w:ascii="宋体" w:hAnsi="宋体"/>
          <w:color w:val="000000" w:themeColor="text1"/>
          <w:sz w:val="24"/>
          <w:szCs w:val="24"/>
          <w14:textFill>
            <w14:solidFill>
              <w14:schemeClr w14:val="tx1"/>
            </w14:solidFill>
          </w14:textFill>
        </w:rPr>
      </w:pPr>
    </w:p>
    <w:p w14:paraId="174443FA">
      <w:pPr>
        <w:spacing w:line="220" w:lineRule="atLeas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附件八、中标通知书；</w:t>
      </w:r>
    </w:p>
    <w:p w14:paraId="7F20B657">
      <w:pPr>
        <w:spacing w:line="220" w:lineRule="atLeast"/>
        <w:rPr>
          <w:rFonts w:ascii="宋体" w:hAnsi="宋体"/>
          <w:color w:val="000000" w:themeColor="text1"/>
          <w:sz w:val="24"/>
          <w:szCs w:val="24"/>
          <w14:textFill>
            <w14:solidFill>
              <w14:schemeClr w14:val="tx1"/>
            </w14:solidFill>
          </w14:textFill>
        </w:rPr>
      </w:pPr>
    </w:p>
    <w:p w14:paraId="561BC182">
      <w:pPr>
        <w:spacing w:line="220" w:lineRule="atLeas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附件九、投标承诺函；</w:t>
      </w:r>
    </w:p>
    <w:p w14:paraId="1EF74959">
      <w:pPr>
        <w:rPr>
          <w:rFonts w:ascii="宋体" w:hAnsi="宋体"/>
          <w:color w:val="000000" w:themeColor="text1"/>
          <w:sz w:val="24"/>
          <w:szCs w:val="24"/>
          <w14:textFill>
            <w14:solidFill>
              <w14:schemeClr w14:val="tx1"/>
            </w14:solidFill>
          </w14:textFill>
        </w:rPr>
      </w:pPr>
    </w:p>
    <w:p w14:paraId="2BD53B8E">
      <w:pPr>
        <w:rPr>
          <w:rFonts w:ascii="宋体" w:hAnsi="宋体"/>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附件十、农民工工资支付承诺书；</w:t>
      </w:r>
    </w:p>
    <w:p w14:paraId="0477FEDD">
      <w:pPr>
        <w:pStyle w:val="2"/>
        <w:ind w:left="0" w:leftChars="0"/>
        <w:rPr>
          <w:rFonts w:eastAsia="宋体"/>
          <w:color w:val="000000" w:themeColor="text1"/>
          <w14:textFill>
            <w14:solidFill>
              <w14:schemeClr w14:val="tx1"/>
            </w14:solidFill>
          </w14:textFill>
        </w:rPr>
      </w:pPr>
    </w:p>
    <w:p w14:paraId="2159282E">
      <w:pPr>
        <w:pStyle w:val="2"/>
        <w:ind w:left="1470"/>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F3AD0">
    <w:pPr>
      <w:pStyle w:val="6"/>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5433110"/>
                          </w:sdtPr>
                          <w:sdtContent>
                            <w:p w14:paraId="0BB4D62C">
                              <w:pPr>
                                <w:pStyle w:val="6"/>
                                <w:jc w:val="right"/>
                              </w:pPr>
                              <w:r>
                                <w:fldChar w:fldCharType="begin"/>
                              </w:r>
                              <w:r>
                                <w:instrText xml:space="preserve"> PAGE   \* MERGEFORMAT </w:instrText>
                              </w:r>
                              <w:r>
                                <w:fldChar w:fldCharType="separate"/>
                              </w:r>
                              <w:r>
                                <w:rPr>
                                  <w:lang w:val="zh-CN"/>
                                </w:rPr>
                                <w:t>14</w:t>
                              </w:r>
                              <w:r>
                                <w:rPr>
                                  <w:lang w:val="zh-CN"/>
                                </w:rPr>
                                <w:fldChar w:fldCharType="end"/>
                              </w:r>
                            </w:p>
                          </w:sdtContent>
                        </w:sdt>
                        <w:p w14:paraId="457CA747">
                          <w:pPr>
                            <w:pStyle w:val="10"/>
                            <w:rPr>
                              <w:rFonts w:hint="default"/>
                            </w:rPr>
                          </w:pP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Na8P8XFAQAAkAMAAA4AAAAAAAAAAQAgAAAAHgEAAGRycy9lMm9Eb2MueG1s&#10;UEsFBgAAAAAGAAYAWQEAAFUFAAAAAA==&#10;">
              <v:fill on="f" focussize="0,0"/>
              <v:stroke on="f"/>
              <v:imagedata o:title=""/>
              <o:lock v:ext="edit" aspectratio="f"/>
              <v:textbox inset="0mm,0mm,0mm,0mm" style="mso-fit-shape-to-text:t;">
                <w:txbxContent>
                  <w:sdt>
                    <w:sdtPr>
                      <w:id w:val="25433110"/>
                    </w:sdtPr>
                    <w:sdtContent>
                      <w:p w14:paraId="0BB4D62C">
                        <w:pPr>
                          <w:pStyle w:val="6"/>
                          <w:jc w:val="right"/>
                        </w:pPr>
                        <w:r>
                          <w:fldChar w:fldCharType="begin"/>
                        </w:r>
                        <w:r>
                          <w:instrText xml:space="preserve"> PAGE   \* MERGEFORMAT </w:instrText>
                        </w:r>
                        <w:r>
                          <w:fldChar w:fldCharType="separate"/>
                        </w:r>
                        <w:r>
                          <w:rPr>
                            <w:lang w:val="zh-CN"/>
                          </w:rPr>
                          <w:t>14</w:t>
                        </w:r>
                        <w:r>
                          <w:rPr>
                            <w:lang w:val="zh-CN"/>
                          </w:rPr>
                          <w:fldChar w:fldCharType="end"/>
                        </w:r>
                      </w:p>
                    </w:sdtContent>
                  </w:sdt>
                  <w:p w14:paraId="457CA747">
                    <w:pPr>
                      <w:pStyle w:val="10"/>
                      <w:rPr>
                        <w:rFonts w:hint="default"/>
                      </w:rPr>
                    </w:pPr>
                  </w:p>
                </w:txbxContent>
              </v:textbox>
            </v:shape>
          </w:pict>
        </mc:Fallback>
      </mc:AlternateContent>
    </w:r>
  </w:p>
  <w:p w14:paraId="3CD3520A">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D481C"/>
    <w:multiLevelType w:val="singleLevel"/>
    <w:tmpl w:val="8E0D481C"/>
    <w:lvl w:ilvl="0" w:tentative="0">
      <w:start w:val="1"/>
      <w:numFmt w:val="chineseCounting"/>
      <w:suff w:val="nothing"/>
      <w:lvlText w:val="%1、"/>
      <w:lvlJc w:val="left"/>
      <w:rPr>
        <w:rFonts w:hint="eastAsia"/>
      </w:rPr>
    </w:lvl>
  </w:abstractNum>
  <w:abstractNum w:abstractNumId="1">
    <w:nsid w:val="8FF63FDB"/>
    <w:multiLevelType w:val="singleLevel"/>
    <w:tmpl w:val="8FF63FDB"/>
    <w:lvl w:ilvl="0" w:tentative="0">
      <w:start w:val="1"/>
      <w:numFmt w:val="chineseCounting"/>
      <w:suff w:val="nothing"/>
      <w:lvlText w:val="（%1）"/>
      <w:lvlJc w:val="left"/>
      <w:rPr>
        <w:rFonts w:hint="eastAsia"/>
      </w:rPr>
    </w:lvl>
  </w:abstractNum>
  <w:abstractNum w:abstractNumId="2">
    <w:nsid w:val="AB76A01E"/>
    <w:multiLevelType w:val="singleLevel"/>
    <w:tmpl w:val="AB76A01E"/>
    <w:lvl w:ilvl="0" w:tentative="0">
      <w:start w:val="4"/>
      <w:numFmt w:val="chineseCounting"/>
      <w:suff w:val="nothing"/>
      <w:lvlText w:val="%1、"/>
      <w:lvlJc w:val="left"/>
      <w:rPr>
        <w:rFonts w:hint="eastAsia"/>
      </w:rPr>
    </w:lvl>
  </w:abstractNum>
  <w:abstractNum w:abstractNumId="3">
    <w:nsid w:val="BEE40AF3"/>
    <w:multiLevelType w:val="singleLevel"/>
    <w:tmpl w:val="BEE40AF3"/>
    <w:lvl w:ilvl="0" w:tentative="0">
      <w:start w:val="1"/>
      <w:numFmt w:val="decimal"/>
      <w:suff w:val="nothing"/>
      <w:lvlText w:val="%1、"/>
      <w:lvlJc w:val="left"/>
    </w:lvl>
  </w:abstractNum>
  <w:abstractNum w:abstractNumId="4">
    <w:nsid w:val="CBF44FF6"/>
    <w:multiLevelType w:val="singleLevel"/>
    <w:tmpl w:val="CBF44FF6"/>
    <w:lvl w:ilvl="0" w:tentative="0">
      <w:start w:val="1"/>
      <w:numFmt w:val="chineseCounting"/>
      <w:suff w:val="nothing"/>
      <w:lvlText w:val="（%1）"/>
      <w:lvlJc w:val="left"/>
      <w:pPr>
        <w:ind w:left="0" w:firstLine="397"/>
      </w:pPr>
      <w:rPr>
        <w:rFonts w:hint="eastAsia"/>
      </w:rPr>
    </w:lvl>
  </w:abstractNum>
  <w:abstractNum w:abstractNumId="5">
    <w:nsid w:val="DAC01B85"/>
    <w:multiLevelType w:val="singleLevel"/>
    <w:tmpl w:val="DAC01B85"/>
    <w:lvl w:ilvl="0" w:tentative="0">
      <w:start w:val="1"/>
      <w:numFmt w:val="chineseCounting"/>
      <w:suff w:val="nothing"/>
      <w:lvlText w:val="（%1）"/>
      <w:lvlJc w:val="left"/>
      <w:pPr>
        <w:ind w:left="0" w:firstLine="420"/>
      </w:pPr>
      <w:rPr>
        <w:rFonts w:hint="eastAsia"/>
      </w:rPr>
    </w:lvl>
  </w:abstractNum>
  <w:abstractNum w:abstractNumId="6">
    <w:nsid w:val="EB0AF1BC"/>
    <w:multiLevelType w:val="singleLevel"/>
    <w:tmpl w:val="EB0AF1BC"/>
    <w:lvl w:ilvl="0" w:tentative="0">
      <w:start w:val="5"/>
      <w:numFmt w:val="decimal"/>
      <w:suff w:val="nothing"/>
      <w:lvlText w:val="%1、"/>
      <w:lvlJc w:val="left"/>
    </w:lvl>
  </w:abstractNum>
  <w:abstractNum w:abstractNumId="7">
    <w:nsid w:val="F2B9FF2E"/>
    <w:multiLevelType w:val="singleLevel"/>
    <w:tmpl w:val="F2B9FF2E"/>
    <w:lvl w:ilvl="0" w:tentative="0">
      <w:start w:val="1"/>
      <w:numFmt w:val="chineseCounting"/>
      <w:suff w:val="nothing"/>
      <w:lvlText w:val="（%1）"/>
      <w:lvlJc w:val="left"/>
      <w:pPr>
        <w:ind w:left="0" w:firstLine="420"/>
      </w:pPr>
      <w:rPr>
        <w:rFonts w:hint="eastAsia"/>
      </w:rPr>
    </w:lvl>
  </w:abstractNum>
  <w:abstractNum w:abstractNumId="8">
    <w:nsid w:val="F3619A92"/>
    <w:multiLevelType w:val="singleLevel"/>
    <w:tmpl w:val="F3619A92"/>
    <w:lvl w:ilvl="0" w:tentative="0">
      <w:start w:val="1"/>
      <w:numFmt w:val="chineseCounting"/>
      <w:suff w:val="nothing"/>
      <w:lvlText w:val="（%1）"/>
      <w:lvlJc w:val="left"/>
      <w:pPr>
        <w:ind w:left="0" w:firstLine="420"/>
      </w:pPr>
      <w:rPr>
        <w:rFonts w:hint="eastAsia"/>
      </w:rPr>
    </w:lvl>
  </w:abstractNum>
  <w:abstractNum w:abstractNumId="9">
    <w:nsid w:val="1A6BC033"/>
    <w:multiLevelType w:val="singleLevel"/>
    <w:tmpl w:val="1A6BC033"/>
    <w:lvl w:ilvl="0" w:tentative="0">
      <w:start w:val="1"/>
      <w:numFmt w:val="chineseCounting"/>
      <w:suff w:val="nothing"/>
      <w:lvlText w:val="（%1）"/>
      <w:lvlJc w:val="left"/>
      <w:pPr>
        <w:ind w:left="0" w:firstLine="420"/>
      </w:pPr>
      <w:rPr>
        <w:rFonts w:hint="eastAsia"/>
      </w:rPr>
    </w:lvl>
  </w:abstractNum>
  <w:abstractNum w:abstractNumId="10">
    <w:nsid w:val="4450723D"/>
    <w:multiLevelType w:val="singleLevel"/>
    <w:tmpl w:val="4450723D"/>
    <w:lvl w:ilvl="0" w:tentative="0">
      <w:start w:val="16"/>
      <w:numFmt w:val="chineseCounting"/>
      <w:suff w:val="nothing"/>
      <w:lvlText w:val="%1、"/>
      <w:lvlJc w:val="left"/>
      <w:rPr>
        <w:rFonts w:hint="eastAsia"/>
      </w:rPr>
    </w:lvl>
  </w:abstractNum>
  <w:abstractNum w:abstractNumId="11">
    <w:nsid w:val="74E7E5F4"/>
    <w:multiLevelType w:val="singleLevel"/>
    <w:tmpl w:val="74E7E5F4"/>
    <w:lvl w:ilvl="0" w:tentative="0">
      <w:start w:val="1"/>
      <w:numFmt w:val="chineseCounting"/>
      <w:suff w:val="nothing"/>
      <w:lvlText w:val="（%1）"/>
      <w:lvlJc w:val="left"/>
      <w:pPr>
        <w:ind w:left="0" w:firstLine="420"/>
      </w:pPr>
      <w:rPr>
        <w:rFonts w:hint="eastAsia"/>
      </w:rPr>
    </w:lvl>
  </w:abstractNum>
  <w:num w:numId="1">
    <w:abstractNumId w:val="2"/>
  </w:num>
  <w:num w:numId="2">
    <w:abstractNumId w:val="10"/>
  </w:num>
  <w:num w:numId="3">
    <w:abstractNumId w:val="0"/>
  </w:num>
  <w:num w:numId="4">
    <w:abstractNumId w:val="3"/>
  </w:num>
  <w:num w:numId="5">
    <w:abstractNumId w:val="6"/>
  </w:num>
  <w:num w:numId="6">
    <w:abstractNumId w:val="9"/>
  </w:num>
  <w:num w:numId="7">
    <w:abstractNumId w:val="7"/>
  </w:num>
  <w:num w:numId="8">
    <w:abstractNumId w:val="8"/>
  </w:num>
  <w:num w:numId="9">
    <w:abstractNumId w:val="5"/>
  </w:num>
  <w:num w:numId="10">
    <w:abstractNumId w:val="11"/>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006568D9"/>
    <w:rsid w:val="00012AD9"/>
    <w:rsid w:val="00167D67"/>
    <w:rsid w:val="001B1835"/>
    <w:rsid w:val="001B769C"/>
    <w:rsid w:val="002063CE"/>
    <w:rsid w:val="00224A21"/>
    <w:rsid w:val="00225D3B"/>
    <w:rsid w:val="0026113D"/>
    <w:rsid w:val="002E1F4A"/>
    <w:rsid w:val="00340AD9"/>
    <w:rsid w:val="00402455"/>
    <w:rsid w:val="00445F8F"/>
    <w:rsid w:val="00462EF3"/>
    <w:rsid w:val="00485517"/>
    <w:rsid w:val="004A6248"/>
    <w:rsid w:val="00503E3D"/>
    <w:rsid w:val="005E18C8"/>
    <w:rsid w:val="006161B9"/>
    <w:rsid w:val="006568D9"/>
    <w:rsid w:val="006B050F"/>
    <w:rsid w:val="007252B9"/>
    <w:rsid w:val="00745011"/>
    <w:rsid w:val="0081735F"/>
    <w:rsid w:val="00826663"/>
    <w:rsid w:val="008C7B1F"/>
    <w:rsid w:val="00935A11"/>
    <w:rsid w:val="0095736B"/>
    <w:rsid w:val="00996B0C"/>
    <w:rsid w:val="00A865A0"/>
    <w:rsid w:val="00B85261"/>
    <w:rsid w:val="00B937D5"/>
    <w:rsid w:val="00C766F1"/>
    <w:rsid w:val="00C84AF6"/>
    <w:rsid w:val="00CA37AD"/>
    <w:rsid w:val="00CD48B6"/>
    <w:rsid w:val="00D370C0"/>
    <w:rsid w:val="00DA67A7"/>
    <w:rsid w:val="00E1679D"/>
    <w:rsid w:val="00E30CD7"/>
    <w:rsid w:val="00E619CE"/>
    <w:rsid w:val="00E976D2"/>
    <w:rsid w:val="00EE2DB1"/>
    <w:rsid w:val="00EE425B"/>
    <w:rsid w:val="00F0206B"/>
    <w:rsid w:val="00F129B4"/>
    <w:rsid w:val="00F4060A"/>
    <w:rsid w:val="00FD2E99"/>
    <w:rsid w:val="0288446E"/>
    <w:rsid w:val="028D49D6"/>
    <w:rsid w:val="02AB07F9"/>
    <w:rsid w:val="02F11A01"/>
    <w:rsid w:val="03296691"/>
    <w:rsid w:val="042E5CA4"/>
    <w:rsid w:val="0492387B"/>
    <w:rsid w:val="060A04AD"/>
    <w:rsid w:val="06220EB8"/>
    <w:rsid w:val="066A7A79"/>
    <w:rsid w:val="06DF4F74"/>
    <w:rsid w:val="079770D0"/>
    <w:rsid w:val="08297BEC"/>
    <w:rsid w:val="086124B7"/>
    <w:rsid w:val="096542F7"/>
    <w:rsid w:val="09E51AB8"/>
    <w:rsid w:val="09EB0ED1"/>
    <w:rsid w:val="0A573DD4"/>
    <w:rsid w:val="0AC11D22"/>
    <w:rsid w:val="0B270542"/>
    <w:rsid w:val="0B2C354F"/>
    <w:rsid w:val="0B2E2337"/>
    <w:rsid w:val="0B456B6B"/>
    <w:rsid w:val="0B9460AC"/>
    <w:rsid w:val="0CD66DEE"/>
    <w:rsid w:val="0D2C3CDA"/>
    <w:rsid w:val="0D37380E"/>
    <w:rsid w:val="0D703BC7"/>
    <w:rsid w:val="0DD0484A"/>
    <w:rsid w:val="0E9C09EC"/>
    <w:rsid w:val="0F0571B9"/>
    <w:rsid w:val="10A473CE"/>
    <w:rsid w:val="11156BF3"/>
    <w:rsid w:val="111E393A"/>
    <w:rsid w:val="118F49EC"/>
    <w:rsid w:val="11D62EB0"/>
    <w:rsid w:val="13377E8F"/>
    <w:rsid w:val="1346128A"/>
    <w:rsid w:val="1355574B"/>
    <w:rsid w:val="1370312D"/>
    <w:rsid w:val="137E6912"/>
    <w:rsid w:val="143F11B5"/>
    <w:rsid w:val="14D407BD"/>
    <w:rsid w:val="15C70A44"/>
    <w:rsid w:val="1663363A"/>
    <w:rsid w:val="167E16BA"/>
    <w:rsid w:val="16FA34F7"/>
    <w:rsid w:val="18106F87"/>
    <w:rsid w:val="18185067"/>
    <w:rsid w:val="183103F7"/>
    <w:rsid w:val="18D465A8"/>
    <w:rsid w:val="19A05834"/>
    <w:rsid w:val="19C31523"/>
    <w:rsid w:val="19CF546B"/>
    <w:rsid w:val="19D43730"/>
    <w:rsid w:val="1A976C37"/>
    <w:rsid w:val="1AE535C6"/>
    <w:rsid w:val="1AE95B6F"/>
    <w:rsid w:val="1BD44985"/>
    <w:rsid w:val="1BE649E3"/>
    <w:rsid w:val="1C4C3FE9"/>
    <w:rsid w:val="1C527AED"/>
    <w:rsid w:val="1D8D2573"/>
    <w:rsid w:val="1DD67C1F"/>
    <w:rsid w:val="1EA14279"/>
    <w:rsid w:val="1EED239C"/>
    <w:rsid w:val="1F843311"/>
    <w:rsid w:val="1F890B18"/>
    <w:rsid w:val="20564E9E"/>
    <w:rsid w:val="20D571D5"/>
    <w:rsid w:val="20D63F91"/>
    <w:rsid w:val="20E029BA"/>
    <w:rsid w:val="20E81B9F"/>
    <w:rsid w:val="20F62BCE"/>
    <w:rsid w:val="21644F02"/>
    <w:rsid w:val="2184093D"/>
    <w:rsid w:val="218A2342"/>
    <w:rsid w:val="23DF39EE"/>
    <w:rsid w:val="23E05F16"/>
    <w:rsid w:val="24171FC5"/>
    <w:rsid w:val="24811DD4"/>
    <w:rsid w:val="24FD7240"/>
    <w:rsid w:val="26AA4C6C"/>
    <w:rsid w:val="26F661BF"/>
    <w:rsid w:val="272A5350"/>
    <w:rsid w:val="275F0ABF"/>
    <w:rsid w:val="29310257"/>
    <w:rsid w:val="2A5E32CD"/>
    <w:rsid w:val="2A662182"/>
    <w:rsid w:val="2AE61515"/>
    <w:rsid w:val="2B986339"/>
    <w:rsid w:val="2BD92FA2"/>
    <w:rsid w:val="2C857FDC"/>
    <w:rsid w:val="2D385402"/>
    <w:rsid w:val="2DAB2313"/>
    <w:rsid w:val="2DDB2A41"/>
    <w:rsid w:val="2DE01F17"/>
    <w:rsid w:val="2E24038A"/>
    <w:rsid w:val="2E6C27E5"/>
    <w:rsid w:val="2FA06136"/>
    <w:rsid w:val="300264A9"/>
    <w:rsid w:val="30654C8A"/>
    <w:rsid w:val="30A734F4"/>
    <w:rsid w:val="314571F9"/>
    <w:rsid w:val="31DC7ACF"/>
    <w:rsid w:val="325D11EE"/>
    <w:rsid w:val="340E0AD5"/>
    <w:rsid w:val="346E5A73"/>
    <w:rsid w:val="357D4824"/>
    <w:rsid w:val="358C107C"/>
    <w:rsid w:val="35BC0F42"/>
    <w:rsid w:val="35D824B4"/>
    <w:rsid w:val="35EA7525"/>
    <w:rsid w:val="364F7583"/>
    <w:rsid w:val="369260AD"/>
    <w:rsid w:val="37661A13"/>
    <w:rsid w:val="37C44937"/>
    <w:rsid w:val="37CA5B07"/>
    <w:rsid w:val="38C872D2"/>
    <w:rsid w:val="38FF4868"/>
    <w:rsid w:val="39167469"/>
    <w:rsid w:val="39C15203"/>
    <w:rsid w:val="39C674F1"/>
    <w:rsid w:val="39F257E0"/>
    <w:rsid w:val="3A1905CC"/>
    <w:rsid w:val="3AE07D2F"/>
    <w:rsid w:val="3C387163"/>
    <w:rsid w:val="3D702A14"/>
    <w:rsid w:val="3E1675C3"/>
    <w:rsid w:val="3E9450BA"/>
    <w:rsid w:val="3EEC0DD5"/>
    <w:rsid w:val="40692574"/>
    <w:rsid w:val="40D355C3"/>
    <w:rsid w:val="41145B39"/>
    <w:rsid w:val="414D59F2"/>
    <w:rsid w:val="42020BF8"/>
    <w:rsid w:val="42E76D88"/>
    <w:rsid w:val="43491C92"/>
    <w:rsid w:val="43813A70"/>
    <w:rsid w:val="43A11445"/>
    <w:rsid w:val="45266234"/>
    <w:rsid w:val="45E93E8E"/>
    <w:rsid w:val="462D4312"/>
    <w:rsid w:val="470D1EAB"/>
    <w:rsid w:val="478860AE"/>
    <w:rsid w:val="478C1A7C"/>
    <w:rsid w:val="47A9746D"/>
    <w:rsid w:val="47DF1C1D"/>
    <w:rsid w:val="47F5273A"/>
    <w:rsid w:val="480774CB"/>
    <w:rsid w:val="4870349E"/>
    <w:rsid w:val="489A312C"/>
    <w:rsid w:val="490115F1"/>
    <w:rsid w:val="49492083"/>
    <w:rsid w:val="494E2307"/>
    <w:rsid w:val="4AF6664A"/>
    <w:rsid w:val="4B7327BD"/>
    <w:rsid w:val="4C730E63"/>
    <w:rsid w:val="4CBB3FD1"/>
    <w:rsid w:val="4CD22E74"/>
    <w:rsid w:val="4CEA1F98"/>
    <w:rsid w:val="4CEE7967"/>
    <w:rsid w:val="4D1D71E8"/>
    <w:rsid w:val="4D502C31"/>
    <w:rsid w:val="4E6A7B29"/>
    <w:rsid w:val="4EFD4555"/>
    <w:rsid w:val="4F165675"/>
    <w:rsid w:val="4F252681"/>
    <w:rsid w:val="50153B7F"/>
    <w:rsid w:val="5168311D"/>
    <w:rsid w:val="51925ED8"/>
    <w:rsid w:val="51BA1AF6"/>
    <w:rsid w:val="523A6D37"/>
    <w:rsid w:val="52F4346F"/>
    <w:rsid w:val="534D53DE"/>
    <w:rsid w:val="53673FFC"/>
    <w:rsid w:val="53814B94"/>
    <w:rsid w:val="53EB5A67"/>
    <w:rsid w:val="53EB70D0"/>
    <w:rsid w:val="53EF12E3"/>
    <w:rsid w:val="54892812"/>
    <w:rsid w:val="548E5012"/>
    <w:rsid w:val="54EB4EAE"/>
    <w:rsid w:val="54F37976"/>
    <w:rsid w:val="55BE255E"/>
    <w:rsid w:val="569E75D1"/>
    <w:rsid w:val="56C6513B"/>
    <w:rsid w:val="572A0CF9"/>
    <w:rsid w:val="576E6EF3"/>
    <w:rsid w:val="58C83E84"/>
    <w:rsid w:val="5975743C"/>
    <w:rsid w:val="597C07CB"/>
    <w:rsid w:val="598A738C"/>
    <w:rsid w:val="59993561"/>
    <w:rsid w:val="59BE6932"/>
    <w:rsid w:val="5AB53A3C"/>
    <w:rsid w:val="5B064502"/>
    <w:rsid w:val="5B84027F"/>
    <w:rsid w:val="5BE32D83"/>
    <w:rsid w:val="5C05719D"/>
    <w:rsid w:val="5C073121"/>
    <w:rsid w:val="5C834951"/>
    <w:rsid w:val="5C946EE9"/>
    <w:rsid w:val="5CB245DA"/>
    <w:rsid w:val="5CF93B13"/>
    <w:rsid w:val="5D521F6E"/>
    <w:rsid w:val="5E227B93"/>
    <w:rsid w:val="5E4D2B6B"/>
    <w:rsid w:val="5E79177D"/>
    <w:rsid w:val="5F7D729C"/>
    <w:rsid w:val="5F914E16"/>
    <w:rsid w:val="5FF92F32"/>
    <w:rsid w:val="60421F7D"/>
    <w:rsid w:val="60A66BF7"/>
    <w:rsid w:val="6105554A"/>
    <w:rsid w:val="61566824"/>
    <w:rsid w:val="615F4C5A"/>
    <w:rsid w:val="616828D6"/>
    <w:rsid w:val="6187793C"/>
    <w:rsid w:val="61CB310A"/>
    <w:rsid w:val="643C3DBD"/>
    <w:rsid w:val="65A55629"/>
    <w:rsid w:val="663E7534"/>
    <w:rsid w:val="66CD6B09"/>
    <w:rsid w:val="66D7522B"/>
    <w:rsid w:val="66DF32CF"/>
    <w:rsid w:val="66EF0F49"/>
    <w:rsid w:val="66F26570"/>
    <w:rsid w:val="6759214B"/>
    <w:rsid w:val="67A94E81"/>
    <w:rsid w:val="67C40D67"/>
    <w:rsid w:val="67F25B04"/>
    <w:rsid w:val="683C6AF0"/>
    <w:rsid w:val="6A3965F8"/>
    <w:rsid w:val="6ACA66B8"/>
    <w:rsid w:val="6BBB51B1"/>
    <w:rsid w:val="6C862EA5"/>
    <w:rsid w:val="6CBB4B40"/>
    <w:rsid w:val="6D2154B9"/>
    <w:rsid w:val="6F03297B"/>
    <w:rsid w:val="6F5717DC"/>
    <w:rsid w:val="70272FDD"/>
    <w:rsid w:val="702D5490"/>
    <w:rsid w:val="70741DA4"/>
    <w:rsid w:val="70D00DE9"/>
    <w:rsid w:val="70DB397B"/>
    <w:rsid w:val="70FE202A"/>
    <w:rsid w:val="71893FDA"/>
    <w:rsid w:val="718E3FEB"/>
    <w:rsid w:val="719D75FD"/>
    <w:rsid w:val="721C17C0"/>
    <w:rsid w:val="721D19BB"/>
    <w:rsid w:val="72985EC3"/>
    <w:rsid w:val="73B01345"/>
    <w:rsid w:val="73D975FD"/>
    <w:rsid w:val="73DE0FA9"/>
    <w:rsid w:val="740B4E26"/>
    <w:rsid w:val="743E5838"/>
    <w:rsid w:val="744F1EEF"/>
    <w:rsid w:val="747F7695"/>
    <w:rsid w:val="74E26C69"/>
    <w:rsid w:val="75BF1D13"/>
    <w:rsid w:val="763B2BA9"/>
    <w:rsid w:val="76BB6DD9"/>
    <w:rsid w:val="76BE2A75"/>
    <w:rsid w:val="76D75EDF"/>
    <w:rsid w:val="77097B81"/>
    <w:rsid w:val="78DD0E2E"/>
    <w:rsid w:val="795853E1"/>
    <w:rsid w:val="79B625DA"/>
    <w:rsid w:val="7A5D3C68"/>
    <w:rsid w:val="7AB773E8"/>
    <w:rsid w:val="7B272834"/>
    <w:rsid w:val="7BC13FB3"/>
    <w:rsid w:val="7CBC43D3"/>
    <w:rsid w:val="7CC77E2B"/>
    <w:rsid w:val="7CFE6052"/>
    <w:rsid w:val="7D233642"/>
    <w:rsid w:val="7D3A5ACD"/>
    <w:rsid w:val="7D7657F0"/>
    <w:rsid w:val="7D7D2717"/>
    <w:rsid w:val="7DC71407"/>
    <w:rsid w:val="7DE978C3"/>
    <w:rsid w:val="7E061E28"/>
    <w:rsid w:val="7E065393"/>
    <w:rsid w:val="7E10106D"/>
    <w:rsid w:val="7E67621F"/>
    <w:rsid w:val="7E8F6C16"/>
    <w:rsid w:val="7F0C291C"/>
    <w:rsid w:val="7FC906B1"/>
    <w:rsid w:val="7FF57F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3">
    <w:name w:val="annotation text"/>
    <w:basedOn w:val="1"/>
    <w:link w:val="23"/>
    <w:semiHidden/>
    <w:unhideWhenUsed/>
    <w:qFormat/>
    <w:uiPriority w:val="99"/>
    <w:pPr>
      <w:jc w:val="left"/>
    </w:pPr>
  </w:style>
  <w:style w:type="paragraph" w:styleId="4">
    <w:name w:val="Body Text"/>
    <w:basedOn w:val="1"/>
    <w:next w:val="1"/>
    <w:qFormat/>
    <w:uiPriority w:val="0"/>
    <w:pPr>
      <w:spacing w:before="40"/>
      <w:ind w:left="139"/>
    </w:pPr>
    <w:rPr>
      <w:rFonts w:hint="eastAsia" w:ascii="宋体" w:hAnsi="宋体"/>
    </w:rPr>
  </w:style>
  <w:style w:type="paragraph" w:styleId="5">
    <w:name w:val="Balloon Text"/>
    <w:basedOn w:val="1"/>
    <w:link w:val="22"/>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9">
    <w:name w:val="annotation subject"/>
    <w:basedOn w:val="3"/>
    <w:next w:val="3"/>
    <w:link w:val="24"/>
    <w:semiHidden/>
    <w:unhideWhenUsed/>
    <w:qFormat/>
    <w:uiPriority w:val="99"/>
    <w:rPr>
      <w:b/>
      <w:bCs/>
    </w:rPr>
  </w:style>
  <w:style w:type="paragraph" w:styleId="10">
    <w:name w:val="Body Text First Indent"/>
    <w:basedOn w:val="4"/>
    <w:qFormat/>
    <w:uiPriority w:val="0"/>
    <w:pPr>
      <w:spacing w:line="312" w:lineRule="auto"/>
      <w:ind w:firstLine="420"/>
    </w:pPr>
    <w:rPr>
      <w:rFonts w:ascii="Calibri" w:hAnsi="Calibri"/>
    </w:rPr>
  </w:style>
  <w:style w:type="character" w:styleId="13">
    <w:name w:val="annotation reference"/>
    <w:basedOn w:val="12"/>
    <w:semiHidden/>
    <w:unhideWhenUsed/>
    <w:qFormat/>
    <w:uiPriority w:val="99"/>
    <w:rPr>
      <w:sz w:val="21"/>
      <w:szCs w:val="21"/>
    </w:rPr>
  </w:style>
  <w:style w:type="paragraph" w:customStyle="1" w:styleId="14">
    <w:name w:val="正文_2"/>
    <w:link w:val="18"/>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页眉 字符"/>
    <w:basedOn w:val="12"/>
    <w:link w:val="7"/>
    <w:semiHidden/>
    <w:qFormat/>
    <w:uiPriority w:val="99"/>
    <w:rPr>
      <w:rFonts w:ascii="Calibri" w:hAnsi="Calibri" w:eastAsia="宋体" w:cs="Times New Roman"/>
      <w:sz w:val="18"/>
      <w:szCs w:val="18"/>
    </w:rPr>
  </w:style>
  <w:style w:type="character" w:customStyle="1" w:styleId="16">
    <w:name w:val="页脚 字符"/>
    <w:basedOn w:val="12"/>
    <w:link w:val="6"/>
    <w:qFormat/>
    <w:uiPriority w:val="99"/>
    <w:rPr>
      <w:rFonts w:ascii="Calibri" w:hAnsi="Calibri" w:eastAsia="宋体" w:cs="Times New Roman"/>
      <w:sz w:val="18"/>
      <w:szCs w:val="18"/>
    </w:rPr>
  </w:style>
  <w:style w:type="paragraph" w:customStyle="1" w:styleId="17">
    <w:name w:val="正文_0"/>
    <w:next w:val="10"/>
    <w:link w:val="19"/>
    <w:qFormat/>
    <w:uiPriority w:val="0"/>
    <w:pPr>
      <w:widowControl w:val="0"/>
      <w:jc w:val="both"/>
    </w:pPr>
    <w:rPr>
      <w:rFonts w:ascii="Calibri" w:hAnsi="Calibri" w:eastAsia="宋体" w:cs="Times New Roman"/>
      <w:kern w:val="2"/>
      <w:sz w:val="21"/>
      <w:szCs w:val="22"/>
      <w:lang w:val="en-US" w:eastAsia="zh-CN" w:bidi="ar-SA"/>
    </w:rPr>
  </w:style>
  <w:style w:type="character" w:customStyle="1" w:styleId="18">
    <w:name w:val="正文_2 Char"/>
    <w:link w:val="14"/>
    <w:qFormat/>
    <w:uiPriority w:val="0"/>
    <w:rPr>
      <w:rFonts w:ascii="Calibri" w:hAnsi="Calibri" w:eastAsia="宋体" w:cs="Times New Roman"/>
      <w:kern w:val="2"/>
      <w:sz w:val="21"/>
      <w:szCs w:val="22"/>
      <w:lang w:val="en-US" w:eastAsia="zh-CN" w:bidi="ar-SA"/>
    </w:rPr>
  </w:style>
  <w:style w:type="character" w:customStyle="1" w:styleId="19">
    <w:name w:val="正文_0 Char"/>
    <w:link w:val="17"/>
    <w:qFormat/>
    <w:uiPriority w:val="0"/>
    <w:rPr>
      <w:rFonts w:ascii="Calibri" w:hAnsi="Calibri" w:eastAsia="宋体" w:cs="Times New Roman"/>
      <w:kern w:val="2"/>
      <w:sz w:val="21"/>
      <w:szCs w:val="22"/>
      <w:lang w:val="en-US" w:eastAsia="zh-CN" w:bidi="ar-SA"/>
    </w:rPr>
  </w:style>
  <w:style w:type="paragraph" w:customStyle="1" w:styleId="20">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列出段落1"/>
    <w:basedOn w:val="1"/>
    <w:qFormat/>
    <w:uiPriority w:val="34"/>
    <w:pPr>
      <w:ind w:firstLine="420" w:firstLineChars="200"/>
    </w:pPr>
    <w:rPr>
      <w:rFonts w:ascii="Times New Roman" w:hAnsi="Times New Roman"/>
      <w:szCs w:val="20"/>
    </w:rPr>
  </w:style>
  <w:style w:type="character" w:customStyle="1" w:styleId="22">
    <w:name w:val="批注框文本 字符"/>
    <w:basedOn w:val="12"/>
    <w:link w:val="5"/>
    <w:semiHidden/>
    <w:qFormat/>
    <w:uiPriority w:val="99"/>
    <w:rPr>
      <w:rFonts w:ascii="Calibri" w:hAnsi="Calibri"/>
      <w:kern w:val="2"/>
      <w:sz w:val="18"/>
      <w:szCs w:val="18"/>
    </w:rPr>
  </w:style>
  <w:style w:type="character" w:customStyle="1" w:styleId="23">
    <w:name w:val="批注文字 字符"/>
    <w:basedOn w:val="12"/>
    <w:link w:val="3"/>
    <w:semiHidden/>
    <w:qFormat/>
    <w:uiPriority w:val="99"/>
    <w:rPr>
      <w:rFonts w:ascii="Calibri" w:hAnsi="Calibri"/>
      <w:kern w:val="2"/>
      <w:sz w:val="21"/>
      <w:szCs w:val="22"/>
    </w:rPr>
  </w:style>
  <w:style w:type="character" w:customStyle="1" w:styleId="24">
    <w:name w:val="批注主题 字符"/>
    <w:basedOn w:val="23"/>
    <w:link w:val="9"/>
    <w:semiHidden/>
    <w:qFormat/>
    <w:uiPriority w:val="99"/>
    <w:rPr>
      <w:rFonts w:ascii="Calibri" w:hAnsi="Calibr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37</Pages>
  <Words>604</Words>
  <Characters>608</Characters>
  <Lines>181</Lines>
  <Paragraphs>51</Paragraphs>
  <TotalTime>8</TotalTime>
  <ScaleCrop>false</ScaleCrop>
  <LinksUpToDate>false</LinksUpToDate>
  <CharactersWithSpaces>811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2018-03-28T07:32:00Z</dcterms:created>
  <dc:creator>Skyfree</dc:creator>
  <cp:lastModifiedBy>刘元（小号）</cp:lastModifiedBy>
  <cp:lastPrinted>2020-07-06T07:14:00Z</cp:lastPrinted>
  <dcterms:modified xsi:type="dcterms:W3CDTF">2025-07-15T07:27:31Z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C4BEECBDC9C54B7CA3C013862482EFB9</vt:lpwstr>
  </property>
  <property fmtid="{D5CDD505-2E9C-101B-9397-08002B2CF9AE}" pid="4" name="KSOTemplateDocerSaveRecord">
    <vt:lpwstr>eyJoZGlkIjoiNTEyOWUwMjAyYzg3YmNiYTJhYzgwMDkxNjMyNDI2Y2YiLCJ1c2VySWQiOiI2Nzc1Mzc5NDMifQ==</vt:lpwstr>
  </property>
</Properties>
</file>