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A9C98">
      <w:pPr>
        <w:tabs>
          <w:tab w:val="center" w:pos="4153"/>
          <w:tab w:val="right" w:pos="8306"/>
        </w:tabs>
        <w:spacing w:line="360" w:lineRule="auto"/>
        <w:jc w:val="center"/>
        <w:rPr>
          <w:rFonts w:hint="eastAsia" w:ascii="宋体" w:hAnsi="宋体"/>
          <w:b/>
          <w:bCs/>
          <w:sz w:val="32"/>
          <w:szCs w:val="32"/>
        </w:rPr>
      </w:pPr>
      <w:r>
        <w:rPr>
          <w:rFonts w:hint="eastAsia" w:ascii="宋体" w:hAnsi="宋体"/>
          <w:b/>
          <w:bCs/>
          <w:sz w:val="32"/>
          <w:szCs w:val="32"/>
        </w:rPr>
        <w:t>四子王旗第三小学附属配套工程</w:t>
      </w:r>
    </w:p>
    <w:p w14:paraId="0E764CE2">
      <w:pPr>
        <w:tabs>
          <w:tab w:val="center" w:pos="4153"/>
          <w:tab w:val="right" w:pos="8306"/>
        </w:tabs>
        <w:spacing w:line="360" w:lineRule="auto"/>
        <w:jc w:val="center"/>
        <w:rPr>
          <w:rFonts w:hint="eastAsia" w:ascii="宋体" w:hAnsi="宋体" w:eastAsia="宋体"/>
          <w:b/>
          <w:bCs/>
          <w:sz w:val="32"/>
          <w:szCs w:val="32"/>
          <w:lang w:val="en-US" w:eastAsia="zh-CN"/>
        </w:rPr>
      </w:pPr>
      <w:r>
        <w:rPr>
          <w:rFonts w:hint="eastAsia" w:ascii="宋体" w:hAnsi="宋体"/>
          <w:b/>
          <w:bCs/>
          <w:sz w:val="32"/>
          <w:szCs w:val="32"/>
        </w:rPr>
        <w:t>招标工程量清单编制</w:t>
      </w:r>
      <w:r>
        <w:rPr>
          <w:rFonts w:hint="eastAsia" w:ascii="宋体" w:hAnsi="宋体"/>
          <w:b/>
          <w:bCs/>
          <w:sz w:val="32"/>
          <w:szCs w:val="32"/>
          <w:lang w:val="en-US" w:eastAsia="zh-CN"/>
        </w:rPr>
        <w:t>说明</w:t>
      </w:r>
    </w:p>
    <w:p w14:paraId="1723A48C">
      <w:pPr>
        <w:numPr>
          <w:ilvl w:val="0"/>
          <w:numId w:val="1"/>
        </w:numPr>
        <w:spacing w:line="360" w:lineRule="auto"/>
        <w:rPr>
          <w:rFonts w:ascii="宋体" w:hAnsi="宋体"/>
          <w:b/>
          <w:sz w:val="28"/>
          <w:szCs w:val="28"/>
        </w:rPr>
      </w:pPr>
      <w:r>
        <w:rPr>
          <w:rFonts w:hint="eastAsia" w:ascii="宋体" w:hAnsi="宋体"/>
          <w:b/>
          <w:sz w:val="28"/>
          <w:szCs w:val="28"/>
        </w:rPr>
        <w:t>工程概况</w:t>
      </w:r>
    </w:p>
    <w:p w14:paraId="7EA91D81">
      <w:pPr>
        <w:keepNext w:val="0"/>
        <w:keepLines w:val="0"/>
        <w:widowControl/>
        <w:suppressLineNumbers w:val="0"/>
        <w:ind w:firstLine="560" w:firstLineChars="200"/>
        <w:jc w:val="left"/>
        <w:rPr>
          <w:rFonts w:hint="eastAsia" w:ascii="宋体" w:hAnsi="宋体" w:eastAsia="宋体"/>
          <w:sz w:val="28"/>
          <w:szCs w:val="28"/>
          <w:lang w:val="en-US" w:eastAsia="zh-CN"/>
        </w:rPr>
      </w:pPr>
      <w:r>
        <w:rPr>
          <w:rFonts w:hint="eastAsia" w:ascii="宋体" w:hAnsi="宋体"/>
          <w:sz w:val="28"/>
          <w:szCs w:val="28"/>
        </w:rPr>
        <w:t>本工程为四子王旗第三小学附属配套工程。其中</w:t>
      </w:r>
      <w:r>
        <w:rPr>
          <w:rFonts w:hint="eastAsia" w:ascii="宋体" w:hAnsi="宋体"/>
          <w:sz w:val="28"/>
          <w:szCs w:val="28"/>
          <w:lang w:val="en-US" w:eastAsia="zh-CN"/>
        </w:rPr>
        <w:t>包含道路工程、院内硬化、铺种草坪、大门、挡土墙、院墙、室外给排水、电气亮化及扩建搡场等</w:t>
      </w:r>
      <w:r>
        <w:rPr>
          <w:rFonts w:hint="eastAsia" w:ascii="宋体" w:hAnsi="宋体"/>
          <w:sz w:val="28"/>
          <w:szCs w:val="28"/>
        </w:rPr>
        <w:t>等</w:t>
      </w:r>
      <w:r>
        <w:rPr>
          <w:rFonts w:hint="eastAsia" w:ascii="宋体" w:hAnsi="宋体"/>
          <w:sz w:val="28"/>
          <w:szCs w:val="28"/>
          <w:lang w:val="en-US" w:eastAsia="zh-CN"/>
        </w:rPr>
        <w:t>。</w:t>
      </w:r>
    </w:p>
    <w:p w14:paraId="3C318176">
      <w:pPr>
        <w:spacing w:line="360" w:lineRule="auto"/>
        <w:rPr>
          <w:rFonts w:ascii="宋体" w:hAnsi="宋体"/>
          <w:b/>
          <w:sz w:val="28"/>
          <w:szCs w:val="28"/>
        </w:rPr>
      </w:pPr>
      <w:r>
        <w:rPr>
          <w:rFonts w:hint="eastAsia" w:ascii="宋体" w:hAnsi="宋体"/>
          <w:b/>
          <w:sz w:val="28"/>
          <w:szCs w:val="28"/>
        </w:rPr>
        <w:t>二、编制依据</w:t>
      </w:r>
    </w:p>
    <w:p w14:paraId="092DF545">
      <w:pPr>
        <w:numPr>
          <w:ilvl w:val="0"/>
          <w:numId w:val="2"/>
        </w:numPr>
        <w:spacing w:line="360" w:lineRule="auto"/>
        <w:rPr>
          <w:rFonts w:ascii="宋体" w:hAnsi="宋体"/>
          <w:sz w:val="28"/>
          <w:szCs w:val="28"/>
        </w:rPr>
      </w:pPr>
      <w:r>
        <w:rPr>
          <w:rFonts w:hint="eastAsia" w:ascii="宋体" w:hAnsi="宋体"/>
          <w:sz w:val="28"/>
          <w:szCs w:val="28"/>
        </w:rPr>
        <w:t>《建设工程工程量清单计价规范》</w:t>
      </w:r>
      <w:r>
        <w:rPr>
          <w:rFonts w:ascii="宋体" w:hAnsi="宋体"/>
          <w:sz w:val="28"/>
          <w:szCs w:val="28"/>
        </w:rPr>
        <w:t>(GB-50500-20</w:t>
      </w:r>
      <w:r>
        <w:rPr>
          <w:rFonts w:hint="eastAsia" w:ascii="宋体" w:hAnsi="宋体"/>
          <w:sz w:val="28"/>
          <w:szCs w:val="28"/>
        </w:rPr>
        <w:t>13</w:t>
      </w:r>
      <w:r>
        <w:rPr>
          <w:rFonts w:ascii="宋体" w:hAnsi="宋体"/>
          <w:sz w:val="28"/>
          <w:szCs w:val="28"/>
        </w:rPr>
        <w:t>)</w:t>
      </w:r>
      <w:r>
        <w:rPr>
          <w:rFonts w:hint="eastAsia" w:ascii="宋体" w:hAnsi="宋体"/>
          <w:sz w:val="28"/>
          <w:szCs w:val="28"/>
        </w:rPr>
        <w:t>；</w:t>
      </w:r>
    </w:p>
    <w:p w14:paraId="56702D17">
      <w:pPr>
        <w:numPr>
          <w:ilvl w:val="0"/>
          <w:numId w:val="2"/>
        </w:numPr>
        <w:spacing w:line="360" w:lineRule="auto"/>
        <w:rPr>
          <w:rFonts w:ascii="宋体" w:hAnsi="宋体"/>
          <w:sz w:val="28"/>
          <w:szCs w:val="28"/>
        </w:rPr>
      </w:pPr>
      <w:r>
        <w:rPr>
          <w:rFonts w:hint="eastAsia" w:ascii="宋体" w:hAnsi="宋体"/>
          <w:sz w:val="28"/>
          <w:szCs w:val="28"/>
        </w:rPr>
        <w:t>《房屋建筑与装饰工程工程量计算规范》（GB50854-2013）；</w:t>
      </w:r>
    </w:p>
    <w:p w14:paraId="7DE88799">
      <w:pPr>
        <w:numPr>
          <w:ilvl w:val="0"/>
          <w:numId w:val="2"/>
        </w:numPr>
        <w:spacing w:line="360" w:lineRule="auto"/>
        <w:rPr>
          <w:rFonts w:ascii="宋体" w:hAnsi="宋体"/>
          <w:sz w:val="28"/>
          <w:szCs w:val="28"/>
        </w:rPr>
      </w:pPr>
      <w:r>
        <w:rPr>
          <w:rFonts w:hint="eastAsia" w:ascii="宋体" w:hAnsi="宋体"/>
          <w:sz w:val="28"/>
          <w:szCs w:val="28"/>
        </w:rPr>
        <w:t>《通用安装工程工程量计算规范》（GB50856-2013）；</w:t>
      </w:r>
    </w:p>
    <w:p w14:paraId="66A36D38">
      <w:pPr>
        <w:numPr>
          <w:ilvl w:val="0"/>
          <w:numId w:val="2"/>
        </w:numPr>
        <w:spacing w:line="360" w:lineRule="auto"/>
        <w:rPr>
          <w:rFonts w:ascii="宋体" w:hAnsi="宋体"/>
          <w:sz w:val="28"/>
          <w:szCs w:val="28"/>
        </w:rPr>
      </w:pPr>
      <w:r>
        <w:rPr>
          <w:rFonts w:hint="eastAsia" w:ascii="宋体" w:hAnsi="宋体"/>
          <w:sz w:val="28"/>
          <w:szCs w:val="28"/>
        </w:rPr>
        <w:t>《市政工程工程量计算规范》（GB500857-2013）；</w:t>
      </w:r>
    </w:p>
    <w:p w14:paraId="4D039725">
      <w:pPr>
        <w:numPr>
          <w:ilvl w:val="0"/>
          <w:numId w:val="2"/>
        </w:numPr>
        <w:spacing w:line="360" w:lineRule="auto"/>
        <w:rPr>
          <w:rFonts w:ascii="宋体" w:hAnsi="宋体"/>
          <w:sz w:val="28"/>
          <w:szCs w:val="28"/>
        </w:rPr>
      </w:pPr>
      <w:r>
        <w:rPr>
          <w:rFonts w:hint="eastAsia" w:ascii="宋体" w:hAnsi="宋体"/>
          <w:sz w:val="28"/>
          <w:szCs w:val="28"/>
        </w:rPr>
        <w:t>《内蒙古自治区建设工程费用定额》（DNM3-200-2017）；</w:t>
      </w:r>
    </w:p>
    <w:p w14:paraId="1F2C2133">
      <w:pPr>
        <w:numPr>
          <w:ilvl w:val="0"/>
          <w:numId w:val="2"/>
        </w:numPr>
        <w:spacing w:line="360" w:lineRule="auto"/>
        <w:rPr>
          <w:rFonts w:ascii="宋体" w:hAnsi="宋体"/>
          <w:sz w:val="28"/>
          <w:szCs w:val="28"/>
        </w:rPr>
      </w:pPr>
      <w:r>
        <w:rPr>
          <w:rFonts w:hint="eastAsia" w:ascii="宋体" w:hAnsi="宋体"/>
          <w:sz w:val="28"/>
          <w:szCs w:val="28"/>
        </w:rPr>
        <w:t>《内蒙古自治区房屋建筑与装饰工程预算定额》（DNM3-101-2017）；</w:t>
      </w:r>
    </w:p>
    <w:p w14:paraId="1A0F0219">
      <w:pPr>
        <w:numPr>
          <w:ilvl w:val="0"/>
          <w:numId w:val="2"/>
        </w:numPr>
        <w:spacing w:line="360" w:lineRule="auto"/>
        <w:rPr>
          <w:rFonts w:ascii="宋体" w:hAnsi="宋体"/>
          <w:sz w:val="28"/>
          <w:szCs w:val="28"/>
        </w:rPr>
      </w:pPr>
      <w:r>
        <w:rPr>
          <w:rFonts w:hint="eastAsia" w:ascii="宋体" w:hAnsi="宋体"/>
          <w:sz w:val="28"/>
          <w:szCs w:val="28"/>
        </w:rPr>
        <w:t>《内蒙古自治区通用安装工程预算定额》（DNM3-102＜01-12＞-2017）；</w:t>
      </w:r>
    </w:p>
    <w:p w14:paraId="5852852D">
      <w:pPr>
        <w:numPr>
          <w:ilvl w:val="0"/>
          <w:numId w:val="2"/>
        </w:numPr>
        <w:spacing w:line="360" w:lineRule="auto"/>
        <w:rPr>
          <w:rFonts w:ascii="宋体" w:hAnsi="宋体"/>
          <w:sz w:val="28"/>
          <w:szCs w:val="28"/>
        </w:rPr>
      </w:pPr>
      <w:r>
        <w:rPr>
          <w:rFonts w:hint="eastAsia" w:ascii="宋体" w:hAnsi="宋体"/>
          <w:sz w:val="28"/>
          <w:szCs w:val="28"/>
        </w:rPr>
        <w:t>《内蒙古自治区市政工程预算定额》（DNM3-103＜01-07＞-2017）；</w:t>
      </w:r>
    </w:p>
    <w:p w14:paraId="0868B857">
      <w:pPr>
        <w:numPr>
          <w:ilvl w:val="0"/>
          <w:numId w:val="2"/>
        </w:numPr>
        <w:spacing w:line="360" w:lineRule="auto"/>
        <w:rPr>
          <w:rFonts w:hint="eastAsia" w:ascii="宋体" w:hAnsi="宋体"/>
          <w:sz w:val="28"/>
          <w:szCs w:val="28"/>
        </w:rPr>
      </w:pPr>
      <w:r>
        <w:rPr>
          <w:rFonts w:hint="eastAsia" w:ascii="宋体" w:hAnsi="宋体"/>
          <w:sz w:val="28"/>
          <w:szCs w:val="28"/>
        </w:rPr>
        <w:t>《</w:t>
      </w:r>
      <w:r>
        <w:rPr>
          <w:rFonts w:hint="eastAsia" w:ascii="宋体" w:hAnsi="宋体"/>
          <w:sz w:val="28"/>
          <w:szCs w:val="28"/>
          <w:lang w:val="en-US" w:eastAsia="zh-CN"/>
        </w:rPr>
        <w:t>内蒙古自治区园林绿化工程预算定额</w:t>
      </w:r>
      <w:r>
        <w:rPr>
          <w:rFonts w:hint="eastAsia" w:ascii="宋体" w:hAnsi="宋体"/>
          <w:sz w:val="28"/>
          <w:szCs w:val="28"/>
        </w:rPr>
        <w:t>》</w:t>
      </w:r>
      <w:r>
        <w:rPr>
          <w:rFonts w:hint="eastAsia" w:ascii="宋体" w:hAnsi="宋体"/>
          <w:sz w:val="28"/>
          <w:szCs w:val="28"/>
          <w:lang w:val="en-US" w:eastAsia="zh-CN"/>
        </w:rPr>
        <w:t>2017；</w:t>
      </w:r>
    </w:p>
    <w:p w14:paraId="17B82C2F">
      <w:pPr>
        <w:numPr>
          <w:ilvl w:val="0"/>
          <w:numId w:val="2"/>
        </w:numPr>
        <w:spacing w:line="360" w:lineRule="auto"/>
        <w:rPr>
          <w:rFonts w:ascii="宋体" w:hAnsi="宋体"/>
          <w:sz w:val="28"/>
          <w:szCs w:val="28"/>
        </w:rPr>
      </w:pPr>
      <w:r>
        <w:rPr>
          <w:rFonts w:hint="eastAsia" w:ascii="宋体" w:hAnsi="宋体"/>
          <w:sz w:val="28"/>
          <w:szCs w:val="28"/>
        </w:rPr>
        <w:t>依据建设方提供的该项目</w:t>
      </w:r>
      <w:r>
        <w:rPr>
          <w:rFonts w:hint="eastAsia" w:ascii="宋体" w:hAnsi="宋体"/>
          <w:sz w:val="28"/>
          <w:szCs w:val="28"/>
          <w:lang w:val="en-US" w:eastAsia="zh-CN"/>
        </w:rPr>
        <w:t>的图纸及其</w:t>
      </w:r>
      <w:r>
        <w:rPr>
          <w:rFonts w:hint="eastAsia" w:ascii="宋体" w:hAnsi="宋体"/>
          <w:sz w:val="28"/>
          <w:szCs w:val="28"/>
        </w:rPr>
        <w:t>相关资料；</w:t>
      </w:r>
    </w:p>
    <w:p w14:paraId="1363C069">
      <w:pPr>
        <w:numPr>
          <w:ilvl w:val="0"/>
          <w:numId w:val="2"/>
        </w:numPr>
        <w:spacing w:line="360" w:lineRule="auto"/>
        <w:rPr>
          <w:rFonts w:ascii="宋体" w:hAnsi="宋体"/>
          <w:sz w:val="28"/>
          <w:szCs w:val="28"/>
        </w:rPr>
      </w:pPr>
      <w:r>
        <w:rPr>
          <w:rFonts w:hint="eastAsia" w:ascii="宋体" w:hAnsi="宋体"/>
          <w:sz w:val="28"/>
          <w:szCs w:val="28"/>
        </w:rPr>
        <w:t>与建设工程有关的标准、规范、技术资料；</w:t>
      </w:r>
    </w:p>
    <w:p w14:paraId="537F0A05">
      <w:pPr>
        <w:numPr>
          <w:ilvl w:val="0"/>
          <w:numId w:val="2"/>
        </w:numPr>
        <w:spacing w:line="360" w:lineRule="auto"/>
        <w:rPr>
          <w:rFonts w:ascii="宋体" w:hAnsi="宋体"/>
          <w:sz w:val="28"/>
          <w:szCs w:val="28"/>
        </w:rPr>
      </w:pPr>
      <w:r>
        <w:rPr>
          <w:rFonts w:hint="eastAsia" w:ascii="宋体" w:hAnsi="宋体"/>
          <w:sz w:val="28"/>
          <w:szCs w:val="28"/>
        </w:rPr>
        <w:t>施工现场情况、工程特点及常规施工方案；</w:t>
      </w:r>
    </w:p>
    <w:p w14:paraId="376ECF68">
      <w:pPr>
        <w:numPr>
          <w:ilvl w:val="0"/>
          <w:numId w:val="2"/>
        </w:numPr>
        <w:spacing w:line="360" w:lineRule="auto"/>
        <w:rPr>
          <w:rFonts w:ascii="宋体" w:hAnsi="宋体"/>
          <w:sz w:val="28"/>
          <w:szCs w:val="28"/>
        </w:rPr>
      </w:pPr>
      <w:r>
        <w:rPr>
          <w:rFonts w:hint="eastAsia" w:ascii="宋体" w:hAnsi="宋体"/>
          <w:sz w:val="28"/>
          <w:szCs w:val="28"/>
        </w:rPr>
        <w:t>拟定的招标文件；</w:t>
      </w:r>
    </w:p>
    <w:p w14:paraId="59611633">
      <w:pPr>
        <w:numPr>
          <w:ilvl w:val="0"/>
          <w:numId w:val="2"/>
        </w:numPr>
        <w:spacing w:line="360" w:lineRule="auto"/>
        <w:rPr>
          <w:rFonts w:ascii="宋体" w:hAnsi="宋体"/>
          <w:sz w:val="28"/>
          <w:szCs w:val="28"/>
        </w:rPr>
      </w:pPr>
      <w:r>
        <w:rPr>
          <w:rFonts w:hint="eastAsia" w:ascii="宋体" w:hAnsi="宋体"/>
          <w:sz w:val="28"/>
          <w:szCs w:val="28"/>
        </w:rPr>
        <w:t>税金执行内建标[2019]113号关于调整《内蒙古自治区建设工程计价依据增值税税率的通知》中税金税率的通知；</w:t>
      </w:r>
    </w:p>
    <w:p w14:paraId="44CACB82">
      <w:pPr>
        <w:numPr>
          <w:ilvl w:val="0"/>
          <w:numId w:val="2"/>
        </w:numPr>
        <w:spacing w:line="360" w:lineRule="auto"/>
        <w:rPr>
          <w:rFonts w:ascii="宋体" w:hAnsi="宋体"/>
          <w:sz w:val="28"/>
          <w:szCs w:val="28"/>
        </w:rPr>
      </w:pPr>
      <w:r>
        <w:rPr>
          <w:rFonts w:hint="eastAsia" w:ascii="宋体" w:hAnsi="宋体"/>
          <w:sz w:val="28"/>
          <w:szCs w:val="28"/>
        </w:rPr>
        <w:t>规费执行内建标函[2019]468号关于调整《内蒙古自治区建设工程计价依据规费中养老保险费率的通知》中规费费率的通知；</w:t>
      </w:r>
    </w:p>
    <w:p w14:paraId="7A0D2F0D">
      <w:pPr>
        <w:numPr>
          <w:ilvl w:val="0"/>
          <w:numId w:val="2"/>
        </w:numPr>
        <w:spacing w:line="360" w:lineRule="auto"/>
        <w:rPr>
          <w:rFonts w:ascii="宋体" w:hAnsi="宋体"/>
          <w:sz w:val="28"/>
          <w:szCs w:val="28"/>
        </w:rPr>
      </w:pPr>
      <w:r>
        <w:rPr>
          <w:rFonts w:hint="eastAsia" w:ascii="宋体" w:hAnsi="宋体"/>
          <w:sz w:val="28"/>
          <w:szCs w:val="28"/>
          <w:lang w:val="en-US" w:eastAsia="zh-CN"/>
        </w:rPr>
        <w:t>人工费内建标[2021]148号内蒙古自治区住房和城乡建设厅关于调整内蒙古自治区建设工程现行预算定额人工费的通知。</w:t>
      </w:r>
    </w:p>
    <w:p w14:paraId="31A1AAF5">
      <w:pPr>
        <w:spacing w:line="360" w:lineRule="auto"/>
        <w:rPr>
          <w:rFonts w:ascii="宋体" w:hAnsi="宋体"/>
          <w:b/>
          <w:sz w:val="28"/>
          <w:szCs w:val="28"/>
        </w:rPr>
      </w:pPr>
      <w:r>
        <w:rPr>
          <w:rFonts w:hint="eastAsia" w:ascii="宋体" w:hAnsi="宋体"/>
          <w:b/>
          <w:sz w:val="28"/>
          <w:szCs w:val="28"/>
        </w:rPr>
        <w:t>三、工程量清单</w:t>
      </w:r>
    </w:p>
    <w:p w14:paraId="2C56BDD9">
      <w:pPr>
        <w:spacing w:line="360" w:lineRule="auto"/>
        <w:ind w:firstLine="560" w:firstLineChars="200"/>
        <w:rPr>
          <w:rFonts w:ascii="宋体" w:hAnsi="宋体"/>
          <w:bCs/>
          <w:sz w:val="28"/>
          <w:szCs w:val="28"/>
        </w:rPr>
      </w:pPr>
      <w:r>
        <w:rPr>
          <w:rFonts w:hint="eastAsia" w:ascii="宋体" w:hAnsi="宋体"/>
          <w:bCs/>
          <w:sz w:val="28"/>
          <w:szCs w:val="28"/>
        </w:rPr>
        <w:t>详见附件。</w:t>
      </w:r>
    </w:p>
    <w:p w14:paraId="017D725D">
      <w:pPr>
        <w:spacing w:line="360" w:lineRule="auto"/>
        <w:rPr>
          <w:rFonts w:ascii="宋体" w:hAnsi="宋体"/>
          <w:b/>
          <w:sz w:val="28"/>
          <w:szCs w:val="28"/>
        </w:rPr>
      </w:pPr>
      <w:r>
        <w:rPr>
          <w:rFonts w:hint="eastAsia" w:ascii="宋体" w:hAnsi="宋体"/>
          <w:b/>
          <w:sz w:val="28"/>
          <w:szCs w:val="28"/>
        </w:rPr>
        <w:t>四、投标方须知</w:t>
      </w:r>
    </w:p>
    <w:p w14:paraId="42A476AF">
      <w:pPr>
        <w:numPr>
          <w:ilvl w:val="0"/>
          <w:numId w:val="3"/>
        </w:numPr>
        <w:spacing w:line="360" w:lineRule="auto"/>
        <w:rPr>
          <w:rFonts w:ascii="宋体" w:hAnsi="宋体"/>
          <w:sz w:val="28"/>
          <w:szCs w:val="28"/>
        </w:rPr>
      </w:pPr>
      <w:r>
        <w:rPr>
          <w:rFonts w:hint="eastAsia" w:ascii="宋体" w:hAnsi="宋体"/>
          <w:sz w:val="28"/>
          <w:szCs w:val="28"/>
        </w:rPr>
        <w:t>工程量清单中的特征项目内容及工程量不得调整，除有特殊情况经建设方同意后进行变更通知。</w:t>
      </w:r>
    </w:p>
    <w:p w14:paraId="2CFF7A65">
      <w:pPr>
        <w:numPr>
          <w:ilvl w:val="0"/>
          <w:numId w:val="3"/>
        </w:numPr>
        <w:spacing w:line="360" w:lineRule="auto"/>
        <w:rPr>
          <w:rFonts w:ascii="宋体" w:hAnsi="宋体"/>
          <w:sz w:val="28"/>
          <w:szCs w:val="28"/>
        </w:rPr>
      </w:pPr>
      <w:r>
        <w:rPr>
          <w:rFonts w:hint="eastAsia" w:ascii="宋体" w:hAnsi="宋体"/>
          <w:sz w:val="28"/>
          <w:szCs w:val="28"/>
        </w:rPr>
        <w:t>清单项目中缺项子目不得增加，投标方可另行投建议性副标。</w:t>
      </w:r>
    </w:p>
    <w:p w14:paraId="1C78403A">
      <w:pPr>
        <w:spacing w:line="360" w:lineRule="auto"/>
        <w:rPr>
          <w:rFonts w:ascii="宋体" w:hAnsi="宋体"/>
          <w:b/>
          <w:sz w:val="28"/>
          <w:szCs w:val="28"/>
        </w:rPr>
      </w:pPr>
      <w:r>
        <w:rPr>
          <w:rFonts w:hint="eastAsia" w:ascii="宋体" w:hAnsi="宋体"/>
          <w:b/>
          <w:sz w:val="28"/>
          <w:szCs w:val="28"/>
        </w:rPr>
        <w:t>五、其他说明</w:t>
      </w:r>
    </w:p>
    <w:p w14:paraId="61FE56E8">
      <w:pPr>
        <w:numPr>
          <w:ilvl w:val="0"/>
          <w:numId w:val="4"/>
        </w:numPr>
        <w:spacing w:line="360" w:lineRule="auto"/>
        <w:rPr>
          <w:rFonts w:ascii="宋体" w:hAnsi="宋体"/>
          <w:bCs/>
          <w:sz w:val="28"/>
          <w:szCs w:val="28"/>
        </w:rPr>
      </w:pPr>
      <w:r>
        <w:rPr>
          <w:rFonts w:hint="eastAsia" w:ascii="宋体" w:hAnsi="宋体"/>
          <w:bCs/>
          <w:sz w:val="28"/>
          <w:szCs w:val="28"/>
        </w:rPr>
        <w:t>清单中涉及到</w:t>
      </w:r>
      <w:r>
        <w:rPr>
          <w:rFonts w:hint="eastAsia" w:ascii="宋体" w:hAnsi="宋体"/>
          <w:bCs/>
          <w:sz w:val="28"/>
          <w:szCs w:val="28"/>
          <w:lang w:val="en-US" w:eastAsia="zh-CN"/>
        </w:rPr>
        <w:t>内容</w:t>
      </w:r>
      <w:r>
        <w:rPr>
          <w:rFonts w:hint="eastAsia" w:ascii="宋体" w:hAnsi="宋体"/>
          <w:bCs/>
          <w:sz w:val="28"/>
          <w:szCs w:val="28"/>
        </w:rPr>
        <w:t>暂按招标图纸中计入；</w:t>
      </w:r>
    </w:p>
    <w:p w14:paraId="646EA301">
      <w:pPr>
        <w:numPr>
          <w:ilvl w:val="0"/>
          <w:numId w:val="4"/>
        </w:numPr>
        <w:spacing w:line="360" w:lineRule="auto"/>
        <w:rPr>
          <w:rFonts w:ascii="宋体" w:hAnsi="宋体"/>
          <w:bCs/>
          <w:sz w:val="28"/>
          <w:szCs w:val="28"/>
        </w:rPr>
      </w:pPr>
      <w:r>
        <w:rPr>
          <w:rFonts w:hint="eastAsia" w:ascii="宋体" w:hAnsi="宋体"/>
          <w:bCs/>
          <w:sz w:val="28"/>
          <w:szCs w:val="28"/>
        </w:rPr>
        <w:t>暂列金额</w:t>
      </w:r>
      <w:r>
        <w:rPr>
          <w:rFonts w:hint="eastAsia" w:ascii="宋体" w:hAnsi="宋体"/>
          <w:bCs/>
          <w:color w:val="auto"/>
          <w:sz w:val="28"/>
          <w:szCs w:val="28"/>
        </w:rPr>
        <w:t>为</w:t>
      </w:r>
      <w:r>
        <w:rPr>
          <w:rFonts w:hint="eastAsia" w:ascii="宋体" w:hAnsi="宋体"/>
          <w:b/>
          <w:bCs w:val="0"/>
          <w:color w:val="auto"/>
          <w:sz w:val="28"/>
          <w:szCs w:val="28"/>
          <w:lang w:val="en-US" w:eastAsia="zh-CN"/>
        </w:rPr>
        <w:t>382000</w:t>
      </w:r>
      <w:r>
        <w:rPr>
          <w:rFonts w:hint="eastAsia" w:ascii="宋体" w:hAnsi="宋体"/>
          <w:bCs/>
          <w:color w:val="auto"/>
          <w:sz w:val="28"/>
          <w:szCs w:val="28"/>
        </w:rPr>
        <w:t>元（含税）</w:t>
      </w:r>
      <w:r>
        <w:rPr>
          <w:rFonts w:hint="eastAsia" w:ascii="宋体" w:hAnsi="宋体"/>
          <w:bCs/>
          <w:sz w:val="28"/>
          <w:szCs w:val="28"/>
        </w:rPr>
        <w:t>；</w:t>
      </w:r>
    </w:p>
    <w:p w14:paraId="7834350B">
      <w:pPr>
        <w:numPr>
          <w:ilvl w:val="0"/>
          <w:numId w:val="4"/>
        </w:numPr>
        <w:spacing w:line="360" w:lineRule="auto"/>
        <w:rPr>
          <w:rFonts w:ascii="宋体" w:hAnsi="宋体"/>
          <w:bCs/>
          <w:sz w:val="28"/>
          <w:szCs w:val="28"/>
        </w:rPr>
      </w:pPr>
      <w:r>
        <w:rPr>
          <w:rFonts w:hint="eastAsia" w:ascii="宋体" w:hAnsi="宋体"/>
          <w:bCs/>
          <w:sz w:val="28"/>
          <w:szCs w:val="28"/>
        </w:rPr>
        <w:t>本工程量清单应与招标文件中的投标人须知、通用合同条款、专用合同条款、施工图纸、技术标准和要求等章节内容一起阅读和理解；</w:t>
      </w:r>
    </w:p>
    <w:p w14:paraId="7B8F1614">
      <w:pPr>
        <w:numPr>
          <w:ilvl w:val="0"/>
          <w:numId w:val="4"/>
        </w:numPr>
        <w:spacing w:line="360" w:lineRule="auto"/>
        <w:rPr>
          <w:rFonts w:ascii="宋体" w:hAnsi="宋体"/>
          <w:bCs/>
          <w:sz w:val="28"/>
          <w:szCs w:val="28"/>
        </w:rPr>
      </w:pPr>
      <w:r>
        <w:rPr>
          <w:rFonts w:hint="eastAsia" w:ascii="宋体" w:hAnsi="宋体"/>
          <w:bCs/>
          <w:sz w:val="28"/>
          <w:szCs w:val="28"/>
        </w:rPr>
        <w:t>本工程量清单中项目特征描述投标人应与本说明、招标文件及答疑、施工图纸、相关图集、规范、标准及技术</w:t>
      </w:r>
      <w:bookmarkStart w:id="0" w:name="_GoBack"/>
      <w:bookmarkEnd w:id="0"/>
      <w:r>
        <w:rPr>
          <w:rFonts w:hint="eastAsia" w:ascii="宋体" w:hAnsi="宋体"/>
          <w:bCs/>
          <w:sz w:val="28"/>
          <w:szCs w:val="28"/>
        </w:rPr>
        <w:t>资料、现场施工条件等相结合阅读和理解；</w:t>
      </w:r>
    </w:p>
    <w:p w14:paraId="423C8D1E">
      <w:pPr>
        <w:numPr>
          <w:ilvl w:val="0"/>
          <w:numId w:val="4"/>
        </w:numPr>
        <w:spacing w:line="360" w:lineRule="auto"/>
        <w:rPr>
          <w:rFonts w:ascii="宋体" w:hAnsi="宋体"/>
          <w:bCs/>
          <w:sz w:val="28"/>
          <w:szCs w:val="28"/>
        </w:rPr>
      </w:pPr>
      <w:r>
        <w:rPr>
          <w:rFonts w:hint="eastAsia" w:ascii="宋体" w:hAnsi="宋体"/>
          <w:bCs/>
          <w:sz w:val="28"/>
          <w:szCs w:val="28"/>
        </w:rPr>
        <w:t>工程量清单中每一个项目，都需填入综合单价及合价，对于没有填入综合单价及合价的项目，其费用应视为已包括在工程量清单的其他项目综合单价或合价中；</w:t>
      </w:r>
      <w:r>
        <w:rPr>
          <w:rFonts w:ascii="宋体" w:hAnsi="宋体"/>
          <w:bCs/>
          <w:sz w:val="28"/>
          <w:szCs w:val="28"/>
        </w:rPr>
        <w:t xml:space="preserve"> </w:t>
      </w:r>
    </w:p>
    <w:p w14:paraId="6006B41B">
      <w:pPr>
        <w:numPr>
          <w:ilvl w:val="0"/>
          <w:numId w:val="4"/>
        </w:numPr>
        <w:spacing w:line="360" w:lineRule="auto"/>
        <w:rPr>
          <w:rFonts w:ascii="宋体" w:hAnsi="宋体"/>
          <w:bCs/>
          <w:sz w:val="28"/>
          <w:szCs w:val="28"/>
        </w:rPr>
      </w:pPr>
      <w:r>
        <w:rPr>
          <w:rFonts w:hint="eastAsia" w:ascii="宋体" w:hAnsi="宋体"/>
          <w:bCs/>
          <w:sz w:val="28"/>
          <w:szCs w:val="28"/>
        </w:rPr>
        <w:t>工程量清单及其计价格式中的任何内容不得随意删除或涂改，若有错误，在招标答疑时及时提出，以“补遗”资料为准；</w:t>
      </w:r>
    </w:p>
    <w:p w14:paraId="1566EBA7">
      <w:pPr>
        <w:numPr>
          <w:ilvl w:val="0"/>
          <w:numId w:val="4"/>
        </w:numPr>
        <w:spacing w:line="360" w:lineRule="auto"/>
        <w:rPr>
          <w:rFonts w:ascii="宋体" w:hAnsi="宋体"/>
          <w:bCs/>
          <w:sz w:val="28"/>
          <w:szCs w:val="28"/>
        </w:rPr>
      </w:pPr>
      <w:r>
        <w:rPr>
          <w:rFonts w:hint="eastAsia" w:ascii="宋体" w:hAnsi="宋体"/>
          <w:bCs/>
          <w:sz w:val="28"/>
          <w:szCs w:val="28"/>
        </w:rPr>
        <w:t>分部分项工程量清单中对工程项目的项目特征及具体做法只作重点描述，详细情况见施工图设计、技术说明、技术措施表及相关标准图集。组价时应结合投标人现场勘察情况包括完成所有工序工作内容的全部费用，清单描述不能作为投标人漏项、漏序的借口；</w:t>
      </w:r>
    </w:p>
    <w:p w14:paraId="6461C5B9">
      <w:pPr>
        <w:numPr>
          <w:ilvl w:val="0"/>
          <w:numId w:val="4"/>
        </w:numPr>
        <w:spacing w:line="360" w:lineRule="auto"/>
        <w:rPr>
          <w:rFonts w:ascii="宋体" w:hAnsi="宋体"/>
          <w:bCs/>
          <w:sz w:val="28"/>
          <w:szCs w:val="28"/>
        </w:rPr>
      </w:pPr>
      <w:r>
        <w:rPr>
          <w:rFonts w:hint="eastAsia" w:ascii="宋体" w:hAnsi="宋体"/>
          <w:bCs/>
          <w:sz w:val="28"/>
          <w:szCs w:val="28"/>
        </w:rPr>
        <w:t>本工程量清单仅作为投标单位共同报价的基础，不作为最终结算依据。</w:t>
      </w:r>
    </w:p>
    <w:p w14:paraId="62FF22F4">
      <w:pPr>
        <w:spacing w:line="360" w:lineRule="auto"/>
        <w:rPr>
          <w:rFonts w:ascii="宋体" w:hAnsi="宋体"/>
          <w:b/>
          <w:sz w:val="28"/>
          <w:szCs w:val="28"/>
        </w:rPr>
      </w:pPr>
      <w:r>
        <w:rPr>
          <w:rFonts w:hint="eastAsia" w:ascii="宋体" w:hAnsi="宋体"/>
          <w:b/>
          <w:sz w:val="28"/>
          <w:szCs w:val="28"/>
        </w:rPr>
        <w:t>六、说明未尽之处请参阅招标工程量清单及招标文件。</w:t>
      </w:r>
    </w:p>
    <w:p w14:paraId="07702964">
      <w:pPr>
        <w:spacing w:line="360" w:lineRule="auto"/>
        <w:rPr>
          <w:rFonts w:ascii="宋体" w:hAnsi="宋体"/>
          <w:spacing w:val="-20"/>
          <w:sz w:val="28"/>
          <w:szCs w:val="28"/>
        </w:rPr>
      </w:pPr>
    </w:p>
    <w:p w14:paraId="5A5FEBA9">
      <w:pPr>
        <w:spacing w:line="360" w:lineRule="auto"/>
        <w:rPr>
          <w:rFonts w:ascii="宋体" w:hAnsi="宋体"/>
          <w:spacing w:val="-20"/>
          <w:sz w:val="28"/>
          <w:szCs w:val="28"/>
        </w:rPr>
      </w:pPr>
    </w:p>
    <w:p w14:paraId="153955F3"/>
    <w:sectPr>
      <w:headerReference r:id="rId3" w:type="default"/>
      <w:pgSz w:w="11906" w:h="16838"/>
      <w:pgMar w:top="1134" w:right="1134" w:bottom="1246"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6D80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273722"/>
    <w:multiLevelType w:val="multilevel"/>
    <w:tmpl w:val="24273722"/>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2BF45FB7"/>
    <w:multiLevelType w:val="multilevel"/>
    <w:tmpl w:val="2BF45FB7"/>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
    <w:nsid w:val="5E6755D8"/>
    <w:multiLevelType w:val="multilevel"/>
    <w:tmpl w:val="5E6755D8"/>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9EC5F61"/>
    <w:multiLevelType w:val="multilevel"/>
    <w:tmpl w:val="69EC5F61"/>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RjZTE1MDg3MDg2MDViOTQ2MDRjZWUyYzM1ZGYzYTUifQ=="/>
  </w:docVars>
  <w:rsids>
    <w:rsidRoot w:val="00801B25"/>
    <w:rsid w:val="000C4630"/>
    <w:rsid w:val="00133A2A"/>
    <w:rsid w:val="001679E2"/>
    <w:rsid w:val="002F1D4A"/>
    <w:rsid w:val="00310562"/>
    <w:rsid w:val="003169AF"/>
    <w:rsid w:val="004061D0"/>
    <w:rsid w:val="004A53C5"/>
    <w:rsid w:val="005C313A"/>
    <w:rsid w:val="00677704"/>
    <w:rsid w:val="007D5CF9"/>
    <w:rsid w:val="00801B25"/>
    <w:rsid w:val="008321FA"/>
    <w:rsid w:val="00886B96"/>
    <w:rsid w:val="008F2D7A"/>
    <w:rsid w:val="0090207C"/>
    <w:rsid w:val="00A16832"/>
    <w:rsid w:val="00AF76CE"/>
    <w:rsid w:val="00BC207B"/>
    <w:rsid w:val="00BD6267"/>
    <w:rsid w:val="00C73AD6"/>
    <w:rsid w:val="00D404D6"/>
    <w:rsid w:val="00ED5257"/>
    <w:rsid w:val="00F22E2B"/>
    <w:rsid w:val="080A4CED"/>
    <w:rsid w:val="0B0E6045"/>
    <w:rsid w:val="0B8514F9"/>
    <w:rsid w:val="0DE72533"/>
    <w:rsid w:val="10C452FB"/>
    <w:rsid w:val="2195438D"/>
    <w:rsid w:val="22564333"/>
    <w:rsid w:val="29CB2924"/>
    <w:rsid w:val="2E51790E"/>
    <w:rsid w:val="33FC46B6"/>
    <w:rsid w:val="3754601D"/>
    <w:rsid w:val="40F9202D"/>
    <w:rsid w:val="496E46D4"/>
    <w:rsid w:val="4A635F53"/>
    <w:rsid w:val="4A697946"/>
    <w:rsid w:val="59EC54BF"/>
    <w:rsid w:val="61B768D4"/>
    <w:rsid w:val="67872A0C"/>
    <w:rsid w:val="695879B9"/>
    <w:rsid w:val="6AEE75B6"/>
    <w:rsid w:val="78DE46E9"/>
    <w:rsid w:val="7EF87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6"/>
    <w:autoRedefine/>
    <w:qFormat/>
    <w:uiPriority w:val="0"/>
    <w:pPr>
      <w:spacing w:line="560" w:lineRule="exact"/>
      <w:ind w:firstLine="573"/>
      <w:textAlignment w:val="baseline"/>
    </w:pPr>
    <w:rPr>
      <w:sz w:val="28"/>
      <w:szCs w:val="20"/>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正文文本缩进 字符"/>
    <w:basedOn w:val="5"/>
    <w:link w:val="2"/>
    <w:autoRedefine/>
    <w:qFormat/>
    <w:uiPriority w:val="0"/>
    <w:rPr>
      <w:rFonts w:ascii="Times New Roman" w:hAnsi="Times New Roman" w:eastAsia="宋体" w:cs="Times New Roman"/>
      <w:sz w:val="28"/>
      <w:szCs w:val="20"/>
    </w:rPr>
  </w:style>
  <w:style w:type="character" w:customStyle="1" w:styleId="7">
    <w:name w:val="页眉 字符"/>
    <w:basedOn w:val="5"/>
    <w:link w:val="3"/>
    <w:autoRedefine/>
    <w:qFormat/>
    <w:uiPriority w:val="99"/>
    <w:rPr>
      <w:rFonts w:ascii="Times New Roman" w:hAnsi="Times New Roman" w:eastAsia="宋体" w:cs="Times New Roman"/>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1104</Words>
  <Characters>1234</Characters>
  <Lines>12</Lines>
  <Paragraphs>3</Paragraphs>
  <TotalTime>4</TotalTime>
  <ScaleCrop>false</ScaleCrop>
  <LinksUpToDate>false</LinksUpToDate>
  <CharactersWithSpaces>1235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2023-05-30T01:33:00Z</dcterms:created>
  <dc:creator>刘 舫竹</dc:creator>
  <cp:lastModifiedBy>阿彬</cp:lastModifiedBy>
  <cp:lastPrinted>2023-05-31T06:48:00Z</cp:lastPrinted>
  <dcterms:modified xsi:type="dcterms:W3CDTF">2025-10-23T08:59:18Z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E9557EC89A9B4B6B94A536A9DE0BA21B_12</vt:lpwstr>
  </property>
  <property fmtid="{D5CDD505-2E9C-101B-9397-08002B2CF9AE}" pid="4" name="KSOTemplateDocerSaveRecord">
    <vt:lpwstr>eyJoZGlkIjoiNmZiNjJhNzYzMmVhZDAwMWI2NzI4NDdmMDA2NmJjOTYiLCJ1c2VySWQiOiI1NTI2MTQ2OTIifQ==</vt:lpwstr>
  </property>
</Properties>
</file>