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EA11B">
      <w:pPr>
        <w:spacing w:line="400" w:lineRule="atLeast"/>
        <w:jc w:val="center"/>
        <w:rPr>
          <w:rFonts w:hint="eastAsia" w:ascii="宋体" w:hAnsi="宋体" w:eastAsia="宋体" w:cs="宋体"/>
          <w:sz w:val="52"/>
          <w:szCs w:val="52"/>
        </w:rPr>
      </w:pPr>
      <w:r>
        <w:rPr>
          <w:rFonts w:hint="eastAsia" w:ascii="宋体" w:hAnsi="宋体" w:eastAsia="宋体" w:cs="宋体"/>
          <w:b/>
          <w:bCs/>
          <w:sz w:val="52"/>
          <w:szCs w:val="52"/>
          <w:lang w:val="en-US" w:eastAsia="zh-CN"/>
        </w:rPr>
        <w:t>工程量清单</w:t>
      </w:r>
      <w:r>
        <w:rPr>
          <w:rFonts w:hint="eastAsia" w:ascii="宋体" w:hAnsi="宋体" w:eastAsia="宋体" w:cs="宋体"/>
          <w:b/>
          <w:bCs/>
          <w:sz w:val="52"/>
          <w:szCs w:val="52"/>
        </w:rPr>
        <w:t>编制说明</w:t>
      </w:r>
    </w:p>
    <w:p w14:paraId="3CD424C2">
      <w:pPr>
        <w:numPr>
          <w:ilvl w:val="0"/>
          <w:numId w:val="0"/>
        </w:numPr>
        <w:ind w:leftChars="0"/>
        <w:rPr>
          <w:rFonts w:hint="default" w:ascii="微软雅黑" w:hAnsi="微软雅黑" w:eastAsia="微软雅黑" w:cs="微软雅黑"/>
          <w:kern w:val="2"/>
          <w:sz w:val="22"/>
          <w:szCs w:val="22"/>
          <w:lang w:val="en-US" w:eastAsia="zh-CN" w:bidi="ar-SA"/>
        </w:rPr>
      </w:pPr>
      <w:r>
        <w:rPr>
          <w:rFonts w:hint="eastAsia" w:ascii="宋体" w:hAnsi="宋体" w:eastAsia="宋体" w:cs="宋体"/>
          <w:b/>
          <w:bCs/>
          <w:kern w:val="2"/>
          <w:sz w:val="28"/>
          <w:szCs w:val="28"/>
          <w:lang w:val="en-US" w:eastAsia="zh-CN" w:bidi="ar-SA"/>
        </w:rPr>
        <w:t>一、工程概况：</w:t>
      </w:r>
    </w:p>
    <w:p w14:paraId="2FF85078">
      <w:pPr>
        <w:rPr>
          <w:rFonts w:hint="eastAsia" w:ascii="新宋体" w:hAnsi="新宋体" w:eastAsia="新宋体" w:cs="新宋体"/>
          <w:kern w:val="2"/>
          <w:sz w:val="28"/>
          <w:szCs w:val="28"/>
          <w:lang w:val="en-US" w:eastAsia="zh-CN" w:bidi="ar-SA"/>
        </w:rPr>
      </w:pPr>
      <w:r>
        <w:rPr>
          <w:rFonts w:hint="eastAsia" w:ascii="新宋体" w:hAnsi="新宋体" w:eastAsia="新宋体" w:cs="新宋体"/>
          <w:kern w:val="2"/>
          <w:sz w:val="28"/>
          <w:szCs w:val="28"/>
          <w:lang w:val="en-US" w:eastAsia="zh-CN" w:bidi="ar-SA"/>
        </w:rPr>
        <w:t>1、</w:t>
      </w:r>
      <w:r>
        <w:rPr>
          <w:rFonts w:hint="eastAsia" w:ascii="新宋体" w:hAnsi="新宋体" w:eastAsia="新宋体" w:cs="新宋体"/>
          <w:kern w:val="2"/>
          <w:sz w:val="28"/>
          <w:szCs w:val="28"/>
          <w:highlight w:val="none"/>
          <w:lang w:val="en-US" w:eastAsia="zh-CN" w:bidi="ar-SA"/>
        </w:rPr>
        <w:t>本项目为</w:t>
      </w:r>
      <w:r>
        <w:rPr>
          <w:rFonts w:hint="eastAsia" w:ascii="新宋体" w:hAnsi="新宋体" w:eastAsia="新宋体" w:cs="新宋体"/>
          <w:kern w:val="2"/>
          <w:sz w:val="28"/>
          <w:szCs w:val="28"/>
          <w:lang w:val="en-US" w:eastAsia="zh-CN" w:bidi="ar-SA"/>
        </w:rPr>
        <w:t>鄂托克前旗青少年科普教育项目，包含房屋建筑与装饰工程，房屋修缮工程，通用安装工程。</w:t>
      </w:r>
    </w:p>
    <w:p w14:paraId="614CC541">
      <w:pPr>
        <w:numPr>
          <w:ilvl w:val="0"/>
          <w:numId w:val="0"/>
        </w:numPr>
        <w:ind w:leftChars="0"/>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二、编制依据：</w:t>
      </w:r>
    </w:p>
    <w:p w14:paraId="02653219">
      <w:pPr>
        <w:snapToGrid w:val="0"/>
        <w:spacing w:line="480" w:lineRule="auto"/>
        <w:ind w:firstLine="560" w:firstLineChars="200"/>
        <w:textAlignment w:val="baseline"/>
        <w:rPr>
          <w:rFonts w:hint="eastAsia" w:ascii="宋体" w:hAnsi="宋体" w:eastAsia="宋体" w:cs="宋体"/>
          <w:b/>
          <w:bCs/>
          <w:kern w:val="2"/>
          <w:sz w:val="28"/>
          <w:szCs w:val="28"/>
          <w:lang w:val="en-US" w:eastAsia="zh-CN" w:bidi="ar-SA"/>
        </w:rPr>
      </w:pPr>
      <w:r>
        <w:rPr>
          <w:rFonts w:hint="eastAsia" w:ascii="新宋体" w:hAnsi="新宋体" w:eastAsia="新宋体" w:cs="新宋体"/>
          <w:kern w:val="2"/>
          <w:sz w:val="28"/>
          <w:szCs w:val="28"/>
          <w:lang w:val="en-US" w:eastAsia="zh-CN" w:bidi="ar-SA"/>
        </w:rPr>
        <w:t>1、依据委托方提供的鄂托克前旗青少年科普教育项目图纸、设计方回复的图纸答疑；</w:t>
      </w:r>
    </w:p>
    <w:p w14:paraId="75FB45DF">
      <w:pPr>
        <w:snapToGrid w:val="0"/>
        <w:spacing w:line="480" w:lineRule="auto"/>
        <w:ind w:firstLine="560" w:firstLineChars="200"/>
        <w:textAlignment w:val="baseline"/>
        <w:rPr>
          <w:rFonts w:hint="eastAsia" w:ascii="新宋体" w:hAnsi="新宋体" w:eastAsia="新宋体" w:cs="新宋体"/>
          <w:kern w:val="2"/>
          <w:sz w:val="28"/>
          <w:szCs w:val="28"/>
          <w:lang w:val="en-US" w:eastAsia="zh-CN" w:bidi="ar-SA"/>
        </w:rPr>
      </w:pPr>
      <w:r>
        <w:rPr>
          <w:rFonts w:hint="eastAsia" w:ascii="新宋体" w:hAnsi="新宋体" w:eastAsia="新宋体" w:cs="新宋体"/>
          <w:kern w:val="2"/>
          <w:sz w:val="28"/>
          <w:szCs w:val="28"/>
          <w:lang w:val="en-US" w:eastAsia="zh-CN" w:bidi="ar-SA"/>
        </w:rPr>
        <w:t>2、依据《建设工程工程量清单计价规范（GB 50500-2013）》、</w:t>
      </w:r>
      <w:r>
        <w:rPr>
          <w:rFonts w:hint="eastAsia" w:ascii="宋体" w:hAnsi="宋体" w:eastAsia="宋体" w:cs="宋体"/>
          <w:kern w:val="2"/>
          <w:sz w:val="28"/>
          <w:szCs w:val="28"/>
          <w:lang w:val="en-US" w:eastAsia="zh-CN" w:bidi="ar-SA"/>
        </w:rPr>
        <w:t>《房屋建筑与装饰工程工程量计算规范》(GB50854-2013)</w:t>
      </w:r>
      <w:r>
        <w:rPr>
          <w:rFonts w:hint="eastAsia" w:ascii="新宋体" w:hAnsi="新宋体" w:eastAsia="新宋体" w:cs="新宋体"/>
          <w:kern w:val="2"/>
          <w:sz w:val="28"/>
          <w:szCs w:val="28"/>
          <w:lang w:val="en-US" w:eastAsia="zh-CN" w:bidi="ar-SA"/>
        </w:rPr>
        <w:t>、</w:t>
      </w:r>
      <w:r>
        <w:rPr>
          <w:rFonts w:hint="eastAsia" w:ascii="宋体" w:hAnsi="宋体" w:eastAsia="宋体" w:cs="宋体"/>
          <w:kern w:val="2"/>
          <w:sz w:val="28"/>
          <w:szCs w:val="28"/>
          <w:lang w:val="en-US" w:eastAsia="zh-CN" w:bidi="ar-SA"/>
        </w:rPr>
        <w:t>《通用安装工程工程量计算规范》(GB50856-2013)</w:t>
      </w:r>
      <w:r>
        <w:rPr>
          <w:rFonts w:hint="eastAsia" w:ascii="新宋体" w:hAnsi="新宋体" w:eastAsia="新宋体" w:cs="新宋体"/>
          <w:kern w:val="2"/>
          <w:sz w:val="28"/>
          <w:szCs w:val="28"/>
          <w:lang w:val="en-US" w:eastAsia="zh-CN" w:bidi="ar-SA"/>
        </w:rPr>
        <w:t>等以及相关法律法规及规范规定编制；</w:t>
      </w:r>
    </w:p>
    <w:p w14:paraId="0A6820E7">
      <w:pPr>
        <w:pStyle w:val="2"/>
        <w:keepNext w:val="0"/>
        <w:keepLines w:val="0"/>
        <w:widowControl/>
        <w:suppressLineNumbers w:val="0"/>
        <w:spacing w:before="0" w:beforeAutospacing="0" w:after="0" w:afterAutospacing="0"/>
        <w:ind w:left="0" w:right="0" w:firstLine="560" w:firstLineChars="200"/>
        <w:rPr>
          <w:rFonts w:hint="eastAsia" w:ascii="新宋体" w:hAnsi="新宋体" w:eastAsia="新宋体" w:cs="新宋体"/>
          <w:color w:val="auto"/>
          <w:kern w:val="2"/>
          <w:sz w:val="28"/>
          <w:szCs w:val="28"/>
          <w:lang w:val="en-US" w:eastAsia="zh-CN" w:bidi="ar-SA"/>
        </w:rPr>
      </w:pPr>
      <w:r>
        <w:rPr>
          <w:rFonts w:hint="eastAsia" w:ascii="新宋体" w:hAnsi="新宋体" w:eastAsia="新宋体" w:cs="新宋体"/>
          <w:color w:val="auto"/>
          <w:kern w:val="2"/>
          <w:sz w:val="28"/>
          <w:szCs w:val="28"/>
          <w:lang w:val="en-US" w:eastAsia="zh-CN" w:bidi="ar-SA"/>
        </w:rPr>
        <w:t>3、规费依据内建标函[2019]468号文《关于调整内蒙古自治区建设工程计价依据规费中养老保险费率的通知》为19%；</w:t>
      </w:r>
    </w:p>
    <w:p w14:paraId="19483443">
      <w:pPr>
        <w:pStyle w:val="2"/>
        <w:keepNext w:val="0"/>
        <w:keepLines w:val="0"/>
        <w:widowControl/>
        <w:suppressLineNumbers w:val="0"/>
        <w:spacing w:before="0" w:beforeAutospacing="0" w:after="0" w:afterAutospacing="0"/>
        <w:ind w:left="0" w:right="0" w:firstLine="560" w:firstLineChars="200"/>
        <w:rPr>
          <w:rFonts w:hint="eastAsia" w:ascii="新宋体" w:hAnsi="新宋体" w:eastAsia="新宋体" w:cs="新宋体"/>
          <w:color w:val="auto"/>
          <w:kern w:val="2"/>
          <w:sz w:val="28"/>
          <w:szCs w:val="28"/>
          <w:lang w:val="en-US" w:eastAsia="zh-CN" w:bidi="ar-SA"/>
        </w:rPr>
      </w:pPr>
      <w:r>
        <w:rPr>
          <w:rFonts w:hint="eastAsia" w:ascii="新宋体" w:hAnsi="新宋体" w:eastAsia="新宋体" w:cs="新宋体"/>
          <w:color w:val="auto"/>
          <w:kern w:val="2"/>
          <w:sz w:val="28"/>
          <w:szCs w:val="28"/>
          <w:lang w:val="en-US" w:eastAsia="zh-CN" w:bidi="ar-SA"/>
        </w:rPr>
        <w:t>4、税金依据内建标[2019]113号文《关于调整内蒙古自治区建设工程计价依据增值税税率的通知》为9%；</w:t>
      </w:r>
    </w:p>
    <w:p w14:paraId="1ECD4114">
      <w:pPr>
        <w:pStyle w:val="2"/>
        <w:keepNext w:val="0"/>
        <w:keepLines w:val="0"/>
        <w:widowControl/>
        <w:suppressLineNumbers w:val="0"/>
        <w:spacing w:before="0" w:beforeAutospacing="0" w:after="0" w:afterAutospacing="0"/>
        <w:ind w:left="0" w:right="0" w:firstLine="560" w:firstLineChars="200"/>
        <w:rPr>
          <w:rFonts w:hint="eastAsia" w:ascii="新宋体" w:hAnsi="新宋体" w:eastAsia="新宋体" w:cs="新宋体"/>
          <w:color w:val="auto"/>
          <w:kern w:val="2"/>
          <w:sz w:val="28"/>
          <w:szCs w:val="28"/>
          <w:lang w:val="en-US" w:eastAsia="zh-CN" w:bidi="ar-SA"/>
        </w:rPr>
      </w:pPr>
      <w:r>
        <w:rPr>
          <w:rFonts w:hint="eastAsia" w:ascii="新宋体" w:hAnsi="新宋体" w:eastAsia="新宋体" w:cs="新宋体"/>
          <w:color w:val="auto"/>
          <w:kern w:val="2"/>
          <w:sz w:val="28"/>
          <w:szCs w:val="28"/>
          <w:lang w:val="en-US" w:eastAsia="zh-CN" w:bidi="ar-SA"/>
        </w:rPr>
        <w:t>5、人工费依据依据内建标[2021]148号《内蒙古自治区住房和城乡建设厅关于调整内蒙古自治区建设工程现行预算定额人工费的通知》进行调整；</w:t>
      </w:r>
    </w:p>
    <w:p w14:paraId="4ED8D9B3">
      <w:pPr>
        <w:numPr>
          <w:ilvl w:val="0"/>
          <w:numId w:val="0"/>
        </w:numPr>
        <w:spacing w:line="480" w:lineRule="auto"/>
        <w:ind w:firstLine="560" w:firstLineChars="200"/>
        <w:rPr>
          <w:rFonts w:hint="eastAsia" w:ascii="新宋体" w:hAnsi="新宋体" w:eastAsia="新宋体" w:cs="新宋体"/>
          <w:color w:val="auto"/>
          <w:kern w:val="2"/>
          <w:sz w:val="28"/>
          <w:szCs w:val="28"/>
          <w:lang w:val="en-US" w:eastAsia="zh-CN" w:bidi="ar-SA"/>
        </w:rPr>
      </w:pPr>
      <w:r>
        <w:rPr>
          <w:rFonts w:hint="eastAsia" w:ascii="新宋体" w:hAnsi="新宋体" w:eastAsia="新宋体" w:cs="新宋体"/>
          <w:color w:val="auto"/>
          <w:kern w:val="2"/>
          <w:sz w:val="28"/>
          <w:szCs w:val="28"/>
          <w:lang w:val="en-US" w:eastAsia="zh-CN" w:bidi="ar-SA"/>
        </w:rPr>
        <w:t>6、材料价格执行鄂尔多斯市鄂托克前旗2025年9月信息价，鄂托克前旗没有的材料价执行东胜区信息价及周边市场询价。</w:t>
      </w:r>
    </w:p>
    <w:p w14:paraId="6FA65E29">
      <w:pPr>
        <w:numPr>
          <w:ilvl w:val="0"/>
          <w:numId w:val="0"/>
        </w:numPr>
        <w:spacing w:line="480" w:lineRule="auto"/>
        <w:ind w:firstLine="560" w:firstLineChars="200"/>
        <w:rPr>
          <w:rFonts w:hint="default" w:ascii="新宋体" w:hAnsi="新宋体" w:eastAsia="新宋体" w:cs="新宋体"/>
          <w:color w:val="auto"/>
          <w:kern w:val="2"/>
          <w:sz w:val="28"/>
          <w:szCs w:val="28"/>
          <w:lang w:val="en-US" w:eastAsia="zh-CN" w:bidi="ar-SA"/>
        </w:rPr>
      </w:pPr>
    </w:p>
    <w:p w14:paraId="0FBB4967">
      <w:pPr>
        <w:numPr>
          <w:ilvl w:val="0"/>
          <w:numId w:val="0"/>
        </w:numPr>
        <w:ind w:leftChars="0"/>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三、其他说明</w:t>
      </w:r>
    </w:p>
    <w:p w14:paraId="5835094D">
      <w:pPr>
        <w:pStyle w:val="2"/>
        <w:keepNext w:val="0"/>
        <w:keepLines w:val="0"/>
        <w:widowControl/>
        <w:suppressLineNumbers w:val="0"/>
        <w:spacing w:before="0" w:beforeAutospacing="0" w:after="0" w:afterAutospacing="0"/>
        <w:ind w:right="0" w:firstLine="560" w:firstLineChars="200"/>
        <w:rPr>
          <w:rFonts w:hint="eastAsia" w:ascii="新宋体" w:hAnsi="新宋体" w:eastAsia="新宋体" w:cs="新宋体"/>
          <w:color w:val="auto"/>
          <w:kern w:val="2"/>
          <w:sz w:val="28"/>
          <w:szCs w:val="28"/>
          <w:lang w:val="en-US" w:eastAsia="zh-CN" w:bidi="ar-SA"/>
        </w:rPr>
      </w:pPr>
      <w:r>
        <w:rPr>
          <w:rFonts w:hint="eastAsia" w:ascii="新宋体" w:hAnsi="新宋体" w:eastAsia="新宋体" w:cs="新宋体"/>
          <w:color w:val="auto"/>
          <w:kern w:val="2"/>
          <w:sz w:val="28"/>
          <w:szCs w:val="28"/>
          <w:lang w:val="en-US" w:eastAsia="zh-CN" w:bidi="ar-SA"/>
        </w:rPr>
        <w:t>1、建筑工人实名制暂不计取；</w:t>
      </w:r>
    </w:p>
    <w:p w14:paraId="1759D573">
      <w:pPr>
        <w:pStyle w:val="2"/>
        <w:keepNext w:val="0"/>
        <w:keepLines w:val="0"/>
        <w:widowControl/>
        <w:suppressLineNumbers w:val="0"/>
        <w:spacing w:before="0" w:beforeAutospacing="0" w:after="0" w:afterAutospacing="0"/>
        <w:ind w:right="0" w:firstLine="560" w:firstLineChars="200"/>
        <w:rPr>
          <w:rFonts w:hint="eastAsia" w:ascii="宋体" w:hAnsi="宋体" w:eastAsia="宋体" w:cs="宋体"/>
          <w:kern w:val="2"/>
          <w:sz w:val="28"/>
          <w:szCs w:val="28"/>
          <w:lang w:val="en-US" w:eastAsia="zh-CN" w:bidi="ar-SA"/>
        </w:rPr>
      </w:pPr>
      <w:r>
        <w:rPr>
          <w:rFonts w:hint="eastAsia" w:ascii="新宋体" w:hAnsi="新宋体" w:eastAsia="新宋体" w:cs="新宋体"/>
          <w:color w:val="auto"/>
          <w:kern w:val="2"/>
          <w:sz w:val="28"/>
          <w:szCs w:val="28"/>
          <w:lang w:val="en-US" w:eastAsia="zh-CN" w:bidi="ar-SA"/>
        </w:rPr>
        <w:t>2、材料检验试验费暂不计取；</w:t>
      </w:r>
      <w:r>
        <w:rPr>
          <w:rFonts w:hint="eastAsia" w:ascii="宋体" w:hAnsi="宋体" w:eastAsia="宋体" w:cs="宋体"/>
          <w:kern w:val="2"/>
          <w:sz w:val="28"/>
          <w:szCs w:val="28"/>
          <w:lang w:val="en-US" w:eastAsia="zh-CN" w:bidi="ar-SA"/>
        </w:rPr>
        <w:t xml:space="preserve"> </w:t>
      </w:r>
    </w:p>
    <w:p w14:paraId="5144854D">
      <w:pPr>
        <w:keepNext w:val="0"/>
        <w:keepLines w:val="0"/>
        <w:pageBreakBefore w:val="0"/>
        <w:widowControl w:val="0"/>
        <w:kinsoku/>
        <w:wordWrap/>
        <w:overflowPunct/>
        <w:topLinePunct w:val="0"/>
        <w:autoSpaceDE/>
        <w:autoSpaceDN/>
        <w:bidi w:val="0"/>
        <w:adjustRightInd w:val="0"/>
        <w:snapToGrid/>
        <w:spacing w:line="240" w:lineRule="auto"/>
        <w:ind w:firstLine="560" w:firstLineChars="200"/>
        <w:jc w:val="left"/>
        <w:textAlignment w:val="baseline"/>
        <w:rPr>
          <w:rFonts w:hint="default" w:ascii="新宋体" w:hAnsi="新宋体" w:eastAsia="新宋体" w:cs="新宋体"/>
          <w:color w:val="auto"/>
          <w:kern w:val="2"/>
          <w:sz w:val="28"/>
          <w:szCs w:val="28"/>
          <w:lang w:val="en-US" w:eastAsia="zh-CN" w:bidi="ar-SA"/>
        </w:rPr>
      </w:pPr>
      <w:r>
        <w:rPr>
          <w:rFonts w:hint="eastAsia" w:ascii="新宋体" w:hAnsi="新宋体" w:eastAsia="新宋体" w:cs="新宋体"/>
          <w:color w:val="auto"/>
          <w:kern w:val="2"/>
          <w:sz w:val="28"/>
          <w:szCs w:val="28"/>
          <w:lang w:val="en-US" w:eastAsia="zh-CN" w:bidi="ar-SA"/>
        </w:rPr>
        <w:t>3、安全生产费计提费用暂不计取，结算时应根据经建设单位、监理单位、监督单位及安全生产管理部门批复的安全生产施工方案结合实际投入情况据实结算</w:t>
      </w:r>
      <w:r>
        <w:rPr>
          <w:rFonts w:hint="eastAsia" w:ascii="宋体" w:hAnsi="宋体" w:eastAsia="宋体" w:cs="宋体"/>
          <w:kern w:val="2"/>
          <w:sz w:val="28"/>
          <w:szCs w:val="28"/>
          <w:lang w:val="en-US" w:eastAsia="zh-CN" w:bidi="ar-SA"/>
        </w:rPr>
        <w:t>；</w:t>
      </w:r>
    </w:p>
    <w:p w14:paraId="3975FD65">
      <w:pPr>
        <w:pStyle w:val="2"/>
        <w:keepNext w:val="0"/>
        <w:keepLines w:val="0"/>
        <w:widowControl/>
        <w:suppressLineNumbers w:val="0"/>
        <w:spacing w:before="0" w:beforeAutospacing="0" w:after="0" w:afterAutospacing="0"/>
        <w:ind w:left="0" w:right="0"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4、材料暂估价，详各单位工程材料（工程设备）暂估单价及调整表；</w:t>
      </w:r>
    </w:p>
    <w:p w14:paraId="19141F79">
      <w:pPr>
        <w:pStyle w:val="2"/>
        <w:keepNext w:val="0"/>
        <w:keepLines w:val="0"/>
        <w:widowControl/>
        <w:suppressLineNumbers w:val="0"/>
        <w:spacing w:before="0" w:beforeAutospacing="0" w:after="0" w:afterAutospacing="0"/>
        <w:ind w:right="0"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5</w:t>
      </w:r>
      <w:r>
        <w:rPr>
          <w:rFonts w:hint="eastAsia" w:ascii="新宋体" w:hAnsi="新宋体" w:eastAsia="新宋体" w:cs="新宋体"/>
          <w:color w:val="auto"/>
          <w:kern w:val="2"/>
          <w:sz w:val="28"/>
          <w:szCs w:val="28"/>
          <w:lang w:val="en-US" w:eastAsia="zh-CN" w:bidi="ar-SA"/>
        </w:rPr>
        <w:t>、综合单价暂估详见工程量清单特征描述</w:t>
      </w:r>
      <w:r>
        <w:rPr>
          <w:rFonts w:hint="eastAsia" w:ascii="宋体" w:hAnsi="宋体" w:eastAsia="宋体" w:cs="宋体"/>
          <w:kern w:val="2"/>
          <w:sz w:val="28"/>
          <w:szCs w:val="28"/>
          <w:lang w:val="en-US" w:eastAsia="zh-CN" w:bidi="ar-SA"/>
        </w:rPr>
        <w:t>；</w:t>
      </w:r>
    </w:p>
    <w:p w14:paraId="58839A50">
      <w:pPr>
        <w:pStyle w:val="2"/>
        <w:keepNext w:val="0"/>
        <w:keepLines w:val="0"/>
        <w:widowControl/>
        <w:suppressLineNumbers w:val="0"/>
        <w:spacing w:before="0" w:beforeAutospacing="0" w:after="0" w:afterAutospacing="0"/>
        <w:ind w:left="0" w:right="0" w:firstLine="560" w:firstLineChars="200"/>
        <w:rPr>
          <w:rFonts w:hint="eastAsia" w:ascii="新宋体" w:hAnsi="新宋体" w:eastAsia="新宋体" w:cs="新宋体"/>
          <w:color w:val="auto"/>
          <w:kern w:val="2"/>
          <w:sz w:val="28"/>
          <w:szCs w:val="28"/>
          <w:lang w:val="en-US" w:eastAsia="zh-CN" w:bidi="ar-SA"/>
        </w:rPr>
      </w:pPr>
      <w:r>
        <w:rPr>
          <w:rFonts w:hint="eastAsia" w:ascii="宋体" w:hAnsi="宋体" w:eastAsia="宋体" w:cs="宋体"/>
          <w:kern w:val="2"/>
          <w:sz w:val="28"/>
          <w:szCs w:val="28"/>
          <w:lang w:val="en-US" w:eastAsia="zh-CN" w:bidi="ar-SA"/>
        </w:rPr>
        <w:t>6</w:t>
      </w:r>
      <w:r>
        <w:rPr>
          <w:rFonts w:hint="eastAsia" w:ascii="宋体" w:hAnsi="宋体" w:cs="宋体"/>
          <w:kern w:val="2"/>
          <w:sz w:val="28"/>
          <w:szCs w:val="28"/>
          <w:lang w:val="en-US" w:eastAsia="zh-CN" w:bidi="ar-SA"/>
        </w:rPr>
        <w:t>、其他</w:t>
      </w:r>
      <w:r>
        <w:rPr>
          <w:rFonts w:hint="eastAsia" w:ascii="新宋体" w:hAnsi="新宋体" w:eastAsia="新宋体" w:cs="新宋体"/>
          <w:color w:val="auto"/>
          <w:kern w:val="2"/>
          <w:sz w:val="28"/>
          <w:szCs w:val="28"/>
          <w:lang w:val="en-US" w:eastAsia="zh-CN" w:bidi="ar-SA"/>
        </w:rPr>
        <w:t>未尽事宜详见各工程量清单项目特征描述。</w:t>
      </w:r>
    </w:p>
    <w:p w14:paraId="26C64DC7">
      <w:pPr>
        <w:pStyle w:val="2"/>
        <w:keepNext w:val="0"/>
        <w:keepLines w:val="0"/>
        <w:widowControl/>
        <w:numPr>
          <w:ilvl w:val="0"/>
          <w:numId w:val="1"/>
        </w:numPr>
        <w:suppressLineNumbers w:val="0"/>
        <w:spacing w:before="0" w:beforeAutospacing="0" w:after="0" w:afterAutospacing="0"/>
        <w:ind w:right="0"/>
        <w:rPr>
          <w:rFonts w:hint="eastAsia" w:ascii="新宋体" w:hAnsi="新宋体" w:eastAsia="新宋体" w:cs="新宋体"/>
          <w:color w:val="auto"/>
          <w:kern w:val="2"/>
          <w:sz w:val="28"/>
          <w:szCs w:val="28"/>
          <w:lang w:val="en-US" w:eastAsia="zh-CN" w:bidi="ar-SA"/>
        </w:rPr>
      </w:pPr>
      <w:r>
        <w:rPr>
          <w:rFonts w:hint="eastAsia" w:ascii="宋体" w:hAnsi="宋体" w:eastAsia="宋体" w:cs="宋体"/>
          <w:b/>
          <w:bCs/>
          <w:kern w:val="2"/>
          <w:sz w:val="28"/>
          <w:szCs w:val="28"/>
          <w:lang w:val="en-US" w:eastAsia="zh-CN" w:bidi="ar-SA"/>
        </w:rPr>
        <w:t>暂列金额：</w:t>
      </w:r>
      <w:r>
        <w:rPr>
          <w:rFonts w:hint="eastAsia" w:ascii="新宋体" w:hAnsi="新宋体" w:eastAsia="新宋体" w:cs="新宋体"/>
          <w:color w:val="auto"/>
          <w:kern w:val="2"/>
          <w:sz w:val="28"/>
          <w:szCs w:val="28"/>
          <w:lang w:val="en-US" w:eastAsia="zh-CN" w:bidi="ar-SA"/>
        </w:rPr>
        <w:t>2400000.00元（大写：贰佰肆拾万元整），含税。</w:t>
      </w:r>
    </w:p>
    <w:p w14:paraId="3E1E5D8E">
      <w:pPr>
        <w:keepNext w:val="0"/>
        <w:keepLines w:val="0"/>
        <w:widowControl/>
        <w:suppressLineNumbers w:val="0"/>
        <w:jc w:val="left"/>
        <w:rPr>
          <w:rFonts w:hint="eastAsia" w:ascii="新宋体" w:hAnsi="新宋体" w:eastAsia="新宋体" w:cs="新宋体"/>
          <w:color w:val="auto"/>
          <w:kern w:val="2"/>
          <w:sz w:val="28"/>
          <w:szCs w:val="28"/>
          <w:lang w:val="en-US" w:eastAsia="zh-CN" w:bidi="ar-SA"/>
        </w:rPr>
      </w:pPr>
      <w:r>
        <w:rPr>
          <w:rFonts w:hint="eastAsia" w:ascii="宋体" w:hAnsi="宋体" w:eastAsia="宋体" w:cs="宋体"/>
          <w:b/>
          <w:bCs/>
          <w:kern w:val="2"/>
          <w:sz w:val="28"/>
          <w:szCs w:val="28"/>
          <w:lang w:val="en-US" w:eastAsia="zh-CN" w:bidi="ar-SA"/>
        </w:rPr>
        <w:t>五、招标控制价：</w:t>
      </w:r>
      <w:r>
        <w:rPr>
          <w:rFonts w:hint="eastAsia" w:ascii="新宋体" w:hAnsi="新宋体" w:eastAsia="新宋体" w:cs="新宋体"/>
          <w:color w:val="auto"/>
          <w:kern w:val="2"/>
          <w:sz w:val="28"/>
          <w:szCs w:val="28"/>
          <w:lang w:val="en-US" w:eastAsia="zh-CN" w:bidi="ar-SA"/>
        </w:rPr>
        <w:t>24245312.00元（大写：贰仟肆佰贰拾肆万伍仟叁佰壹拾贰元整），含暂列金额。</w:t>
      </w:r>
      <w:bookmarkStart w:id="0" w:name="_GoBack"/>
      <w:bookmarkEnd w:id="0"/>
    </w:p>
    <w:p w14:paraId="427D49C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9C5AD3"/>
    <w:multiLevelType w:val="singleLevel"/>
    <w:tmpl w:val="8F9C5AD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C4351D"/>
    <w:rsid w:val="09C4351D"/>
    <w:rsid w:val="4A453DDA"/>
    <w:rsid w:val="6CC42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644</Words>
  <Characters>723</Characters>
  <Lines>0</Lines>
  <Paragraphs>0</Paragraphs>
  <TotalTime>23</TotalTime>
  <ScaleCrop>false</ScaleCrop>
  <LinksUpToDate>false</LinksUpToDate>
  <CharactersWithSpaces>725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2025-10-10T07:53:00Z</dcterms:created>
  <dc:creator>多么哇塞的姑娘</dc:creator>
  <cp:lastModifiedBy>婷婷0101</cp:lastModifiedBy>
  <dcterms:modified xsi:type="dcterms:W3CDTF">2026-01-14T08:46:23Z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C80519AED770411A81A05DD26D39D342_13</vt:lpwstr>
  </property>
  <property fmtid="{D5CDD505-2E9C-101B-9397-08002B2CF9AE}" pid="4" name="KSOTemplateDocerSaveRecord">
    <vt:lpwstr>eyJoZGlkIjoiMzEwNTM5NzYwMDRjMzkwZTVkZjY2ODkwMGIxNGU0OTUiLCJ1c2VySWQiOiI0ODE3MjAwNTQifQ==</vt:lpwstr>
  </property>
</Properties>
</file>