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信息化设施设备综合升级改造项目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呼和浩特铁路局呼和浩特职工子弟第一中学</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内蒙古博虹工程项目管理有限公司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150103-NMBH-GK-20250001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内蒙古博虹工程项目管理有限公司</w:t>
      </w:r>
      <w:r>
        <w:rPr>
          <w:rFonts w:ascii="仿宋_GB2312" w:hAnsi="仿宋_GB2312" w:cs="仿宋_GB2312" w:eastAsia="仿宋_GB2312"/>
        </w:rPr>
        <w:t xml:space="preserve"> 受 </w:t>
      </w:r>
      <w:r>
        <w:rPr>
          <w:rFonts w:ascii="仿宋_GB2312" w:hAnsi="仿宋_GB2312" w:cs="仿宋_GB2312" w:eastAsia="仿宋_GB2312"/>
        </w:rPr>
        <w:t>呼和浩特铁路局呼和浩特职工子弟第一中学</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信息化设施设备综合升级改造项目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信息化设施设备综合升级改造项目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150103-NMBH-GK-20250001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回政采计划[2025]00017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信息化设施设备综合改造升级</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内蒙古博虹工程项目管理有限公司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内蒙古自治区呼和浩特市赛罕区兴安南路117号老干部局门脸北侧第三家（博虹项管）</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刘静、王琰、段璞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18586016225、0471-5610163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呼和浩特铁路局呼和浩特职工子弟第一中学</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呼和浩特市回民区新华西街27号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010030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王权</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0471-3392150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代理服务费收费标准：参照《内蒙古自治区建设工程招标代理服务收费指导意见》的通知 （内工建协【2022】34号）的规定支付采购代理服务费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纸质投标文件份数要求，中标公示发布后参加投标的投标人按要求提供与网上提交的电子文 件内容完全一致的纸质投标文件，纸质投标文件是电子投标文件的打印版，投标文件必须胶装成册 ，其他形式装订拒不接收。 纸质投标文件份数为一式三份，其中正本一份和副本二份</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呼和浩特铁路局呼和浩特职工子弟第一中学</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内蒙古博虹工程项目管理有限公司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审查投标人有效的营业执照或事业单位法人证书或自然人的身份证明。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审查投标人2022年度或2023年度经会计师事务所出具的财务审计报告；或其基本开户银行 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审查投标人在提供递交投标文件截止之日前一年内（至少一个月）的良好缴纳税收和缴纳社 会保险的相关凭据。 备注： 1.缴纳税收凭据以税务机关提供的纳税凭据或银行入账单为准 ；缴纳社会保险的相关凭据以专用收据或社会保险缴纳清单为准注： 2.其他组织和自然人也 需要提供缴纳税收的凭据金额缴纳社保的凭据。依法免税或不需要缴纳社会保障资金的供应 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审查投标人出具的“具有履行合同所必须的设备和专业技术能力”声明。（审查投标人提供履 行合同所必需的设备和专业技术能力的申明函，格式自拟。）。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呼和浩特铁路局呼和浩特职工子弟第一中学信息化设施设备综合升级改造项目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合同签订后30个日历天内交货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呼和浩特铁路局呼和浩特职工子弟第一中学</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1、项目完工验收合格后按财政拨付情况支付，达到付款条件起99日，支付合同总金额的100.00%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标的名称：信息化设施设备综合改造升级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技术部分52.00分</w:t>
            </w:r>
          </w:p>
          <w:p>
            <w:pPr>
              <w:pStyle w:val="null5"/>
              <w:jc w:val="left"/>
            </w:pPr>
            <w:r>
              <w:rPr>
                <w:rFonts w:ascii="仿宋_GB2312" w:hAnsi="仿宋_GB2312" w:cs="仿宋_GB2312" w:eastAsia="仿宋_GB2312"/>
              </w:rPr>
              <w:t>商务部分18.00分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产品技术响应</w:t>
            </w:r>
          </w:p>
        </w:tc>
        <w:tc>
          <w:tcPr>
            <w:tcW w:type="dxa" w:w="3115"/>
          </w:tcPr>
          <w:p>
            <w:pPr>
              <w:pStyle w:val="null5"/>
              <w:jc w:val="left"/>
            </w:pPr>
            <w:r>
              <w:rPr>
                <w:rFonts w:ascii="仿宋_GB2312" w:hAnsi="仿宋_GB2312" w:cs="仿宋_GB2312" w:eastAsia="仿宋_GB2312"/>
              </w:rPr>
              <w:t>投标产品与招标文件规定的技术参数和要求满足程度：技术条款（共261项）有一项不满足扣0.08分，本项最多扣20.88分（正偏离不加分）。注 ：技术指标参数要求中，投标人应在投标文件中对技术指标参数进行详细 说明，并配以产品技术佐证文件（如产品技术白皮书、产品彩页、检测报 告等真实佐证文件），并在技术偏离表内备注佐证文件所在的具体页码， 未标注页码、未附相关技 术佐证文件或提供的技术佐证文件未真实反映该 指标参数的，视为该指标参数不满足招标文件要求。</w:t>
            </w:r>
          </w:p>
        </w:tc>
        <w:tc>
          <w:tcPr>
            <w:tcW w:type="dxa" w:w="1038"/>
          </w:tcPr>
          <w:p>
            <w:pPr>
              <w:pStyle w:val="null5"/>
              <w:jc w:val="right"/>
            </w:pPr>
            <w:r>
              <w:rPr>
                <w:rFonts w:ascii="仿宋_GB2312" w:hAnsi="仿宋_GB2312" w:cs="仿宋_GB2312" w:eastAsia="仿宋_GB2312"/>
              </w:rPr>
              <w:t>20.88</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根据投标人制定的项目实施方案进行评审: 项目计划和进度保障方案；项 目实施过程重、难点和关键问题分析；安装调试方案；项目人员配备情况 （分工明确）；应急保障措施；项目风险管控措施方案，每有一项缺项或 漏项扣2分，每项中有一处缺陷扣1分，未提供得0分。注：缺陷是指：前 后内容不一致、存在凭空编造、前后逻辑错误、涉及的规范及标准错误、 项目名称或实施地点区域错误、内容简略或与本项目无关等任意一种情形 等</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项目管理方案</w:t>
            </w:r>
          </w:p>
        </w:tc>
        <w:tc>
          <w:tcPr>
            <w:tcW w:type="dxa" w:w="3115"/>
          </w:tcPr>
          <w:p>
            <w:pPr>
              <w:pStyle w:val="null5"/>
              <w:jc w:val="left"/>
            </w:pPr>
            <w:r>
              <w:rPr>
                <w:rFonts w:ascii="仿宋_GB2312" w:hAnsi="仿宋_GB2312" w:cs="仿宋_GB2312" w:eastAsia="仿宋_GB2312"/>
              </w:rPr>
              <w:t>根据项目管理方案是否完整可行进行评价：项目管理机构方案、工作职能 组织运行方案；项目负责人管理职责、内部管理的职责分工；项目管理措 施；每缺少一项内容扣2分，每项中存在缺陷或不足、内容不完整或不符 合项目实际情况的扣1分，本项最多扣6分。 注：缺陷或不足是指内容逻辑 混乱， 不符合相关的国家、行业标准。不完整指内容具有明显缺陷，前后 内容无法连贯；不符合项目实际情况指内容脱离了实际情况，不利于采购 人实施 。</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根据投标人提供的所投产品的质量保障方案进行评审：(1）产品质量管理 目标是否明确可行进行评价：完全符合项目实际情况的得2.28分，每项中 内容存在缺陷或不足、不完整或不符合项目实际情况的扣1分；未提供得0 分。（2）产品质量管理计划是否完整可行进行评价：内容全面完整可行 ，完全符合项目实际情况的得2.28分，每项中内容存在缺陷或不足、不完 整或不符合项目实际情况的扣1分；未提供得0分。（3）产品质量保障措 施是 否完整可行进行评价：完全符合项目实际情况的得2.28分，每项中内 容存在缺陷或不足、不完整或不符合项目实际情况的扣1分；未提供得0分 。（4）产品质量管理组织机构是否完整可行进行评价：完全符合项目实 际情况的得2.28分，每项中内容存在缺陷或不足、不完整或不符合项目实 际情况的扣1分；未提供得0分。注：缺陷或不足是指内容逻辑混乱，不符 合相关的国家、行业标准。不完整指内容具有明显缺陷，前后内容无法连 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9.12</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根据投标人提供的培训方案进行评审：培训内容；培训方式及人员安排； 系统日常使用及操作注意事项；常见故障排除及维保事项，每缺少一项内 容扣1分，每项中有一处存在缺陷或不足、内容不完整或不符合项目实际 情况的扣0.5分，本项最多扣4分。注：缺陷或不足是指内容逻辑混乱，不 符合相关的国家、行业标准。不完整指内容具有明显缺陷，前后内容无法 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根据投标人承担过的（2022年1月1日至投标截止时间）相同或类似采购 业绩，每有一项业绩得1分,最高得6分。(注：投标文件中须附合同首页、 合同金额页、盖章页、项目清单页的扫描件，并加盖投标人公章，不提供 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根据投标人所提供的售后服务方案进行评审：售后服务理念；售后服务承 诺；售后服务方案，完善的备品备件；售后响应速度、售后人员配置及服 务热线；质保期后出现质量问题的解决方案；定期巡检方案；每缺少一项 内容扣2分，每项中有一处存在缺陷或不足、内容不完整或不符合项目实 际情况的扣1分，本项最多扣12分。 注：缺陷或不足是指内容逻辑混乱， 不符合相关的国家、行业标准。不完整指内容具有明显缺陷，前后内容无 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