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B8AC0">
      <w:pPr>
        <w:pStyle w:val="4"/>
        <w:widowControl/>
        <w:snapToGrid/>
        <w:spacing w:before="0" w:beforeAutospacing="0" w:after="0" w:afterAutospacing="0" w:line="360" w:lineRule="auto"/>
        <w:ind w:left="210" w:leftChars="100"/>
        <w:jc w:val="center"/>
        <w:textAlignment w:val="baseline"/>
        <w:rPr>
          <w:rFonts w:hint="eastAsia" w:ascii="宋体" w:hAnsi="宋体" w:eastAsia="宋体" w:cs="宋体"/>
          <w:b/>
          <w:bCs/>
          <w:i w:val="0"/>
          <w:caps w:val="0"/>
          <w:spacing w:val="0"/>
          <w:w w:val="100"/>
          <w:sz w:val="44"/>
          <w:szCs w:val="44"/>
          <w:lang w:val="en-US" w:eastAsia="zh-CN"/>
        </w:rPr>
      </w:pPr>
      <w:r>
        <w:rPr>
          <w:rFonts w:hint="eastAsia" w:ascii="宋体" w:hAnsi="宋体" w:eastAsia="宋体" w:cs="宋体"/>
          <w:b/>
          <w:bCs/>
          <w:i w:val="0"/>
          <w:caps w:val="0"/>
          <w:spacing w:val="0"/>
          <w:w w:val="100"/>
          <w:sz w:val="44"/>
          <w:szCs w:val="44"/>
          <w:lang w:val="en-US" w:eastAsia="zh-CN"/>
        </w:rPr>
        <w:t>编制说明</w:t>
      </w:r>
    </w:p>
    <w:p w14:paraId="18016B3E">
      <w:pPr>
        <w:pStyle w:val="4"/>
        <w:widowControl/>
        <w:snapToGrid/>
        <w:spacing w:before="0" w:beforeAutospacing="0" w:after="0" w:afterAutospacing="0" w:line="360" w:lineRule="auto"/>
        <w:ind w:firstLine="643" w:firstLineChars="200"/>
        <w:jc w:val="left"/>
        <w:textAlignment w:val="baseline"/>
        <w:rPr>
          <w:rFonts w:hint="eastAsia" w:ascii="宋体" w:hAnsi="宋体" w:eastAsia="宋体" w:cs="宋体"/>
          <w:b/>
          <w:bCs/>
          <w:i w:val="0"/>
          <w:caps w:val="0"/>
          <w:spacing w:val="0"/>
          <w:w w:val="100"/>
          <w:sz w:val="32"/>
          <w:szCs w:val="32"/>
        </w:rPr>
      </w:pPr>
      <w:r>
        <w:rPr>
          <w:rFonts w:hint="eastAsia" w:ascii="宋体" w:hAnsi="宋体" w:eastAsia="宋体" w:cs="宋体"/>
          <w:b/>
          <w:bCs/>
          <w:i w:val="0"/>
          <w:caps w:val="0"/>
          <w:spacing w:val="0"/>
          <w:w w:val="100"/>
          <w:sz w:val="32"/>
          <w:szCs w:val="32"/>
          <w:lang w:val="en-US" w:eastAsia="zh-CN"/>
        </w:rPr>
        <w:t>一</w:t>
      </w:r>
      <w:r>
        <w:rPr>
          <w:rFonts w:hint="eastAsia" w:ascii="宋体" w:hAnsi="宋体" w:eastAsia="宋体" w:cs="宋体"/>
          <w:b/>
          <w:bCs/>
          <w:i w:val="0"/>
          <w:caps w:val="0"/>
          <w:spacing w:val="0"/>
          <w:w w:val="100"/>
          <w:sz w:val="32"/>
          <w:szCs w:val="32"/>
        </w:rPr>
        <w:t>、编制依据</w:t>
      </w:r>
    </w:p>
    <w:p w14:paraId="189FDFF6">
      <w:pPr>
        <w:pStyle w:val="4"/>
        <w:widowControl/>
        <w:snapToGrid/>
        <w:spacing w:before="0" w:beforeAutospacing="0" w:after="0" w:afterAutospacing="0" w:line="360" w:lineRule="auto"/>
        <w:ind w:firstLine="640" w:firstLineChars="200"/>
        <w:jc w:val="left"/>
        <w:textAlignment w:val="baseline"/>
        <w:rPr>
          <w:rFonts w:hint="eastAsia" w:ascii="宋体" w:hAnsi="宋体" w:eastAsia="宋体" w:cs="宋体"/>
          <w:b w:val="0"/>
          <w:i w:val="0"/>
          <w:caps w:val="0"/>
          <w:spacing w:val="0"/>
          <w:w w:val="100"/>
          <w:sz w:val="32"/>
          <w:szCs w:val="32"/>
          <w:lang w:eastAsia="zh-CN"/>
        </w:rPr>
      </w:pPr>
      <w:r>
        <w:rPr>
          <w:rFonts w:hint="eastAsia" w:ascii="宋体" w:hAnsi="宋体" w:eastAsia="宋体" w:cs="宋体"/>
          <w:b w:val="0"/>
          <w:i w:val="0"/>
          <w:caps w:val="0"/>
          <w:spacing w:val="0"/>
          <w:w w:val="100"/>
          <w:sz w:val="32"/>
          <w:szCs w:val="32"/>
        </w:rPr>
        <w:t>1、依据设计院出具的设计图纸</w:t>
      </w:r>
      <w:r>
        <w:rPr>
          <w:rFonts w:hint="eastAsia" w:ascii="宋体" w:hAnsi="宋体" w:eastAsia="宋体" w:cs="宋体"/>
          <w:b w:val="0"/>
          <w:i w:val="0"/>
          <w:caps w:val="0"/>
          <w:spacing w:val="0"/>
          <w:w w:val="100"/>
          <w:sz w:val="32"/>
          <w:szCs w:val="32"/>
          <w:lang w:val="en-US" w:eastAsia="zh-CN"/>
        </w:rPr>
        <w:t>及设计概算</w:t>
      </w:r>
      <w:r>
        <w:rPr>
          <w:rFonts w:hint="eastAsia" w:ascii="宋体" w:hAnsi="宋体" w:eastAsia="宋体" w:cs="宋体"/>
          <w:b w:val="0"/>
          <w:i w:val="0"/>
          <w:caps w:val="0"/>
          <w:spacing w:val="0"/>
          <w:w w:val="100"/>
          <w:sz w:val="32"/>
          <w:szCs w:val="32"/>
          <w:lang w:eastAsia="zh-CN"/>
        </w:rPr>
        <w:t>；</w:t>
      </w:r>
    </w:p>
    <w:p w14:paraId="705C05B7">
      <w:pPr>
        <w:pStyle w:val="4"/>
        <w:widowControl/>
        <w:snapToGrid/>
        <w:spacing w:before="0" w:beforeAutospacing="0" w:after="0" w:afterAutospacing="0" w:line="360" w:lineRule="auto"/>
        <w:ind w:firstLine="640" w:firstLineChars="200"/>
        <w:jc w:val="left"/>
        <w:textAlignment w:val="baseline"/>
        <w:rPr>
          <w:rFonts w:hint="eastAsia" w:ascii="宋体" w:hAnsi="宋体" w:eastAsia="宋体" w:cs="宋体"/>
          <w:color w:val="auto"/>
          <w:kern w:val="0"/>
          <w:sz w:val="32"/>
          <w:szCs w:val="32"/>
          <w:highlight w:val="none"/>
          <w:lang w:eastAsia="zh-CN" w:bidi="ar"/>
        </w:rPr>
      </w:pPr>
      <w:r>
        <w:rPr>
          <w:rFonts w:hint="eastAsia" w:ascii="宋体" w:hAnsi="宋体" w:eastAsia="宋体" w:cs="宋体"/>
          <w:b w:val="0"/>
          <w:i w:val="0"/>
          <w:caps w:val="0"/>
          <w:spacing w:val="0"/>
          <w:w w:val="100"/>
          <w:sz w:val="32"/>
          <w:szCs w:val="32"/>
        </w:rPr>
        <w:t>2、工程量清单计价执行《建设工程工程量清单计价规范》(GB50500-2013)</w:t>
      </w:r>
      <w:r>
        <w:rPr>
          <w:rFonts w:hint="eastAsia" w:ascii="宋体" w:hAnsi="宋体" w:eastAsia="宋体" w:cs="宋体"/>
          <w:b w:val="0"/>
          <w:i w:val="0"/>
          <w:caps w:val="0"/>
          <w:spacing w:val="0"/>
          <w:w w:val="100"/>
          <w:sz w:val="32"/>
          <w:szCs w:val="32"/>
          <w:lang w:val="en-US" w:eastAsia="zh-CN"/>
        </w:rPr>
        <w:t>及</w:t>
      </w:r>
      <w:r>
        <w:rPr>
          <w:rFonts w:hint="eastAsia" w:ascii="宋体" w:hAnsi="宋体" w:eastAsia="宋体" w:cs="宋体"/>
          <w:color w:val="auto"/>
          <w:kern w:val="0"/>
          <w:sz w:val="32"/>
          <w:szCs w:val="32"/>
          <w:highlight w:val="none"/>
          <w:lang w:bidi="ar"/>
        </w:rPr>
        <w:t>解释和勘误</w:t>
      </w:r>
      <w:r>
        <w:rPr>
          <w:rFonts w:hint="eastAsia" w:ascii="宋体" w:hAnsi="宋体" w:eastAsia="宋体" w:cs="宋体"/>
          <w:color w:val="auto"/>
          <w:kern w:val="0"/>
          <w:sz w:val="32"/>
          <w:szCs w:val="32"/>
          <w:highlight w:val="none"/>
          <w:lang w:eastAsia="zh-CN" w:bidi="ar"/>
        </w:rPr>
        <w:t>；</w:t>
      </w:r>
    </w:p>
    <w:p w14:paraId="13A6FB26">
      <w:pPr>
        <w:numPr>
          <w:ilvl w:val="0"/>
          <w:numId w:val="0"/>
        </w:numPr>
        <w:tabs>
          <w:tab w:val="left" w:pos="640"/>
          <w:tab w:val="left" w:pos="840"/>
          <w:tab w:val="left" w:pos="1050"/>
          <w:tab w:val="left" w:pos="1134"/>
          <w:tab w:val="left" w:pos="1260"/>
          <w:tab w:val="left" w:pos="1680"/>
          <w:tab w:val="left" w:pos="1890"/>
          <w:tab w:val="left" w:pos="2100"/>
        </w:tabs>
        <w:spacing w:line="240" w:lineRule="auto"/>
        <w:ind w:firstLine="640" w:firstLineChars="200"/>
        <w:jc w:val="both"/>
        <w:rPr>
          <w:rFonts w:hint="eastAsia" w:ascii="宋体" w:hAnsi="宋体" w:eastAsia="宋体" w:cs="宋体"/>
          <w:color w:val="auto"/>
          <w:sz w:val="32"/>
          <w:szCs w:val="32"/>
          <w:highlight w:val="none"/>
          <w:lang w:eastAsia="zh-CN"/>
        </w:rPr>
      </w:pPr>
      <w:r>
        <w:rPr>
          <w:rFonts w:hint="eastAsia" w:ascii="宋体" w:hAnsi="宋体" w:eastAsia="宋体" w:cs="宋体"/>
          <w:b w:val="0"/>
          <w:i w:val="0"/>
          <w:caps w:val="0"/>
          <w:spacing w:val="0"/>
          <w:w w:val="100"/>
          <w:sz w:val="32"/>
          <w:szCs w:val="32"/>
        </w:rPr>
        <w:t>3、</w:t>
      </w:r>
      <w:r>
        <w:rPr>
          <w:rFonts w:hint="eastAsia" w:ascii="宋体" w:hAnsi="宋体" w:eastAsia="宋体" w:cs="宋体"/>
          <w:color w:val="auto"/>
          <w:kern w:val="0"/>
          <w:sz w:val="32"/>
          <w:szCs w:val="32"/>
          <w:highlight w:val="none"/>
          <w:lang w:bidi="ar"/>
        </w:rPr>
        <w:t>定额执行2017届《内蒙古自治区房屋建筑与装饰工程预算定额》</w:t>
      </w:r>
      <w:r>
        <w:rPr>
          <w:rFonts w:hint="eastAsia" w:ascii="宋体" w:hAnsi="宋体" w:eastAsia="宋体" w:cs="宋体"/>
          <w:color w:val="auto"/>
          <w:kern w:val="0"/>
          <w:sz w:val="32"/>
          <w:szCs w:val="32"/>
          <w:highlight w:val="none"/>
          <w:lang w:eastAsia="zh-CN" w:bidi="ar"/>
        </w:rPr>
        <w:t>、《内蒙古自治区通用安装工程预算定额》、</w:t>
      </w:r>
      <w:r>
        <w:rPr>
          <w:rFonts w:hint="eastAsia" w:ascii="宋体" w:hAnsi="宋体" w:eastAsia="宋体" w:cs="宋体"/>
          <w:color w:val="auto"/>
          <w:kern w:val="0"/>
          <w:sz w:val="32"/>
          <w:szCs w:val="32"/>
          <w:highlight w:val="none"/>
          <w:lang w:bidi="ar"/>
        </w:rPr>
        <w:t>《内蒙古自治区</w:t>
      </w:r>
      <w:r>
        <w:rPr>
          <w:rFonts w:hint="eastAsia" w:ascii="宋体" w:hAnsi="宋体" w:eastAsia="宋体" w:cs="宋体"/>
          <w:color w:val="auto"/>
          <w:kern w:val="0"/>
          <w:sz w:val="32"/>
          <w:szCs w:val="32"/>
          <w:highlight w:val="none"/>
          <w:lang w:val="en-US" w:eastAsia="zh-CN" w:bidi="ar"/>
        </w:rPr>
        <w:t>市政工程</w:t>
      </w:r>
      <w:r>
        <w:rPr>
          <w:rFonts w:hint="eastAsia" w:ascii="宋体" w:hAnsi="宋体" w:eastAsia="宋体" w:cs="宋体"/>
          <w:color w:val="auto"/>
          <w:kern w:val="0"/>
          <w:sz w:val="32"/>
          <w:szCs w:val="32"/>
          <w:highlight w:val="none"/>
          <w:lang w:bidi="ar"/>
        </w:rPr>
        <w:t>预算定额》</w:t>
      </w:r>
      <w:r>
        <w:rPr>
          <w:rFonts w:hint="eastAsia" w:ascii="宋体" w:hAnsi="宋体" w:eastAsia="宋体" w:cs="宋体"/>
          <w:color w:val="auto"/>
          <w:kern w:val="0"/>
          <w:sz w:val="32"/>
          <w:szCs w:val="32"/>
          <w:highlight w:val="none"/>
          <w:lang w:eastAsia="zh-CN" w:bidi="ar"/>
        </w:rPr>
        <w:t>、《内蒙古自治区园林绿化工程预算定额》、</w:t>
      </w:r>
      <w:r>
        <w:rPr>
          <w:rFonts w:hint="eastAsia" w:ascii="宋体" w:hAnsi="宋体" w:eastAsia="宋体" w:cs="宋体"/>
          <w:color w:val="auto"/>
          <w:kern w:val="0"/>
          <w:sz w:val="32"/>
          <w:szCs w:val="32"/>
          <w:highlight w:val="none"/>
          <w:lang w:bidi="ar"/>
        </w:rPr>
        <w:t>《内蒙古自治区建设工程费用定额》及现行相关政策性文件等</w:t>
      </w:r>
      <w:r>
        <w:rPr>
          <w:rFonts w:hint="eastAsia" w:ascii="宋体" w:hAnsi="宋体" w:eastAsia="宋体" w:cs="宋体"/>
          <w:color w:val="auto"/>
          <w:kern w:val="0"/>
          <w:sz w:val="32"/>
          <w:szCs w:val="32"/>
          <w:highlight w:val="none"/>
          <w:lang w:eastAsia="zh-CN" w:bidi="ar"/>
        </w:rPr>
        <w:t>；</w:t>
      </w:r>
    </w:p>
    <w:p w14:paraId="52FFA3FB">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4、规费执行《内蒙古自治区住房和城乡建设厅文件关于调整内蒙古自治区建设工程计价依据规费中养老保险费率的通知》内建标〔2019〕468号文件，将规费中的养老保险费率由12.5%调整为10.5%，规费费率为19%；</w:t>
      </w:r>
    </w:p>
    <w:p w14:paraId="5A106B1A">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5、税金执行《关于调整内蒙古自治区建设工程计价依据增值税税率的通知》内建标[2019]113号文件，税率为9%；</w:t>
      </w:r>
    </w:p>
    <w:p w14:paraId="1EAFE1B1">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6、人工费调整执行《内蒙古自治区住房和城乡建设厅文件》内建标〔2021〕148号文件。</w:t>
      </w:r>
    </w:p>
    <w:p w14:paraId="5B06A716">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color w:val="auto"/>
          <w:kern w:val="0"/>
          <w:sz w:val="32"/>
          <w:szCs w:val="32"/>
          <w:lang w:val="en-US" w:eastAsia="zh-CN" w:bidi="ar"/>
        </w:rPr>
      </w:pPr>
      <w:r>
        <w:rPr>
          <w:rFonts w:hint="eastAsia" w:ascii="宋体" w:hAnsi="宋体" w:eastAsia="宋体" w:cs="宋体"/>
          <w:b w:val="0"/>
          <w:bCs w:val="0"/>
          <w:i w:val="0"/>
          <w:caps w:val="0"/>
          <w:color w:val="auto"/>
          <w:spacing w:val="0"/>
          <w:w w:val="100"/>
          <w:sz w:val="32"/>
          <w:szCs w:val="32"/>
          <w:lang w:val="en-US" w:eastAsia="zh-CN"/>
        </w:rPr>
        <w:t>7、</w:t>
      </w:r>
      <w:r>
        <w:rPr>
          <w:rFonts w:hint="eastAsia" w:ascii="宋体" w:hAnsi="宋体" w:eastAsia="宋体" w:cs="宋体"/>
          <w:color w:val="auto"/>
          <w:kern w:val="0"/>
          <w:sz w:val="32"/>
          <w:szCs w:val="32"/>
          <w:lang w:val="en-US" w:eastAsia="zh-CN" w:bidi="ar"/>
        </w:rPr>
        <w:t>本项目不记取材料检验试验费和工人实名制费。</w:t>
      </w:r>
    </w:p>
    <w:p w14:paraId="7B4032EF">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val="0"/>
          <w:i w:val="0"/>
          <w:caps w:val="0"/>
          <w:color w:val="auto"/>
          <w:spacing w:val="0"/>
          <w:w w:val="100"/>
          <w:sz w:val="32"/>
          <w:szCs w:val="32"/>
          <w:lang w:val="en-US" w:eastAsia="zh-CN"/>
        </w:rPr>
        <w:t>8、</w:t>
      </w:r>
      <w:r>
        <w:rPr>
          <w:rFonts w:hint="eastAsia" w:ascii="宋体" w:hAnsi="宋体" w:eastAsia="宋体" w:cs="宋体"/>
          <w:b w:val="0"/>
          <w:bCs/>
          <w:i w:val="0"/>
          <w:caps w:val="0"/>
          <w:spacing w:val="0"/>
          <w:w w:val="100"/>
          <w:kern w:val="0"/>
          <w:sz w:val="32"/>
          <w:szCs w:val="32"/>
          <w:lang w:val="en-US" w:eastAsia="zh-CN" w:bidi="ar-SA"/>
        </w:rPr>
        <w:t>为保证项目效果符合招标人的要求，保证招标采购工作公平公正进行，将控制价编制时所参照的材料档次进行公示，投标人报价时需考虑同档次及以上的产品。投标主要材料设备档次推荐表见后附“主要材料、设备档次推荐表”</w:t>
      </w:r>
    </w:p>
    <w:tbl>
      <w:tblPr>
        <w:tblStyle w:val="5"/>
        <w:tblW w:w="960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8"/>
        <w:gridCol w:w="2226"/>
        <w:gridCol w:w="4612"/>
        <w:gridCol w:w="1943"/>
      </w:tblGrid>
      <w:tr w14:paraId="69DA0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609" w:type="dxa"/>
            <w:gridSpan w:val="4"/>
            <w:tcBorders>
              <w:top w:val="nil"/>
              <w:left w:val="nil"/>
              <w:bottom w:val="single" w:color="auto" w:sz="4" w:space="0"/>
              <w:right w:val="nil"/>
            </w:tcBorders>
            <w:noWrap/>
            <w:vAlign w:val="center"/>
          </w:tcPr>
          <w:p w14:paraId="426CD8FB">
            <w:pPr>
              <w:keepLines w:val="0"/>
              <w:widowControl w:val="0"/>
              <w:suppressLineNumbers w:val="0"/>
              <w:snapToGrid/>
              <w:spacing w:before="0" w:beforeAutospacing="0" w:after="0" w:afterAutospacing="0" w:line="432" w:lineRule="auto"/>
              <w:ind w:left="0" w:right="0"/>
              <w:jc w:val="center"/>
              <w:textAlignment w:val="baseline"/>
              <w:rPr>
                <w:rFonts w:hint="eastAsia" w:ascii="宋体" w:hAnsi="宋体" w:eastAsia="宋体" w:cs="宋体"/>
                <w:b w:val="0"/>
                <w:i w:val="0"/>
                <w:caps w:val="0"/>
                <w:color w:val="auto"/>
                <w:spacing w:val="0"/>
                <w:w w:val="100"/>
                <w:kern w:val="2"/>
                <w:sz w:val="24"/>
                <w:szCs w:val="24"/>
              </w:rPr>
            </w:pPr>
            <w:r>
              <w:rPr>
                <w:rFonts w:hint="eastAsia" w:ascii="宋体" w:hAnsi="宋体" w:eastAsia="宋体" w:cs="宋体"/>
                <w:b w:val="0"/>
                <w:bCs/>
                <w:i w:val="0"/>
                <w:caps w:val="0"/>
                <w:color w:val="auto"/>
                <w:spacing w:val="0"/>
                <w:w w:val="100"/>
                <w:kern w:val="2"/>
                <w:sz w:val="32"/>
                <w:szCs w:val="32"/>
                <w:lang w:val="en-US" w:eastAsia="zh-CN" w:bidi="ar"/>
              </w:rPr>
              <w:t>附表1“主要材料、设备品牌推荐表”</w:t>
            </w:r>
          </w:p>
        </w:tc>
      </w:tr>
      <w:tr w14:paraId="36B21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DB2E65A">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bCs/>
                <w:i w:val="0"/>
                <w:caps w:val="0"/>
                <w:color w:val="auto"/>
                <w:spacing w:val="0"/>
                <w:w w:val="100"/>
                <w:kern w:val="2"/>
                <w:sz w:val="28"/>
                <w:szCs w:val="28"/>
              </w:rPr>
            </w:pPr>
            <w:r>
              <w:rPr>
                <w:rFonts w:hint="eastAsia" w:ascii="宋体" w:hAnsi="宋体" w:eastAsia="宋体" w:cs="宋体"/>
                <w:b/>
                <w:bCs/>
                <w:i w:val="0"/>
                <w:caps w:val="0"/>
                <w:color w:val="auto"/>
                <w:spacing w:val="0"/>
                <w:w w:val="100"/>
                <w:kern w:val="0"/>
                <w:sz w:val="28"/>
                <w:szCs w:val="28"/>
                <w:lang w:val="en-US" w:eastAsia="zh-CN" w:bidi="ar"/>
              </w:rPr>
              <w:t>序号</w:t>
            </w:r>
          </w:p>
        </w:tc>
        <w:tc>
          <w:tcPr>
            <w:tcW w:w="2226" w:type="dxa"/>
            <w:tcBorders>
              <w:top w:val="single" w:color="auto" w:sz="4" w:space="0"/>
              <w:left w:val="nil"/>
              <w:bottom w:val="single" w:color="auto" w:sz="4" w:space="0"/>
              <w:right w:val="single" w:color="auto" w:sz="4" w:space="0"/>
            </w:tcBorders>
            <w:noWrap w:val="0"/>
            <w:vAlign w:val="center"/>
          </w:tcPr>
          <w:p w14:paraId="46F4B164">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bCs/>
                <w:i w:val="0"/>
                <w:caps w:val="0"/>
                <w:color w:val="auto"/>
                <w:spacing w:val="0"/>
                <w:w w:val="100"/>
                <w:kern w:val="2"/>
                <w:sz w:val="28"/>
                <w:szCs w:val="28"/>
              </w:rPr>
            </w:pPr>
            <w:r>
              <w:rPr>
                <w:rFonts w:hint="eastAsia" w:ascii="宋体" w:hAnsi="宋体" w:eastAsia="宋体" w:cs="宋体"/>
                <w:b/>
                <w:bCs/>
                <w:i w:val="0"/>
                <w:caps w:val="0"/>
                <w:color w:val="auto"/>
                <w:spacing w:val="0"/>
                <w:w w:val="100"/>
                <w:kern w:val="0"/>
                <w:sz w:val="28"/>
                <w:szCs w:val="28"/>
                <w:lang w:val="en-US" w:eastAsia="zh-CN" w:bidi="ar"/>
              </w:rPr>
              <w:t>材料设备名称</w:t>
            </w:r>
          </w:p>
        </w:tc>
        <w:tc>
          <w:tcPr>
            <w:tcW w:w="4612" w:type="dxa"/>
            <w:tcBorders>
              <w:top w:val="single" w:color="auto" w:sz="4" w:space="0"/>
              <w:left w:val="nil"/>
              <w:bottom w:val="single" w:color="auto" w:sz="4" w:space="0"/>
              <w:right w:val="single" w:color="auto" w:sz="4" w:space="0"/>
            </w:tcBorders>
            <w:noWrap w:val="0"/>
            <w:vAlign w:val="center"/>
          </w:tcPr>
          <w:p w14:paraId="12107C8D">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bCs/>
                <w:i w:val="0"/>
                <w:caps w:val="0"/>
                <w:color w:val="auto"/>
                <w:spacing w:val="0"/>
                <w:w w:val="100"/>
                <w:kern w:val="2"/>
                <w:sz w:val="28"/>
                <w:szCs w:val="28"/>
              </w:rPr>
            </w:pPr>
            <w:r>
              <w:rPr>
                <w:rFonts w:hint="eastAsia" w:ascii="宋体" w:hAnsi="宋体" w:eastAsia="宋体" w:cs="宋体"/>
                <w:b/>
                <w:bCs/>
                <w:i w:val="0"/>
                <w:caps w:val="0"/>
                <w:color w:val="auto"/>
                <w:spacing w:val="0"/>
                <w:w w:val="100"/>
                <w:kern w:val="0"/>
                <w:sz w:val="28"/>
                <w:szCs w:val="28"/>
                <w:lang w:val="en-US" w:eastAsia="zh-CN" w:bidi="ar"/>
              </w:rPr>
              <w:t>推荐品牌</w:t>
            </w:r>
          </w:p>
        </w:tc>
        <w:tc>
          <w:tcPr>
            <w:tcW w:w="1943" w:type="dxa"/>
            <w:tcBorders>
              <w:top w:val="single" w:color="auto" w:sz="4" w:space="0"/>
              <w:left w:val="nil"/>
              <w:bottom w:val="single" w:color="auto" w:sz="4" w:space="0"/>
              <w:right w:val="single" w:color="auto" w:sz="4" w:space="0"/>
            </w:tcBorders>
            <w:noWrap w:val="0"/>
            <w:vAlign w:val="center"/>
          </w:tcPr>
          <w:p w14:paraId="78E52C1C">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bCs/>
                <w:i w:val="0"/>
                <w:caps w:val="0"/>
                <w:color w:val="auto"/>
                <w:spacing w:val="0"/>
                <w:w w:val="100"/>
                <w:kern w:val="2"/>
                <w:sz w:val="28"/>
                <w:szCs w:val="28"/>
                <w:lang w:val="en-US" w:eastAsia="zh-CN"/>
              </w:rPr>
            </w:pPr>
            <w:r>
              <w:rPr>
                <w:rFonts w:hint="eastAsia" w:ascii="宋体" w:hAnsi="宋体" w:eastAsia="宋体" w:cs="宋体"/>
                <w:b/>
                <w:bCs/>
                <w:i w:val="0"/>
                <w:caps w:val="0"/>
                <w:color w:val="auto"/>
                <w:spacing w:val="0"/>
                <w:w w:val="100"/>
                <w:kern w:val="2"/>
                <w:sz w:val="28"/>
                <w:szCs w:val="28"/>
                <w:lang w:val="en-US" w:eastAsia="zh-CN"/>
              </w:rPr>
              <w:t>投标品牌</w:t>
            </w:r>
          </w:p>
        </w:tc>
      </w:tr>
      <w:tr w14:paraId="26B28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8236E0A">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val="0"/>
                <w:i w:val="0"/>
                <w:caps w:val="0"/>
                <w:color w:val="auto"/>
                <w:spacing w:val="0"/>
                <w:w w:val="100"/>
                <w:kern w:val="0"/>
                <w:sz w:val="28"/>
                <w:szCs w:val="28"/>
                <w:lang w:val="en-US" w:eastAsia="zh-CN" w:bidi="ar"/>
              </w:rPr>
            </w:pPr>
            <w:r>
              <w:rPr>
                <w:rFonts w:hint="eastAsia" w:ascii="宋体" w:hAnsi="宋体" w:eastAsia="宋体" w:cs="宋体"/>
                <w:b w:val="0"/>
                <w:i w:val="0"/>
                <w:caps w:val="0"/>
                <w:color w:val="auto"/>
                <w:spacing w:val="0"/>
                <w:w w:val="100"/>
                <w:kern w:val="0"/>
                <w:sz w:val="28"/>
                <w:szCs w:val="28"/>
                <w:lang w:val="en-US" w:eastAsia="zh-CN" w:bidi="ar"/>
              </w:rPr>
              <w:t>1</w:t>
            </w:r>
          </w:p>
        </w:tc>
        <w:tc>
          <w:tcPr>
            <w:tcW w:w="2226" w:type="dxa"/>
            <w:tcBorders>
              <w:top w:val="single" w:color="auto" w:sz="4" w:space="0"/>
              <w:left w:val="nil"/>
              <w:bottom w:val="single" w:color="auto" w:sz="4" w:space="0"/>
              <w:right w:val="single" w:color="auto" w:sz="4" w:space="0"/>
            </w:tcBorders>
            <w:noWrap w:val="0"/>
            <w:vAlign w:val="center"/>
          </w:tcPr>
          <w:p w14:paraId="2A4AA43C">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val="0"/>
                <w:i w:val="0"/>
                <w:caps w:val="0"/>
                <w:color w:val="auto"/>
                <w:spacing w:val="0"/>
                <w:w w:val="100"/>
                <w:kern w:val="0"/>
                <w:sz w:val="28"/>
                <w:szCs w:val="28"/>
                <w:lang w:val="en-US" w:eastAsia="zh-CN" w:bidi="ar"/>
              </w:rPr>
            </w:pPr>
            <w:r>
              <w:rPr>
                <w:rFonts w:hint="eastAsia" w:ascii="宋体" w:hAnsi="宋体" w:eastAsia="宋体" w:cs="宋体"/>
                <w:b w:val="0"/>
                <w:i w:val="0"/>
                <w:caps w:val="0"/>
                <w:color w:val="auto"/>
                <w:spacing w:val="0"/>
                <w:w w:val="100"/>
                <w:kern w:val="0"/>
                <w:sz w:val="28"/>
                <w:szCs w:val="28"/>
                <w:lang w:val="en-US" w:eastAsia="zh-CN" w:bidi="ar"/>
              </w:rPr>
              <w:t>水泵</w:t>
            </w:r>
          </w:p>
        </w:tc>
        <w:tc>
          <w:tcPr>
            <w:tcW w:w="4612" w:type="dxa"/>
            <w:tcBorders>
              <w:top w:val="single" w:color="auto" w:sz="4" w:space="0"/>
              <w:left w:val="nil"/>
              <w:bottom w:val="single" w:color="auto" w:sz="4" w:space="0"/>
              <w:right w:val="single" w:color="auto" w:sz="4" w:space="0"/>
            </w:tcBorders>
            <w:noWrap w:val="0"/>
            <w:vAlign w:val="center"/>
          </w:tcPr>
          <w:p w14:paraId="03A8118F">
            <w:pPr>
              <w:keepLines w:val="0"/>
              <w:widowControl/>
              <w:suppressLineNumbers w:val="0"/>
              <w:snapToGrid/>
              <w:spacing w:before="0" w:beforeAutospacing="0" w:after="0" w:afterAutospacing="0" w:line="240" w:lineRule="auto"/>
              <w:ind w:left="0" w:right="0"/>
              <w:jc w:val="center"/>
              <w:textAlignment w:val="center"/>
              <w:rPr>
                <w:rFonts w:hint="default" w:ascii="宋体" w:hAnsi="宋体" w:eastAsia="宋体" w:cs="宋体"/>
                <w:b w:val="0"/>
                <w:i w:val="0"/>
                <w:caps w:val="0"/>
                <w:color w:val="auto"/>
                <w:spacing w:val="0"/>
                <w:w w:val="100"/>
                <w:kern w:val="0"/>
                <w:sz w:val="28"/>
                <w:szCs w:val="28"/>
                <w:lang w:val="en-US" w:eastAsia="zh-CN" w:bidi="ar"/>
              </w:rPr>
            </w:pPr>
            <w:r>
              <w:rPr>
                <w:rFonts w:hint="eastAsia" w:ascii="宋体" w:hAnsi="宋体" w:eastAsia="宋体" w:cs="宋体"/>
                <w:b w:val="0"/>
                <w:i w:val="0"/>
                <w:caps w:val="0"/>
                <w:color w:val="auto"/>
                <w:spacing w:val="0"/>
                <w:w w:val="100"/>
                <w:kern w:val="0"/>
                <w:sz w:val="28"/>
                <w:szCs w:val="28"/>
                <w:lang w:val="en-US" w:eastAsia="zh-CN" w:bidi="ar"/>
              </w:rPr>
              <w:t>相当于格兰富、艾蒙斯特朗、安德里茨、苏尔寿同档及以上产品。</w:t>
            </w:r>
          </w:p>
        </w:tc>
        <w:tc>
          <w:tcPr>
            <w:tcW w:w="1943" w:type="dxa"/>
            <w:tcBorders>
              <w:top w:val="single" w:color="auto" w:sz="4" w:space="0"/>
              <w:left w:val="nil"/>
              <w:bottom w:val="single" w:color="auto" w:sz="4" w:space="0"/>
              <w:right w:val="single" w:color="auto" w:sz="4" w:space="0"/>
            </w:tcBorders>
            <w:noWrap w:val="0"/>
            <w:vAlign w:val="center"/>
          </w:tcPr>
          <w:p w14:paraId="4F377BFB">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val="0"/>
                <w:i w:val="0"/>
                <w:caps w:val="0"/>
                <w:color w:val="0000FF"/>
                <w:spacing w:val="0"/>
                <w:w w:val="100"/>
                <w:kern w:val="0"/>
                <w:sz w:val="28"/>
                <w:szCs w:val="28"/>
                <w:lang w:val="en-US" w:eastAsia="zh-CN" w:bidi="ar"/>
              </w:rPr>
            </w:pPr>
            <w:bookmarkStart w:id="0" w:name="_GoBack"/>
            <w:bookmarkEnd w:id="0"/>
          </w:p>
        </w:tc>
      </w:tr>
      <w:tr w14:paraId="39CF2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8"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978FA27">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val="0"/>
                <w:i w:val="0"/>
                <w:caps w:val="0"/>
                <w:color w:val="auto"/>
                <w:spacing w:val="0"/>
                <w:w w:val="100"/>
                <w:kern w:val="0"/>
                <w:sz w:val="28"/>
                <w:szCs w:val="28"/>
                <w:lang w:val="en-US" w:eastAsia="zh-CN" w:bidi="ar"/>
              </w:rPr>
            </w:pPr>
            <w:r>
              <w:rPr>
                <w:rFonts w:hint="eastAsia" w:ascii="宋体" w:hAnsi="宋体" w:eastAsia="宋体" w:cs="宋体"/>
                <w:b w:val="0"/>
                <w:i w:val="0"/>
                <w:caps w:val="0"/>
                <w:color w:val="auto"/>
                <w:spacing w:val="0"/>
                <w:w w:val="100"/>
                <w:kern w:val="0"/>
                <w:sz w:val="28"/>
                <w:szCs w:val="28"/>
                <w:lang w:val="en-US" w:eastAsia="zh-CN" w:bidi="ar"/>
              </w:rPr>
              <w:t>2</w:t>
            </w:r>
          </w:p>
        </w:tc>
        <w:tc>
          <w:tcPr>
            <w:tcW w:w="2226" w:type="dxa"/>
            <w:tcBorders>
              <w:top w:val="single" w:color="auto" w:sz="4" w:space="0"/>
              <w:left w:val="nil"/>
              <w:bottom w:val="single" w:color="auto" w:sz="4" w:space="0"/>
              <w:right w:val="single" w:color="auto" w:sz="4" w:space="0"/>
            </w:tcBorders>
            <w:noWrap w:val="0"/>
            <w:vAlign w:val="center"/>
          </w:tcPr>
          <w:p w14:paraId="42CC2CED">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val="0"/>
                <w:i w:val="0"/>
                <w:caps w:val="0"/>
                <w:color w:val="auto"/>
                <w:spacing w:val="0"/>
                <w:w w:val="100"/>
                <w:kern w:val="0"/>
                <w:sz w:val="28"/>
                <w:szCs w:val="28"/>
                <w:lang w:val="en-US" w:eastAsia="zh-CN" w:bidi="ar"/>
              </w:rPr>
            </w:pPr>
            <w:r>
              <w:rPr>
                <w:rFonts w:hint="eastAsia" w:ascii="宋体" w:hAnsi="宋体" w:eastAsia="宋体" w:cs="宋体"/>
                <w:b w:val="0"/>
                <w:i w:val="0"/>
                <w:caps w:val="0"/>
                <w:color w:val="auto"/>
                <w:spacing w:val="0"/>
                <w:w w:val="100"/>
                <w:kern w:val="0"/>
                <w:sz w:val="28"/>
                <w:szCs w:val="28"/>
                <w:lang w:val="en-US" w:eastAsia="zh-CN" w:bidi="ar"/>
              </w:rPr>
              <w:t>换热器</w:t>
            </w:r>
          </w:p>
        </w:tc>
        <w:tc>
          <w:tcPr>
            <w:tcW w:w="4612" w:type="dxa"/>
            <w:tcBorders>
              <w:top w:val="single" w:color="auto" w:sz="4" w:space="0"/>
              <w:left w:val="nil"/>
              <w:bottom w:val="single" w:color="auto" w:sz="4" w:space="0"/>
              <w:right w:val="single" w:color="auto" w:sz="4" w:space="0"/>
            </w:tcBorders>
            <w:noWrap w:val="0"/>
            <w:vAlign w:val="center"/>
          </w:tcPr>
          <w:p w14:paraId="2FEB8F2D">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val="0"/>
                <w:i w:val="0"/>
                <w:caps w:val="0"/>
                <w:color w:val="auto"/>
                <w:spacing w:val="0"/>
                <w:w w:val="100"/>
                <w:kern w:val="0"/>
                <w:sz w:val="28"/>
                <w:szCs w:val="28"/>
                <w:lang w:val="en-US" w:eastAsia="zh-CN" w:bidi="ar"/>
              </w:rPr>
            </w:pPr>
            <w:r>
              <w:rPr>
                <w:rFonts w:hint="eastAsia" w:ascii="宋体" w:hAnsi="宋体" w:eastAsia="宋体" w:cs="宋体"/>
                <w:b w:val="0"/>
                <w:i w:val="0"/>
                <w:caps w:val="0"/>
                <w:color w:val="auto"/>
                <w:spacing w:val="0"/>
                <w:w w:val="100"/>
                <w:kern w:val="0"/>
                <w:sz w:val="28"/>
                <w:szCs w:val="28"/>
                <w:lang w:val="en-US" w:eastAsia="zh-CN" w:bidi="ar"/>
              </w:rPr>
              <w:t>相当于阿法拉伐、兰石、天巨鑫、安培威、传特同档及以上产品。</w:t>
            </w:r>
          </w:p>
        </w:tc>
        <w:tc>
          <w:tcPr>
            <w:tcW w:w="1943" w:type="dxa"/>
            <w:tcBorders>
              <w:top w:val="single" w:color="auto" w:sz="4" w:space="0"/>
              <w:left w:val="nil"/>
              <w:bottom w:val="single" w:color="auto" w:sz="4" w:space="0"/>
              <w:right w:val="single" w:color="auto" w:sz="4" w:space="0"/>
            </w:tcBorders>
            <w:noWrap w:val="0"/>
            <w:vAlign w:val="center"/>
          </w:tcPr>
          <w:p w14:paraId="026FC6D4">
            <w:pPr>
              <w:keepLines w:val="0"/>
              <w:widowControl/>
              <w:suppressLineNumbers w:val="0"/>
              <w:snapToGrid/>
              <w:spacing w:before="0" w:beforeAutospacing="0" w:after="0" w:afterAutospacing="0" w:line="240" w:lineRule="auto"/>
              <w:ind w:left="0" w:right="0"/>
              <w:jc w:val="center"/>
              <w:textAlignment w:val="center"/>
              <w:rPr>
                <w:rFonts w:hint="eastAsia" w:ascii="宋体" w:hAnsi="宋体" w:eastAsia="宋体" w:cs="宋体"/>
                <w:b w:val="0"/>
                <w:i w:val="0"/>
                <w:caps w:val="0"/>
                <w:color w:val="auto"/>
                <w:spacing w:val="0"/>
                <w:w w:val="100"/>
                <w:kern w:val="0"/>
                <w:sz w:val="28"/>
                <w:szCs w:val="28"/>
                <w:lang w:val="en-US" w:eastAsia="zh-CN" w:bidi="ar"/>
              </w:rPr>
            </w:pPr>
          </w:p>
        </w:tc>
      </w:tr>
    </w:tbl>
    <w:p w14:paraId="6404C720">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宋体" w:hAnsi="宋体" w:eastAsia="宋体" w:cs="宋体"/>
          <w:b w:val="0"/>
          <w:bCs w:val="0"/>
          <w:i w:val="0"/>
          <w:caps w:val="0"/>
          <w:color w:val="auto"/>
          <w:spacing w:val="0"/>
          <w:w w:val="100"/>
          <w:sz w:val="32"/>
          <w:szCs w:val="32"/>
          <w:lang w:val="en-US" w:eastAsia="zh-CN"/>
        </w:rPr>
      </w:pPr>
    </w:p>
    <w:p w14:paraId="71761751">
      <w:pPr>
        <w:keepLines w:val="0"/>
        <w:widowControl w:val="0"/>
        <w:suppressLineNumbers w:val="0"/>
        <w:snapToGrid/>
        <w:spacing w:before="0" w:beforeAutospacing="0" w:after="0" w:afterAutospacing="0" w:line="273" w:lineRule="auto"/>
        <w:ind w:left="0" w:right="0" w:firstLine="643" w:firstLineChars="200"/>
        <w:jc w:val="both"/>
        <w:textAlignment w:val="baseline"/>
        <w:rPr>
          <w:rFonts w:hint="eastAsia" w:ascii="宋体" w:hAnsi="宋体" w:eastAsia="宋体" w:cs="宋体"/>
          <w:b/>
          <w:bCs/>
          <w:i w:val="0"/>
          <w:caps w:val="0"/>
          <w:spacing w:val="0"/>
          <w:w w:val="100"/>
          <w:sz w:val="32"/>
          <w:szCs w:val="32"/>
          <w:lang w:val="en-US" w:eastAsia="zh-CN"/>
        </w:rPr>
      </w:pPr>
      <w:r>
        <w:rPr>
          <w:rFonts w:hint="eastAsia" w:ascii="宋体" w:hAnsi="宋体" w:eastAsia="宋体" w:cs="宋体"/>
          <w:b/>
          <w:bCs/>
          <w:i w:val="0"/>
          <w:caps w:val="0"/>
          <w:spacing w:val="0"/>
          <w:w w:val="100"/>
          <w:sz w:val="32"/>
          <w:szCs w:val="32"/>
          <w:lang w:val="en-US" w:eastAsia="zh-CN"/>
        </w:rPr>
        <w:t xml:space="preserve"> 二、其他说明</w:t>
      </w:r>
    </w:p>
    <w:p w14:paraId="4DE8B924">
      <w:pPr>
        <w:keepLines w:val="0"/>
        <w:widowControl w:val="0"/>
        <w:suppressLineNumbers w:val="0"/>
        <w:snapToGrid/>
        <w:spacing w:before="0" w:beforeAutospacing="0" w:after="0" w:afterAutospacing="0" w:line="273" w:lineRule="auto"/>
        <w:ind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1、本项目设暂列金额及暂估价等其他项目费详见招标工程量清单。</w:t>
      </w:r>
    </w:p>
    <w:p w14:paraId="7671C761">
      <w:pPr>
        <w:pStyle w:val="4"/>
        <w:widowControl/>
        <w:snapToGrid/>
        <w:spacing w:before="0" w:beforeAutospacing="0" w:after="0" w:afterAutospacing="0" w:line="360" w:lineRule="auto"/>
        <w:ind w:firstLine="643" w:firstLineChars="200"/>
        <w:jc w:val="left"/>
        <w:textAlignment w:val="baseline"/>
        <w:rPr>
          <w:rFonts w:hint="eastAsia" w:ascii="宋体" w:hAnsi="宋体" w:eastAsia="宋体" w:cs="宋体"/>
          <w:b/>
          <w:bCs/>
          <w:i w:val="0"/>
          <w:caps w:val="0"/>
          <w:spacing w:val="0"/>
          <w:w w:val="100"/>
          <w:sz w:val="32"/>
          <w:szCs w:val="32"/>
          <w:lang w:val="en-US" w:eastAsia="zh-CN"/>
        </w:rPr>
      </w:pPr>
      <w:r>
        <w:rPr>
          <w:rFonts w:hint="eastAsia" w:ascii="宋体" w:hAnsi="宋体" w:eastAsia="宋体" w:cs="宋体"/>
          <w:b/>
          <w:bCs/>
          <w:i w:val="0"/>
          <w:caps w:val="0"/>
          <w:spacing w:val="0"/>
          <w:w w:val="100"/>
          <w:sz w:val="32"/>
          <w:szCs w:val="32"/>
          <w:lang w:val="en-US" w:eastAsia="zh-CN"/>
        </w:rPr>
        <w:t>三、清单说明</w:t>
      </w:r>
    </w:p>
    <w:p w14:paraId="4ED17CC6">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1、投标人必须按招标工程量清单填报价格。项目编码、项目名称、项目特征、计量单位、工程量必须与招标工程量清单一致，如有不一致按否决其投标处理。</w:t>
      </w:r>
    </w:p>
    <w:p w14:paraId="0B2729E3">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2、规费及税金应按 “规费、税金项目清单与计价表”所列项目并根据国家、省级或行业建设主管部门的有关规定列算和计算，不得作为竞争性费用。</w:t>
      </w:r>
    </w:p>
    <w:p w14:paraId="0E319F23">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3、安全文明费应按 “总价措施项目清单与计价表”所列项目并根据国家、省级或行业建设主管部门的有关规定列算和计算，不得作为竞争性费用。</w:t>
      </w:r>
    </w:p>
    <w:p w14:paraId="600A596A">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宋体" w:hAnsi="宋体" w:eastAsia="宋体" w:cs="宋体"/>
          <w:b w:val="0"/>
          <w:bCs/>
          <w:i w:val="0"/>
          <w:caps w:val="0"/>
          <w:spacing w:val="0"/>
          <w:w w:val="100"/>
          <w:kern w:val="0"/>
          <w:sz w:val="32"/>
          <w:szCs w:val="32"/>
          <w:lang w:val="en-US" w:eastAsia="zh-CN" w:bidi="ar-SA"/>
        </w:rPr>
      </w:pPr>
      <w:r>
        <w:rPr>
          <w:rFonts w:hint="eastAsia" w:ascii="宋体" w:hAnsi="宋体" w:eastAsia="宋体" w:cs="宋体"/>
          <w:b w:val="0"/>
          <w:bCs/>
          <w:i w:val="0"/>
          <w:caps w:val="0"/>
          <w:spacing w:val="0"/>
          <w:w w:val="100"/>
          <w:kern w:val="0"/>
          <w:sz w:val="32"/>
          <w:szCs w:val="32"/>
          <w:lang w:val="en-US" w:eastAsia="zh-CN" w:bidi="ar-SA"/>
        </w:rPr>
        <w:t>4、本说明未尽事项，以“计价规范”、“计价管理办法”、“工程量计算规范”“招标文件”以及有关的法律、法规、建设行政主管部门颁发的文件为准。</w:t>
      </w:r>
      <w:r>
        <w:rPr>
          <w:rFonts w:hint="eastAsia" w:ascii="宋体" w:hAnsi="宋体" w:eastAsia="宋体" w:cs="宋体"/>
          <w:b w:val="0"/>
          <w:bCs/>
          <w:i w:val="0"/>
          <w:caps w:val="0"/>
          <w:spacing w:val="0"/>
          <w:w w:val="100"/>
          <w:kern w:val="0"/>
          <w:sz w:val="32"/>
          <w:szCs w:val="32"/>
          <w:lang w:val="en-US" w:eastAsia="zh-CN" w:bidi="ar-SA"/>
        </w:rPr>
        <w:tab/>
      </w:r>
    </w:p>
    <w:p w14:paraId="75602863">
      <w:pPr>
        <w:snapToGrid/>
        <w:spacing w:before="0" w:beforeAutospacing="0" w:after="0" w:afterAutospacing="0" w:line="360" w:lineRule="auto"/>
        <w:jc w:val="left"/>
        <w:textAlignment w:val="baseline"/>
        <w:rPr>
          <w:rFonts w:hint="eastAsia" w:ascii="宋体" w:hAnsi="宋体" w:eastAsia="宋体" w:cs="宋体"/>
          <w:b/>
          <w:bCs/>
          <w:i w:val="0"/>
          <w:caps w:val="0"/>
          <w:color w:val="000000"/>
          <w:spacing w:val="0"/>
          <w:w w:val="100"/>
          <w:sz w:val="28"/>
          <w:szCs w:val="28"/>
          <w:lang w:val="en-US" w:eastAsia="zh-CN"/>
        </w:rPr>
      </w:pPr>
    </w:p>
    <w:sectPr>
      <w:footerReference r:id="rId3" w:type="default"/>
      <w:pgSz w:w="11906" w:h="16838"/>
      <w:pgMar w:top="1417" w:right="1417" w:bottom="1134" w:left="1134"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E535F">
    <w:pPr>
      <w:pStyle w:val="2"/>
      <w:tabs>
        <w:tab w:val="left" w:pos="437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BF6D4">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C6BF6D4">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hNGJmZDRkOTcxZGNhMjA3MzVmN2IwYTYxNzBhY2QifQ=="/>
  </w:docVars>
  <w:rsids>
    <w:rsidRoot w:val="00172A27"/>
    <w:rsid w:val="002251AD"/>
    <w:rsid w:val="00323931"/>
    <w:rsid w:val="0041581A"/>
    <w:rsid w:val="00545127"/>
    <w:rsid w:val="0072429F"/>
    <w:rsid w:val="00804F73"/>
    <w:rsid w:val="00CE3FAD"/>
    <w:rsid w:val="00D10AA2"/>
    <w:rsid w:val="013D1647"/>
    <w:rsid w:val="014464DA"/>
    <w:rsid w:val="022049ED"/>
    <w:rsid w:val="027E380D"/>
    <w:rsid w:val="042E1EA4"/>
    <w:rsid w:val="045135B1"/>
    <w:rsid w:val="053A73C8"/>
    <w:rsid w:val="057A7553"/>
    <w:rsid w:val="05AB1ACA"/>
    <w:rsid w:val="06C121B2"/>
    <w:rsid w:val="06D65159"/>
    <w:rsid w:val="087E0618"/>
    <w:rsid w:val="08D94B10"/>
    <w:rsid w:val="096864F1"/>
    <w:rsid w:val="097739DE"/>
    <w:rsid w:val="09B73163"/>
    <w:rsid w:val="09B83739"/>
    <w:rsid w:val="09DC347A"/>
    <w:rsid w:val="0AA8578D"/>
    <w:rsid w:val="0B70484F"/>
    <w:rsid w:val="0BF272FF"/>
    <w:rsid w:val="0C3C4C12"/>
    <w:rsid w:val="0C554F12"/>
    <w:rsid w:val="0C557E7C"/>
    <w:rsid w:val="0D047E4F"/>
    <w:rsid w:val="0D112C29"/>
    <w:rsid w:val="0D1A4512"/>
    <w:rsid w:val="0D690E2A"/>
    <w:rsid w:val="0DA91770"/>
    <w:rsid w:val="0DDF374F"/>
    <w:rsid w:val="0E096268"/>
    <w:rsid w:val="0E134611"/>
    <w:rsid w:val="0E154490"/>
    <w:rsid w:val="0E5B6181"/>
    <w:rsid w:val="0EB05B3F"/>
    <w:rsid w:val="0EF31B17"/>
    <w:rsid w:val="0EF51B51"/>
    <w:rsid w:val="0F8A1B84"/>
    <w:rsid w:val="10045682"/>
    <w:rsid w:val="10111073"/>
    <w:rsid w:val="104B4AA4"/>
    <w:rsid w:val="10B14351"/>
    <w:rsid w:val="1151575F"/>
    <w:rsid w:val="11840C13"/>
    <w:rsid w:val="118E1BFB"/>
    <w:rsid w:val="14577DBD"/>
    <w:rsid w:val="146F27BD"/>
    <w:rsid w:val="147B2874"/>
    <w:rsid w:val="151C4D37"/>
    <w:rsid w:val="152277F6"/>
    <w:rsid w:val="153402FB"/>
    <w:rsid w:val="154907CB"/>
    <w:rsid w:val="1708628E"/>
    <w:rsid w:val="176A0B04"/>
    <w:rsid w:val="17E549D3"/>
    <w:rsid w:val="17EE2964"/>
    <w:rsid w:val="1837112C"/>
    <w:rsid w:val="183D5DB4"/>
    <w:rsid w:val="19454954"/>
    <w:rsid w:val="19C07DB8"/>
    <w:rsid w:val="19EC2FA2"/>
    <w:rsid w:val="1A543308"/>
    <w:rsid w:val="1A5F697C"/>
    <w:rsid w:val="1A806859"/>
    <w:rsid w:val="1AC82B64"/>
    <w:rsid w:val="1B1737C2"/>
    <w:rsid w:val="1B7C55A6"/>
    <w:rsid w:val="1B8F3183"/>
    <w:rsid w:val="1C1B3859"/>
    <w:rsid w:val="1CE85FA5"/>
    <w:rsid w:val="1D714E2E"/>
    <w:rsid w:val="1DA37231"/>
    <w:rsid w:val="1E212096"/>
    <w:rsid w:val="1E843F8C"/>
    <w:rsid w:val="1F30420E"/>
    <w:rsid w:val="20667E0B"/>
    <w:rsid w:val="20BC32D1"/>
    <w:rsid w:val="21045435"/>
    <w:rsid w:val="212062B8"/>
    <w:rsid w:val="21E901E5"/>
    <w:rsid w:val="21EC3153"/>
    <w:rsid w:val="22436610"/>
    <w:rsid w:val="224D0650"/>
    <w:rsid w:val="225A2AED"/>
    <w:rsid w:val="235C60DE"/>
    <w:rsid w:val="23722080"/>
    <w:rsid w:val="23901B0B"/>
    <w:rsid w:val="23AD469F"/>
    <w:rsid w:val="241B29BD"/>
    <w:rsid w:val="24537052"/>
    <w:rsid w:val="24580F4B"/>
    <w:rsid w:val="251B1B81"/>
    <w:rsid w:val="25673B4A"/>
    <w:rsid w:val="257D2099"/>
    <w:rsid w:val="26403798"/>
    <w:rsid w:val="26AE7BEF"/>
    <w:rsid w:val="26B60003"/>
    <w:rsid w:val="272B2FF7"/>
    <w:rsid w:val="277565FA"/>
    <w:rsid w:val="28C7684D"/>
    <w:rsid w:val="29327A61"/>
    <w:rsid w:val="2AB93AA6"/>
    <w:rsid w:val="2AEA62BD"/>
    <w:rsid w:val="2B01748F"/>
    <w:rsid w:val="2B027B46"/>
    <w:rsid w:val="2C627A53"/>
    <w:rsid w:val="2C9568A8"/>
    <w:rsid w:val="2CB0162B"/>
    <w:rsid w:val="2CC17764"/>
    <w:rsid w:val="2D0777CD"/>
    <w:rsid w:val="2D0A715E"/>
    <w:rsid w:val="2D3C33F3"/>
    <w:rsid w:val="2DE435CA"/>
    <w:rsid w:val="2F1F413F"/>
    <w:rsid w:val="2FB80344"/>
    <w:rsid w:val="302117A4"/>
    <w:rsid w:val="31523A9B"/>
    <w:rsid w:val="31B76CB2"/>
    <w:rsid w:val="31DC1F77"/>
    <w:rsid w:val="33DB3D3B"/>
    <w:rsid w:val="347541FE"/>
    <w:rsid w:val="34AB3AAA"/>
    <w:rsid w:val="351E3AC2"/>
    <w:rsid w:val="352D02A5"/>
    <w:rsid w:val="35C2373A"/>
    <w:rsid w:val="362A0D21"/>
    <w:rsid w:val="365748C2"/>
    <w:rsid w:val="3677155A"/>
    <w:rsid w:val="370871E4"/>
    <w:rsid w:val="37500316"/>
    <w:rsid w:val="37DC44F4"/>
    <w:rsid w:val="382C05A6"/>
    <w:rsid w:val="384C0164"/>
    <w:rsid w:val="389738F6"/>
    <w:rsid w:val="395B3B02"/>
    <w:rsid w:val="39D02B2E"/>
    <w:rsid w:val="3AE933E0"/>
    <w:rsid w:val="3AEF5051"/>
    <w:rsid w:val="3B3577E9"/>
    <w:rsid w:val="3B484001"/>
    <w:rsid w:val="3B6461E4"/>
    <w:rsid w:val="3C2C7E1B"/>
    <w:rsid w:val="3CA46F0C"/>
    <w:rsid w:val="3CC17141"/>
    <w:rsid w:val="3CF74EBC"/>
    <w:rsid w:val="3D2B75ED"/>
    <w:rsid w:val="3D7B2AA2"/>
    <w:rsid w:val="3E010915"/>
    <w:rsid w:val="3E416A82"/>
    <w:rsid w:val="3E475EE3"/>
    <w:rsid w:val="3E7818F7"/>
    <w:rsid w:val="3EEC270C"/>
    <w:rsid w:val="400C0C7E"/>
    <w:rsid w:val="402325EF"/>
    <w:rsid w:val="4040553C"/>
    <w:rsid w:val="40B849B4"/>
    <w:rsid w:val="41317A35"/>
    <w:rsid w:val="4199444F"/>
    <w:rsid w:val="41A658B3"/>
    <w:rsid w:val="41C07882"/>
    <w:rsid w:val="41F55EC4"/>
    <w:rsid w:val="42DA63F2"/>
    <w:rsid w:val="433B78D4"/>
    <w:rsid w:val="4341771F"/>
    <w:rsid w:val="43BD310C"/>
    <w:rsid w:val="43EA22E8"/>
    <w:rsid w:val="44531C67"/>
    <w:rsid w:val="44B948C2"/>
    <w:rsid w:val="45446BC0"/>
    <w:rsid w:val="45E0582E"/>
    <w:rsid w:val="45FC7C2C"/>
    <w:rsid w:val="46216177"/>
    <w:rsid w:val="467B74E1"/>
    <w:rsid w:val="46AA71D5"/>
    <w:rsid w:val="46AD2473"/>
    <w:rsid w:val="46E650A4"/>
    <w:rsid w:val="47060E86"/>
    <w:rsid w:val="47817C32"/>
    <w:rsid w:val="482221CC"/>
    <w:rsid w:val="487A5606"/>
    <w:rsid w:val="48F366F5"/>
    <w:rsid w:val="491072CC"/>
    <w:rsid w:val="49375FF7"/>
    <w:rsid w:val="49491F05"/>
    <w:rsid w:val="49AA33CE"/>
    <w:rsid w:val="4A413FB3"/>
    <w:rsid w:val="4A434410"/>
    <w:rsid w:val="4A8C102D"/>
    <w:rsid w:val="4A9B7305"/>
    <w:rsid w:val="4ABE02F2"/>
    <w:rsid w:val="4B4E1E78"/>
    <w:rsid w:val="4BAD064B"/>
    <w:rsid w:val="4C2239E1"/>
    <w:rsid w:val="4C2B56A1"/>
    <w:rsid w:val="4C5E233E"/>
    <w:rsid w:val="4C807CB5"/>
    <w:rsid w:val="4D564EAD"/>
    <w:rsid w:val="4D6E6660"/>
    <w:rsid w:val="4E5F216E"/>
    <w:rsid w:val="4EA93B36"/>
    <w:rsid w:val="4F1339B6"/>
    <w:rsid w:val="4F385E57"/>
    <w:rsid w:val="4F3A40D9"/>
    <w:rsid w:val="4F8446B1"/>
    <w:rsid w:val="4FF23DF7"/>
    <w:rsid w:val="501356D4"/>
    <w:rsid w:val="506B0B24"/>
    <w:rsid w:val="50B651E7"/>
    <w:rsid w:val="50EC59C5"/>
    <w:rsid w:val="510A5D9D"/>
    <w:rsid w:val="517E3070"/>
    <w:rsid w:val="51E1540C"/>
    <w:rsid w:val="52742357"/>
    <w:rsid w:val="52B6186F"/>
    <w:rsid w:val="52BB6B4E"/>
    <w:rsid w:val="52EE664E"/>
    <w:rsid w:val="53807968"/>
    <w:rsid w:val="54163485"/>
    <w:rsid w:val="547A16C0"/>
    <w:rsid w:val="54DE5ED6"/>
    <w:rsid w:val="54F86E70"/>
    <w:rsid w:val="551E7693"/>
    <w:rsid w:val="55D47525"/>
    <w:rsid w:val="5616651D"/>
    <w:rsid w:val="561936FA"/>
    <w:rsid w:val="562770A4"/>
    <w:rsid w:val="562B01D7"/>
    <w:rsid w:val="56F15745"/>
    <w:rsid w:val="57B27E8F"/>
    <w:rsid w:val="57B36E5A"/>
    <w:rsid w:val="57D35E6E"/>
    <w:rsid w:val="593559A8"/>
    <w:rsid w:val="5A044C19"/>
    <w:rsid w:val="5A467A01"/>
    <w:rsid w:val="5AF77287"/>
    <w:rsid w:val="5B0B153C"/>
    <w:rsid w:val="5B6111A2"/>
    <w:rsid w:val="5C1A3F40"/>
    <w:rsid w:val="5C661A7D"/>
    <w:rsid w:val="5CEC5DB5"/>
    <w:rsid w:val="5D2F5053"/>
    <w:rsid w:val="5D5E16FE"/>
    <w:rsid w:val="5DEA4DF7"/>
    <w:rsid w:val="5DF64247"/>
    <w:rsid w:val="5F0F2E7A"/>
    <w:rsid w:val="5F303D09"/>
    <w:rsid w:val="5F611D1E"/>
    <w:rsid w:val="60016CCB"/>
    <w:rsid w:val="60756978"/>
    <w:rsid w:val="60831B0B"/>
    <w:rsid w:val="60A642AF"/>
    <w:rsid w:val="60E5102D"/>
    <w:rsid w:val="62234A74"/>
    <w:rsid w:val="62C03E1E"/>
    <w:rsid w:val="62C10E48"/>
    <w:rsid w:val="634469E5"/>
    <w:rsid w:val="63F62145"/>
    <w:rsid w:val="64333750"/>
    <w:rsid w:val="64BE79ED"/>
    <w:rsid w:val="64DE172B"/>
    <w:rsid w:val="65563222"/>
    <w:rsid w:val="655959F7"/>
    <w:rsid w:val="656F43DF"/>
    <w:rsid w:val="658265C7"/>
    <w:rsid w:val="65942822"/>
    <w:rsid w:val="664605ED"/>
    <w:rsid w:val="6683129E"/>
    <w:rsid w:val="66AA207C"/>
    <w:rsid w:val="66C60EAA"/>
    <w:rsid w:val="6752567A"/>
    <w:rsid w:val="67680A37"/>
    <w:rsid w:val="67752AB0"/>
    <w:rsid w:val="67767D66"/>
    <w:rsid w:val="677D276D"/>
    <w:rsid w:val="679E2A06"/>
    <w:rsid w:val="67E40916"/>
    <w:rsid w:val="67F05A7D"/>
    <w:rsid w:val="68F74901"/>
    <w:rsid w:val="69257F89"/>
    <w:rsid w:val="697C5BAE"/>
    <w:rsid w:val="69841C69"/>
    <w:rsid w:val="69E81C5B"/>
    <w:rsid w:val="6AE63945"/>
    <w:rsid w:val="6AED1414"/>
    <w:rsid w:val="6AEE4E99"/>
    <w:rsid w:val="6B2817A6"/>
    <w:rsid w:val="6B786990"/>
    <w:rsid w:val="6BD14A70"/>
    <w:rsid w:val="6D682B98"/>
    <w:rsid w:val="6D692221"/>
    <w:rsid w:val="6E5E0AF2"/>
    <w:rsid w:val="6E752DFD"/>
    <w:rsid w:val="6F2927AF"/>
    <w:rsid w:val="6F330416"/>
    <w:rsid w:val="6F7A6A50"/>
    <w:rsid w:val="6F8C4E8B"/>
    <w:rsid w:val="70451231"/>
    <w:rsid w:val="71414E5C"/>
    <w:rsid w:val="717D7256"/>
    <w:rsid w:val="71A968C7"/>
    <w:rsid w:val="721C363A"/>
    <w:rsid w:val="729F5EEC"/>
    <w:rsid w:val="73397374"/>
    <w:rsid w:val="736E1587"/>
    <w:rsid w:val="73A93582"/>
    <w:rsid w:val="73F969DC"/>
    <w:rsid w:val="745C608E"/>
    <w:rsid w:val="745D6662"/>
    <w:rsid w:val="74772A49"/>
    <w:rsid w:val="7515136E"/>
    <w:rsid w:val="752D1DD1"/>
    <w:rsid w:val="75542B67"/>
    <w:rsid w:val="75E10342"/>
    <w:rsid w:val="76587B85"/>
    <w:rsid w:val="76852A14"/>
    <w:rsid w:val="76901EE2"/>
    <w:rsid w:val="775A0DD2"/>
    <w:rsid w:val="77856FDC"/>
    <w:rsid w:val="77AE681F"/>
    <w:rsid w:val="78825370"/>
    <w:rsid w:val="78C44E4C"/>
    <w:rsid w:val="7934036D"/>
    <w:rsid w:val="79C01177"/>
    <w:rsid w:val="7AA25A60"/>
    <w:rsid w:val="7B5A2305"/>
    <w:rsid w:val="7B5F429A"/>
    <w:rsid w:val="7BC847BD"/>
    <w:rsid w:val="7BDF11A0"/>
    <w:rsid w:val="7C4F5A31"/>
    <w:rsid w:val="7C567D25"/>
    <w:rsid w:val="7CD74497"/>
    <w:rsid w:val="7D2C0F6C"/>
    <w:rsid w:val="7DAD0FC6"/>
    <w:rsid w:val="7DBD2A81"/>
    <w:rsid w:val="7E0C73DF"/>
    <w:rsid w:val="7E605A20"/>
    <w:rsid w:val="7EAB0D7F"/>
    <w:rsid w:val="7EBC224C"/>
    <w:rsid w:val="7EE63832"/>
    <w:rsid w:val="7EEA1418"/>
    <w:rsid w:val="7F2A0BEF"/>
    <w:rsid w:val="7F392173"/>
    <w:rsid w:val="7F5112E0"/>
    <w:rsid w:val="7F9C6F97"/>
    <w:rsid w:val="7FB34386"/>
    <w:rsid w:val="7FBC3235"/>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4">
    <w:name w:val="Normal (Web)"/>
    <w:basedOn w:val="1"/>
    <w:autoRedefine/>
    <w:qFormat/>
    <w:uiPriority w:val="0"/>
    <w:pPr>
      <w:spacing w:beforeAutospacing="1" w:afterAutospacing="1"/>
      <w:jc w:val="left"/>
    </w:pPr>
    <w:rPr>
      <w:rFonts w:cs="Times New Roman"/>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930</Words>
  <Characters>978</Characters>
  <Lines>44</Lines>
  <Paragraphs>12</Paragraphs>
  <TotalTime>3</TotalTime>
  <ScaleCrop>false</ScaleCrop>
  <LinksUpToDate>false</LinksUpToDate>
  <CharactersWithSpaces>982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阿梅</cp:lastModifiedBy>
  <cp:lastPrinted>2022-05-23T00:05:00Z</cp:lastPrinted>
  <dcterms:modified xsi:type="dcterms:W3CDTF">2025-04-18T07:12:14Z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0F51CF6194144F668885C4E78B37326A_13</vt:lpwstr>
  </property>
  <property fmtid="{D5CDD505-2E9C-101B-9397-08002B2CF9AE}" pid="4" name="KSOTemplateDocerSaveRecord">
    <vt:lpwstr>eyJoZGlkIjoiZmFhNGJmZDRkOTcxZGNhMjA3MzVmN2IwYTYxNzBhY2QiLCJ1c2VySWQiOiIyNTUzMDI4NzgifQ==</vt:lpwstr>
  </property>
</Properties>
</file>